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A46F7" w14:textId="126E306E" w:rsidR="000D6794" w:rsidRPr="00855D02" w:rsidRDefault="003F3F51" w:rsidP="000D6794">
      <w:pPr>
        <w:widowControl w:val="0"/>
        <w:tabs>
          <w:tab w:val="left" w:pos="993"/>
          <w:tab w:val="left" w:pos="1418"/>
        </w:tabs>
        <w:adjustRightInd w:val="0"/>
        <w:spacing w:before="60" w:after="0" w:line="360" w:lineRule="atLeast"/>
        <w:ind w:left="993" w:hanging="993"/>
        <w:jc w:val="both"/>
        <w:textAlignment w:val="baseline"/>
        <w:rPr>
          <w:rFonts w:ascii="Arial" w:eastAsia="Times New Roman" w:hAnsi="Arial" w:cs="Arial"/>
          <w:color w:val="FFFFFF"/>
          <w:sz w:val="28"/>
          <w:szCs w:val="28"/>
          <w:lang w:eastAsia="ru-RU"/>
        </w:rPr>
      </w:pPr>
      <w:r>
        <w:rPr>
          <w:rFonts w:ascii="Times New Roman" w:eastAsia="Times New Roman" w:hAnsi="Times New Roman" w:cs="Arial"/>
          <w:sz w:val="24"/>
          <w:szCs w:val="20"/>
          <w:lang w:eastAsia="ru-RU"/>
        </w:rPr>
        <w:t xml:space="preserve"> </w:t>
      </w:r>
      <w:r w:rsidR="002B3B2D">
        <w:rPr>
          <w:rFonts w:ascii="Times New Roman" w:eastAsia="Times New Roman" w:hAnsi="Times New Roman" w:cs="Arial"/>
          <w:sz w:val="24"/>
          <w:szCs w:val="20"/>
          <w:lang w:eastAsia="ru-RU"/>
        </w:rPr>
        <w:t xml:space="preserve"> </w:t>
      </w:r>
    </w:p>
    <w:p w14:paraId="13B50F2C" w14:textId="67525C60"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Arial" w:eastAsia="Times New Roman" w:hAnsi="Arial" w:cs="Arial"/>
          <w:color w:val="FFFFFF"/>
          <w:sz w:val="28"/>
          <w:szCs w:val="28"/>
          <w:lang w:eastAsia="ru-RU"/>
        </w:rPr>
      </w:pPr>
    </w:p>
    <w:p w14:paraId="2413C0EF" w14:textId="77777777"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Arial" w:eastAsia="Times New Roman" w:hAnsi="Arial" w:cs="Arial"/>
          <w:color w:val="FFFFFF"/>
          <w:sz w:val="28"/>
          <w:szCs w:val="28"/>
          <w:lang w:eastAsia="ru-RU"/>
        </w:rPr>
      </w:pPr>
      <w:r w:rsidRPr="00855D02">
        <w:rPr>
          <w:rFonts w:ascii="Arial" w:eastAsia="Times New Roman" w:hAnsi="Arial" w:cs="Arial"/>
          <w:color w:val="FFFFFF"/>
          <w:sz w:val="28"/>
          <w:szCs w:val="28"/>
          <w:lang w:eastAsia="ru-RU"/>
        </w:rPr>
        <w:t>Аганбегян Р.А.</w:t>
      </w:r>
    </w:p>
    <w:p w14:paraId="24DD6246" w14:textId="77777777"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Arial" w:eastAsia="Times New Roman" w:hAnsi="Arial" w:cs="Arial"/>
          <w:color w:val="FFFFFF"/>
          <w:sz w:val="28"/>
          <w:szCs w:val="28"/>
          <w:lang w:eastAsia="ru-RU"/>
        </w:rPr>
      </w:pPr>
      <w:r w:rsidRPr="00855D02">
        <w:rPr>
          <w:rFonts w:ascii="Arial" w:eastAsia="Times New Roman" w:hAnsi="Arial" w:cs="Arial"/>
          <w:color w:val="FFFFFF"/>
          <w:sz w:val="28"/>
          <w:szCs w:val="28"/>
          <w:lang w:eastAsia="ru-RU"/>
        </w:rPr>
        <w:t xml:space="preserve">                  М.П.</w:t>
      </w:r>
    </w:p>
    <w:p w14:paraId="1916E92F" w14:textId="7CEF4ADA"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r w:rsidRPr="00855D02">
        <w:rPr>
          <w:rFonts w:ascii="Times New Roman" w:eastAsia="Times New Roman" w:hAnsi="Times New Roman" w:cs="Times New Roman"/>
          <w:color w:val="FFFFFF"/>
          <w:sz w:val="28"/>
          <w:szCs w:val="28"/>
          <w:lang w:eastAsia="ru-RU"/>
        </w:rPr>
        <w:t>Центр»</w:t>
      </w:r>
    </w:p>
    <w:p w14:paraId="1EFC6E91" w14:textId="77777777"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b/>
          <w:color w:val="FFFFFF"/>
          <w:sz w:val="28"/>
          <w:szCs w:val="28"/>
          <w:lang w:eastAsia="ru-RU"/>
        </w:rPr>
      </w:pPr>
      <w:r w:rsidRPr="00855D02">
        <w:rPr>
          <w:rFonts w:ascii="Times New Roman" w:eastAsia="Times New Roman" w:hAnsi="Times New Roman" w:cs="Times New Roman"/>
          <w:b/>
          <w:color w:val="FFFFFF"/>
          <w:sz w:val="28"/>
          <w:szCs w:val="28"/>
          <w:lang w:eastAsia="ru-RU"/>
        </w:rPr>
        <w:t xml:space="preserve">__________________________ </w:t>
      </w:r>
    </w:p>
    <w:p w14:paraId="552A76E2" w14:textId="77777777"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r w:rsidRPr="00855D02">
        <w:rPr>
          <w:rFonts w:ascii="Times New Roman" w:eastAsia="Times New Roman" w:hAnsi="Times New Roman" w:cs="Times New Roman"/>
          <w:color w:val="FFFFFF"/>
          <w:sz w:val="28"/>
          <w:szCs w:val="28"/>
          <w:lang w:eastAsia="ru-RU"/>
        </w:rPr>
        <w:t>Лыков С.П.</w:t>
      </w:r>
    </w:p>
    <w:p w14:paraId="591F9D82" w14:textId="77777777" w:rsidR="00D50D9D" w:rsidRPr="00855D02" w:rsidRDefault="00D50D9D" w:rsidP="00D50D9D">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color w:val="FFFFFF"/>
          <w:sz w:val="28"/>
          <w:szCs w:val="28"/>
          <w:lang w:eastAsia="ru-RU"/>
        </w:rPr>
        <w:t xml:space="preserve">                   М.П.</w:t>
      </w:r>
    </w:p>
    <w:p w14:paraId="2CEA632A" w14:textId="77777777" w:rsidR="00D50D9D" w:rsidRPr="00855D02" w:rsidRDefault="00D50D9D" w:rsidP="00D50D9D">
      <w:pPr>
        <w:widowControl w:val="0"/>
        <w:overflowPunct w:val="0"/>
        <w:autoSpaceDE w:val="0"/>
        <w:autoSpaceDN w:val="0"/>
        <w:adjustRightInd w:val="0"/>
        <w:spacing w:before="240" w:after="60" w:line="240" w:lineRule="auto"/>
        <w:ind w:right="283" w:firstLine="720"/>
        <w:jc w:val="center"/>
        <w:textAlignment w:val="baseline"/>
        <w:outlineLvl w:val="4"/>
        <w:rPr>
          <w:rFonts w:ascii="Times New Roman" w:eastAsia="Times New Roman" w:hAnsi="Times New Roman" w:cs="Times New Roman"/>
          <w:b/>
          <w:bCs/>
          <w:i/>
          <w:iCs/>
          <w:sz w:val="28"/>
          <w:szCs w:val="28"/>
          <w:lang w:eastAsia="ru-RU"/>
        </w:rPr>
      </w:pPr>
    </w:p>
    <w:p w14:paraId="36EAFB0E" w14:textId="029F25A8" w:rsidR="00D50D9D" w:rsidRPr="000D6794" w:rsidRDefault="00960C1B" w:rsidP="00D50D9D">
      <w:pPr>
        <w:widowControl w:val="0"/>
        <w:overflowPunct w:val="0"/>
        <w:autoSpaceDE w:val="0"/>
        <w:autoSpaceDN w:val="0"/>
        <w:adjustRightInd w:val="0"/>
        <w:spacing w:before="240" w:after="60" w:line="240" w:lineRule="auto"/>
        <w:ind w:right="283" w:firstLine="720"/>
        <w:jc w:val="center"/>
        <w:textAlignment w:val="baseline"/>
        <w:outlineLvl w:val="4"/>
        <w:rPr>
          <w:rFonts w:ascii="Times New Roman" w:eastAsia="Times New Roman" w:hAnsi="Times New Roman" w:cs="Times New Roman"/>
          <w:b/>
          <w:bCs/>
          <w:iCs/>
          <w:sz w:val="40"/>
          <w:szCs w:val="40"/>
          <w:lang w:eastAsia="ru-RU"/>
        </w:rPr>
      </w:pPr>
      <w:r w:rsidRPr="000D6794">
        <w:rPr>
          <w:rFonts w:ascii="Times New Roman" w:eastAsia="Times New Roman" w:hAnsi="Times New Roman" w:cs="Times New Roman"/>
          <w:b/>
          <w:bCs/>
          <w:iCs/>
          <w:sz w:val="40"/>
          <w:szCs w:val="40"/>
          <w:lang w:eastAsia="ru-RU"/>
        </w:rPr>
        <w:t>О</w:t>
      </w:r>
      <w:r w:rsidRPr="000D6794">
        <w:rPr>
          <w:rFonts w:ascii="Times New Roman" w:eastAsia="Times New Roman" w:hAnsi="Times New Roman" w:cs="Times New Roman"/>
          <w:b/>
          <w:bCs/>
          <w:iCs/>
          <w:sz w:val="40"/>
          <w:szCs w:val="40"/>
          <w:lang w:val="en-US" w:eastAsia="ru-RU"/>
        </w:rPr>
        <w:t>C</w:t>
      </w:r>
      <w:r w:rsidRPr="000D6794">
        <w:rPr>
          <w:rFonts w:ascii="Times New Roman" w:eastAsia="Times New Roman" w:hAnsi="Times New Roman" w:cs="Times New Roman"/>
          <w:b/>
          <w:bCs/>
          <w:iCs/>
          <w:sz w:val="40"/>
          <w:szCs w:val="40"/>
          <w:lang w:eastAsia="ru-RU"/>
        </w:rPr>
        <w:t xml:space="preserve">НОВНЫЕ ИТОГИ </w:t>
      </w:r>
    </w:p>
    <w:p w14:paraId="0486A7B9" w14:textId="3F67B9E7" w:rsidR="00D50D9D" w:rsidRPr="000D6794" w:rsidRDefault="00960C1B" w:rsidP="00D50D9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32"/>
          <w:lang w:eastAsia="ru-RU"/>
        </w:rPr>
      </w:pPr>
      <w:r w:rsidRPr="000D6794">
        <w:rPr>
          <w:rFonts w:ascii="Times New Roman" w:eastAsia="Times New Roman" w:hAnsi="Times New Roman" w:cs="Times New Roman"/>
          <w:b/>
          <w:i/>
          <w:sz w:val="32"/>
          <w:szCs w:val="32"/>
          <w:lang w:eastAsia="ru-RU"/>
        </w:rPr>
        <w:t xml:space="preserve">ДЕЯТЕЛЬНОСТИ </w:t>
      </w:r>
      <w:r w:rsidR="00D50D9D" w:rsidRPr="000D6794">
        <w:rPr>
          <w:rFonts w:ascii="Times New Roman" w:eastAsia="Times New Roman" w:hAnsi="Times New Roman" w:cs="Times New Roman"/>
          <w:b/>
          <w:i/>
          <w:sz w:val="32"/>
          <w:szCs w:val="32"/>
          <w:lang w:eastAsia="ru-RU"/>
        </w:rPr>
        <w:t>БАНКА «НАЦИОНАЛЬНЫЙ КЛИРИНГОВЫЙ ЦЕНТР» (АКЦИОНЕРНОЕ ОБЩЕСТВО)</w:t>
      </w:r>
    </w:p>
    <w:p w14:paraId="3CDD26AB" w14:textId="77777777" w:rsidR="00D50D9D" w:rsidRPr="000D6794" w:rsidRDefault="00D50D9D" w:rsidP="00D50D9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32"/>
          <w:lang w:eastAsia="ru-RU"/>
        </w:rPr>
      </w:pPr>
      <w:r w:rsidRPr="000D6794">
        <w:rPr>
          <w:rFonts w:ascii="Times New Roman" w:eastAsia="Times New Roman" w:hAnsi="Times New Roman" w:cs="Times New Roman"/>
          <w:b/>
          <w:i/>
          <w:sz w:val="32"/>
          <w:szCs w:val="32"/>
          <w:lang w:eastAsia="ru-RU"/>
        </w:rPr>
        <w:t>ЗА 2016 ГОД</w:t>
      </w:r>
    </w:p>
    <w:p w14:paraId="0B214C62" w14:textId="77777777" w:rsidR="00D50D9D" w:rsidRPr="000D6794" w:rsidRDefault="00D50D9D" w:rsidP="00D50D9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sz w:val="32"/>
          <w:szCs w:val="32"/>
          <w:lang w:eastAsia="ru-RU"/>
        </w:rPr>
      </w:pPr>
    </w:p>
    <w:p w14:paraId="177C1269" w14:textId="77777777" w:rsidR="00D50D9D" w:rsidRPr="00960C1B" w:rsidRDefault="00D50D9D" w:rsidP="00D50D9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14:paraId="0DDB1293" w14:textId="77777777" w:rsidR="00D50D9D" w:rsidRPr="00855D02" w:rsidRDefault="00D50D9D" w:rsidP="00D50D9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5D02">
        <w:rPr>
          <w:rFonts w:ascii="Times New Roman" w:eastAsia="Times New Roman" w:hAnsi="Times New Roman" w:cs="Times New Roman"/>
          <w:sz w:val="20"/>
          <w:szCs w:val="20"/>
          <w:lang w:eastAsia="ru-RU"/>
        </w:rPr>
        <w:br w:type="page"/>
      </w:r>
      <w:r w:rsidRPr="00855D02">
        <w:rPr>
          <w:rFonts w:ascii="Times New Roman" w:eastAsia="Times New Roman" w:hAnsi="Times New Roman" w:cs="Times New Roman"/>
          <w:b/>
          <w:sz w:val="28"/>
          <w:szCs w:val="28"/>
          <w:lang w:eastAsia="ru-RU"/>
        </w:rPr>
        <w:lastRenderedPageBreak/>
        <w:t>СОДЕРЖАНИЕ</w:t>
      </w:r>
    </w:p>
    <w:p w14:paraId="28644F5F" w14:textId="77777777" w:rsidR="00D50D9D" w:rsidRPr="00855D02" w:rsidRDefault="00D50D9D" w:rsidP="00D50D9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2B45AB4E" w14:textId="77777777" w:rsidR="00D50D9D" w:rsidRPr="00855D02" w:rsidRDefault="00D50D9D" w:rsidP="00D50D9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2AC9A73A" w14:textId="0913852E" w:rsidR="00D50D9D" w:rsidRPr="00855D02" w:rsidRDefault="00D50D9D" w:rsidP="00D50D9D">
      <w:pPr>
        <w:widowControl w:val="0"/>
        <w:tabs>
          <w:tab w:val="left" w:pos="8789"/>
          <w:tab w:val="left" w:pos="907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C513C6">
        <w:rPr>
          <w:rFonts w:ascii="Times New Roman" w:eastAsia="Times New Roman" w:hAnsi="Times New Roman" w:cs="Times New Roman"/>
          <w:sz w:val="24"/>
          <w:szCs w:val="24"/>
          <w:lang w:eastAsia="ru-RU"/>
        </w:rPr>
        <w:t>1</w:t>
      </w:r>
      <w:r w:rsidRPr="00855D02">
        <w:rPr>
          <w:rFonts w:ascii="Times New Roman" w:eastAsia="Times New Roman" w:hAnsi="Times New Roman" w:cs="Times New Roman"/>
          <w:b/>
          <w:sz w:val="24"/>
          <w:szCs w:val="24"/>
          <w:lang w:eastAsia="ru-RU"/>
        </w:rPr>
        <w:t xml:space="preserve">. </w:t>
      </w:r>
      <w:r w:rsidRPr="00855D02">
        <w:rPr>
          <w:rFonts w:ascii="Times New Roman" w:eastAsia="Times New Roman" w:hAnsi="Times New Roman" w:cs="Times New Roman"/>
          <w:sz w:val="28"/>
          <w:szCs w:val="28"/>
          <w:lang w:eastAsia="ru-RU"/>
        </w:rPr>
        <w:t>Общие сведения…………………….....................................................</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3</w:t>
      </w:r>
      <w:r w:rsidRPr="00855D02">
        <w:rPr>
          <w:rFonts w:ascii="Times New Roman" w:eastAsia="Times New Roman" w:hAnsi="Times New Roman" w:cs="Times New Roman"/>
          <w:sz w:val="28"/>
          <w:szCs w:val="28"/>
          <w:lang w:eastAsia="ru-RU"/>
        </w:rPr>
        <w:t xml:space="preserve"> </w:t>
      </w:r>
    </w:p>
    <w:p w14:paraId="15213863" w14:textId="77777777" w:rsidR="00BA3FBE" w:rsidRDefault="00BA3FBE"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67CD90D" w14:textId="3A793141"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2. Уставн</w:t>
      </w:r>
      <w:r>
        <w:rPr>
          <w:rFonts w:ascii="Times New Roman" w:eastAsia="Times New Roman" w:hAnsi="Times New Roman" w:cs="Times New Roman"/>
          <w:sz w:val="28"/>
          <w:szCs w:val="28"/>
          <w:lang w:eastAsia="ru-RU"/>
        </w:rPr>
        <w:t>ый</w:t>
      </w:r>
      <w:r w:rsidRPr="00855D02">
        <w:rPr>
          <w:rFonts w:ascii="Times New Roman" w:eastAsia="Times New Roman" w:hAnsi="Times New Roman" w:cs="Times New Roman"/>
          <w:sz w:val="28"/>
          <w:szCs w:val="28"/>
          <w:lang w:eastAsia="ru-RU"/>
        </w:rPr>
        <w:t xml:space="preserve"> капитал и состав акционеров. ………………</w:t>
      </w:r>
      <w:r>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4</w:t>
      </w:r>
      <w:r w:rsidRPr="00855D02">
        <w:rPr>
          <w:rFonts w:ascii="Times New Roman" w:eastAsia="Times New Roman" w:hAnsi="Times New Roman" w:cs="Times New Roman"/>
          <w:sz w:val="28"/>
          <w:szCs w:val="28"/>
          <w:lang w:eastAsia="ru-RU"/>
        </w:rPr>
        <w:t xml:space="preserve"> </w:t>
      </w:r>
    </w:p>
    <w:p w14:paraId="6E9F8C34" w14:textId="77777777" w:rsidR="00BA3FBE" w:rsidRDefault="00BA3FBE"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79D2A7D7" w14:textId="5663686C"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3. Положение </w:t>
      </w:r>
      <w:r>
        <w:rPr>
          <w:rFonts w:ascii="Times New Roman" w:eastAsia="Times New Roman" w:hAnsi="Times New Roman" w:cs="Times New Roman"/>
          <w:sz w:val="28"/>
          <w:szCs w:val="28"/>
          <w:lang w:eastAsia="ru-RU"/>
        </w:rPr>
        <w:t xml:space="preserve"> Банка</w:t>
      </w:r>
      <w:r w:rsidRPr="00855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НКЦ</w:t>
      </w:r>
      <w:r w:rsidR="00C513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(АО) </w:t>
      </w:r>
      <w:r w:rsidRPr="00855D0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отрасли</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5</w:t>
      </w:r>
      <w:r w:rsidRPr="00855D02">
        <w:rPr>
          <w:rFonts w:ascii="Times New Roman" w:eastAsia="Times New Roman" w:hAnsi="Times New Roman" w:cs="Times New Roman"/>
          <w:sz w:val="28"/>
          <w:szCs w:val="28"/>
          <w:lang w:eastAsia="ru-RU"/>
        </w:rPr>
        <w:t xml:space="preserve">                                                                                                      </w:t>
      </w:r>
    </w:p>
    <w:p w14:paraId="217DD42D" w14:textId="77777777" w:rsidR="00BA3FBE" w:rsidRDefault="00BA3FBE"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73417991" w14:textId="0AC38009"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4.Перспективы развития </w:t>
      </w:r>
      <w:r w:rsidR="00C513C6">
        <w:rPr>
          <w:rFonts w:ascii="Times New Roman" w:eastAsia="Times New Roman" w:hAnsi="Times New Roman" w:cs="Times New Roman"/>
          <w:sz w:val="28"/>
          <w:szCs w:val="28"/>
          <w:lang w:eastAsia="ru-RU"/>
        </w:rPr>
        <w:t xml:space="preserve"> </w:t>
      </w:r>
      <w:r w:rsidR="001A6EE5">
        <w:rPr>
          <w:rFonts w:ascii="Times New Roman" w:eastAsia="Times New Roman" w:hAnsi="Times New Roman" w:cs="Times New Roman"/>
          <w:sz w:val="28"/>
          <w:szCs w:val="28"/>
          <w:lang w:eastAsia="ru-RU"/>
        </w:rPr>
        <w:t>Банка НКЦ (АО)</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17</w:t>
      </w:r>
      <w:r w:rsidRPr="00855D02">
        <w:rPr>
          <w:rFonts w:ascii="Times New Roman" w:eastAsia="Times New Roman" w:hAnsi="Times New Roman" w:cs="Times New Roman"/>
          <w:sz w:val="28"/>
          <w:szCs w:val="28"/>
          <w:lang w:eastAsia="ru-RU"/>
        </w:rPr>
        <w:t xml:space="preserve"> </w:t>
      </w:r>
    </w:p>
    <w:p w14:paraId="31E1AADC" w14:textId="77777777" w:rsidR="00BA3FBE" w:rsidRDefault="00BA3FBE"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9648513" w14:textId="4CE8FA1F"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5.Результаты развития по основным (приоритетным) направлениям деятельности ……………………………………………………………..</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25</w:t>
      </w:r>
    </w:p>
    <w:p w14:paraId="60520ADC" w14:textId="2CF9BAD7" w:rsidR="00D50D9D" w:rsidRPr="00855D02" w:rsidRDefault="00D50D9D" w:rsidP="00D50D9D">
      <w:pPr>
        <w:widowControl w:val="0"/>
        <w:tabs>
          <w:tab w:val="left" w:pos="8820"/>
        </w:tabs>
        <w:overflowPunct w:val="0"/>
        <w:autoSpaceDE w:val="0"/>
        <w:autoSpaceDN w:val="0"/>
        <w:adjustRightInd w:val="0"/>
        <w:spacing w:after="0" w:line="240" w:lineRule="auto"/>
        <w:ind w:left="720"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5.1.Клиринговая деятельность на валютном рынке и рынке драгметаллов………………………………………………………</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25</w:t>
      </w:r>
    </w:p>
    <w:p w14:paraId="46777569" w14:textId="03818860"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          5.2. Клиринговая деятельность на фондовом рынке……………</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29</w:t>
      </w:r>
    </w:p>
    <w:p w14:paraId="6FE00EAA" w14:textId="63416C65" w:rsidR="00D50D9D" w:rsidRPr="00855D02" w:rsidRDefault="00D50D9D" w:rsidP="00D50D9D">
      <w:pPr>
        <w:widowControl w:val="0"/>
        <w:tabs>
          <w:tab w:val="left" w:pos="8820"/>
        </w:tabs>
        <w:overflowPunct w:val="0"/>
        <w:autoSpaceDE w:val="0"/>
        <w:autoSpaceDN w:val="0"/>
        <w:adjustRightInd w:val="0"/>
        <w:spacing w:after="0" w:line="240" w:lineRule="auto"/>
        <w:ind w:left="720"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5.3.Клиринговая деятельность на срочном рынке………………стр.</w:t>
      </w:r>
      <w:r w:rsidR="00AF127D">
        <w:rPr>
          <w:rFonts w:ascii="Times New Roman" w:eastAsia="Times New Roman" w:hAnsi="Times New Roman" w:cs="Times New Roman"/>
          <w:sz w:val="28"/>
          <w:szCs w:val="28"/>
          <w:lang w:eastAsia="ru-RU"/>
        </w:rPr>
        <w:t>30</w:t>
      </w:r>
    </w:p>
    <w:p w14:paraId="019F8194" w14:textId="6FF2E6BD" w:rsidR="00D50D9D" w:rsidRPr="00154B5A" w:rsidRDefault="00D50D9D" w:rsidP="00D50D9D">
      <w:pPr>
        <w:widowControl w:val="0"/>
        <w:tabs>
          <w:tab w:val="left" w:pos="8820"/>
        </w:tabs>
        <w:overflowPunct w:val="0"/>
        <w:autoSpaceDE w:val="0"/>
        <w:autoSpaceDN w:val="0"/>
        <w:adjustRightInd w:val="0"/>
        <w:spacing w:after="0" w:line="240" w:lineRule="auto"/>
        <w:ind w:left="708"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5.4.Клиринговая деятельность на товарном рынке……………</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33</w:t>
      </w:r>
      <w:r w:rsidRPr="00855D02">
        <w:rPr>
          <w:rFonts w:ascii="Times New Roman" w:eastAsia="Times New Roman" w:hAnsi="Times New Roman" w:cs="Times New Roman"/>
          <w:sz w:val="28"/>
          <w:szCs w:val="28"/>
          <w:lang w:eastAsia="ru-RU"/>
        </w:rPr>
        <w:t xml:space="preserve"> </w:t>
      </w:r>
      <w:r w:rsidRPr="00AF7E63">
        <w:rPr>
          <w:rFonts w:ascii="Times New Roman" w:eastAsia="Times New Roman" w:hAnsi="Times New Roman" w:cs="Times New Roman"/>
          <w:sz w:val="28"/>
          <w:szCs w:val="28"/>
          <w:lang w:eastAsia="ru-RU"/>
        </w:rPr>
        <w:t xml:space="preserve">   </w:t>
      </w:r>
    </w:p>
    <w:p w14:paraId="5F3ABAF1" w14:textId="57512CB4" w:rsidR="00D50D9D" w:rsidRDefault="00D50D9D" w:rsidP="00D50D9D">
      <w:pPr>
        <w:widowControl w:val="0"/>
        <w:tabs>
          <w:tab w:val="left" w:pos="8820"/>
        </w:tabs>
        <w:overflowPunct w:val="0"/>
        <w:autoSpaceDE w:val="0"/>
        <w:autoSpaceDN w:val="0"/>
        <w:adjustRightInd w:val="0"/>
        <w:spacing w:after="0" w:line="240" w:lineRule="auto"/>
        <w:ind w:left="708"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5.5. Клиринговая деятельность на рынке </w:t>
      </w:r>
      <w:r w:rsidRPr="00855D02">
        <w:rPr>
          <w:rFonts w:ascii="Times New Roman" w:eastAsia="Times New Roman" w:hAnsi="Times New Roman" w:cs="Times New Roman"/>
          <w:sz w:val="28"/>
          <w:szCs w:val="28"/>
          <w:lang w:val="en-US" w:eastAsia="ru-RU"/>
        </w:rPr>
        <w:t>c</w:t>
      </w:r>
      <w:r w:rsidRPr="00855D02">
        <w:rPr>
          <w:rFonts w:ascii="Times New Roman" w:eastAsia="Times New Roman" w:hAnsi="Times New Roman" w:cs="Times New Roman"/>
          <w:sz w:val="28"/>
          <w:szCs w:val="28"/>
          <w:lang w:eastAsia="ru-RU"/>
        </w:rPr>
        <w:t xml:space="preserve">тандартизированных </w:t>
      </w:r>
      <w:r w:rsidRPr="00AF7E63">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ПФИ</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34</w:t>
      </w:r>
    </w:p>
    <w:p w14:paraId="6B22A7E2" w14:textId="602CE076" w:rsidR="00D50D9D" w:rsidRPr="00855D02" w:rsidRDefault="00D50D9D" w:rsidP="00D50D9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6EE5">
        <w:rPr>
          <w:rFonts w:ascii="Times New Roman" w:eastAsia="Times New Roman" w:hAnsi="Times New Roman" w:cs="Times New Roman"/>
          <w:sz w:val="28"/>
          <w:szCs w:val="28"/>
          <w:lang w:eastAsia="ru-RU"/>
        </w:rPr>
        <w:t>5.6 Выполнение функций оператора т</w:t>
      </w:r>
      <w:r w:rsidR="00606BA2">
        <w:rPr>
          <w:rFonts w:ascii="Times New Roman" w:eastAsia="Times New Roman" w:hAnsi="Times New Roman" w:cs="Times New Roman"/>
          <w:sz w:val="28"/>
          <w:szCs w:val="28"/>
          <w:lang w:eastAsia="ru-RU"/>
        </w:rPr>
        <w:t>о</w:t>
      </w:r>
      <w:r w:rsidR="001A6EE5">
        <w:rPr>
          <w:rFonts w:ascii="Times New Roman" w:eastAsia="Times New Roman" w:hAnsi="Times New Roman" w:cs="Times New Roman"/>
          <w:sz w:val="28"/>
          <w:szCs w:val="28"/>
          <w:lang w:eastAsia="ru-RU"/>
        </w:rPr>
        <w:t>варных поставок</w:t>
      </w:r>
      <w:r w:rsidR="00606BA2">
        <w:rPr>
          <w:rFonts w:ascii="Times New Roman" w:eastAsia="Times New Roman" w:hAnsi="Times New Roman" w:cs="Times New Roman"/>
          <w:sz w:val="28"/>
          <w:szCs w:val="28"/>
          <w:lang w:eastAsia="ru-RU"/>
        </w:rPr>
        <w:t>…</w:t>
      </w:r>
      <w:r w:rsidR="001A6EE5">
        <w:rPr>
          <w:rFonts w:ascii="Times New Roman" w:eastAsia="Times New Roman" w:hAnsi="Times New Roman" w:cs="Times New Roman"/>
          <w:sz w:val="28"/>
          <w:szCs w:val="28"/>
          <w:lang w:eastAsia="ru-RU"/>
        </w:rPr>
        <w:t>……</w:t>
      </w:r>
      <w:r w:rsidR="004F7206">
        <w:rPr>
          <w:rFonts w:ascii="Times New Roman" w:eastAsia="Times New Roman" w:hAnsi="Times New Roman" w:cs="Times New Roman"/>
          <w:sz w:val="28"/>
          <w:szCs w:val="28"/>
          <w:lang w:eastAsia="ru-RU"/>
        </w:rPr>
        <w:t xml:space="preserve">  </w:t>
      </w:r>
      <w:r w:rsidR="001A6EE5">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35</w:t>
      </w:r>
    </w:p>
    <w:p w14:paraId="2B8F89D4" w14:textId="34ABFE5D" w:rsidR="00D50D9D" w:rsidRPr="00855D02" w:rsidRDefault="00D50D9D" w:rsidP="00D50D9D">
      <w:pPr>
        <w:widowControl w:val="0"/>
        <w:tabs>
          <w:tab w:val="left" w:pos="8820"/>
        </w:tabs>
        <w:overflowPunct w:val="0"/>
        <w:autoSpaceDE w:val="0"/>
        <w:autoSpaceDN w:val="0"/>
        <w:adjustRightInd w:val="0"/>
        <w:spacing w:after="0" w:line="36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6.Собственные операции на финансовых рынках  ..................................стр.</w:t>
      </w:r>
      <w:r w:rsidR="00AF127D">
        <w:rPr>
          <w:rFonts w:ascii="Times New Roman" w:eastAsia="Times New Roman" w:hAnsi="Times New Roman" w:cs="Times New Roman"/>
          <w:sz w:val="28"/>
          <w:szCs w:val="28"/>
          <w:lang w:eastAsia="ru-RU"/>
        </w:rPr>
        <w:t>35</w:t>
      </w:r>
      <w:r w:rsidRPr="00855D02">
        <w:rPr>
          <w:rFonts w:ascii="Times New Roman" w:eastAsia="Times New Roman" w:hAnsi="Times New Roman" w:cs="Times New Roman"/>
          <w:sz w:val="28"/>
          <w:szCs w:val="28"/>
          <w:lang w:eastAsia="ru-RU"/>
        </w:rPr>
        <w:t xml:space="preserve">                                            </w:t>
      </w:r>
    </w:p>
    <w:p w14:paraId="3CA76641" w14:textId="77777777" w:rsidR="00C513C6" w:rsidRDefault="00D50D9D" w:rsidP="00BA3FBE">
      <w:pPr>
        <w:widowControl w:val="0"/>
        <w:tabs>
          <w:tab w:val="left" w:pos="180"/>
          <w:tab w:val="left" w:pos="8789"/>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7.Управление рисками, включая меры по поддержанию качества </w:t>
      </w:r>
    </w:p>
    <w:p w14:paraId="7D0A9617" w14:textId="4549F40D" w:rsidR="00D50D9D" w:rsidRDefault="00D50D9D" w:rsidP="00BA3FBE">
      <w:pPr>
        <w:widowControl w:val="0"/>
        <w:tabs>
          <w:tab w:val="left" w:pos="180"/>
          <w:tab w:val="left" w:pos="8789"/>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управления </w:t>
      </w:r>
      <w:r w:rsidR="001A6EE5">
        <w:rPr>
          <w:rFonts w:ascii="Times New Roman" w:eastAsia="Times New Roman" w:hAnsi="Times New Roman" w:cs="Times New Roman"/>
          <w:sz w:val="28"/>
          <w:szCs w:val="28"/>
          <w:lang w:eastAsia="ru-RU"/>
        </w:rPr>
        <w:t xml:space="preserve">Банка </w:t>
      </w:r>
      <w:r w:rsidRPr="00855D02">
        <w:rPr>
          <w:rFonts w:ascii="Times New Roman" w:eastAsia="Times New Roman" w:hAnsi="Times New Roman" w:cs="Times New Roman"/>
          <w:sz w:val="28"/>
          <w:szCs w:val="28"/>
          <w:lang w:eastAsia="ru-RU"/>
        </w:rPr>
        <w:t xml:space="preserve">НКЦ </w:t>
      </w:r>
      <w:r w:rsidR="001A6EE5">
        <w:rPr>
          <w:rFonts w:ascii="Times New Roman" w:eastAsia="Times New Roman" w:hAnsi="Times New Roman" w:cs="Times New Roman"/>
          <w:sz w:val="28"/>
          <w:szCs w:val="28"/>
          <w:lang w:eastAsia="ru-RU"/>
        </w:rPr>
        <w:t xml:space="preserve">(АО) </w:t>
      </w:r>
      <w:r w:rsidRPr="00855D02">
        <w:rPr>
          <w:rFonts w:ascii="Times New Roman" w:eastAsia="Times New Roman" w:hAnsi="Times New Roman" w:cs="Times New Roman"/>
          <w:sz w:val="28"/>
          <w:szCs w:val="28"/>
          <w:lang w:eastAsia="ru-RU"/>
        </w:rPr>
        <w:t>как</w:t>
      </w:r>
      <w:r w:rsidR="001A6EE5">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ЦК.........................................................стр.</w:t>
      </w:r>
      <w:r w:rsidR="00AF127D">
        <w:rPr>
          <w:rFonts w:ascii="Times New Roman" w:eastAsia="Times New Roman" w:hAnsi="Times New Roman" w:cs="Times New Roman"/>
          <w:sz w:val="28"/>
          <w:szCs w:val="28"/>
          <w:lang w:eastAsia="ru-RU"/>
        </w:rPr>
        <w:t>41</w:t>
      </w:r>
    </w:p>
    <w:p w14:paraId="1A2CDF54" w14:textId="77777777" w:rsidR="00BA3FBE" w:rsidRDefault="00BA3FBE" w:rsidP="00BA3FBE">
      <w:pPr>
        <w:widowControl w:val="0"/>
        <w:tabs>
          <w:tab w:val="left" w:pos="180"/>
          <w:tab w:val="left" w:pos="8789"/>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46804D71" w14:textId="2DABB9BC" w:rsidR="00D50D9D" w:rsidRPr="00855D02" w:rsidRDefault="00D50D9D" w:rsidP="00BA3FBE">
      <w:pPr>
        <w:widowControl w:val="0"/>
        <w:tabs>
          <w:tab w:val="left" w:pos="180"/>
          <w:tab w:val="left" w:pos="8789"/>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8.Система внутреннего контроля…………………………………………</w:t>
      </w:r>
      <w:r w:rsidR="004F720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тр.</w:t>
      </w:r>
      <w:r w:rsidR="00AF127D">
        <w:rPr>
          <w:rFonts w:ascii="Times New Roman" w:eastAsia="Times New Roman" w:hAnsi="Times New Roman" w:cs="Times New Roman"/>
          <w:sz w:val="28"/>
          <w:szCs w:val="28"/>
          <w:lang w:eastAsia="ru-RU"/>
        </w:rPr>
        <w:t>65</w:t>
      </w:r>
    </w:p>
    <w:p w14:paraId="4327BD2B" w14:textId="77777777" w:rsidR="00BA3FBE" w:rsidRDefault="00BA3FBE"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669101A5" w14:textId="08C0D1A0"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55D02">
        <w:rPr>
          <w:rFonts w:ascii="Times New Roman" w:eastAsia="Times New Roman" w:hAnsi="Times New Roman" w:cs="Times New Roman"/>
          <w:sz w:val="28"/>
          <w:szCs w:val="28"/>
          <w:lang w:eastAsia="ru-RU"/>
        </w:rPr>
        <w:t xml:space="preserve">.Технологическая платформа </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69</w:t>
      </w:r>
      <w:r w:rsidRPr="00855D02">
        <w:rPr>
          <w:rFonts w:ascii="Times New Roman" w:eastAsia="Times New Roman" w:hAnsi="Times New Roman" w:cs="Times New Roman"/>
          <w:sz w:val="28"/>
          <w:szCs w:val="28"/>
          <w:lang w:eastAsia="ru-RU"/>
        </w:rPr>
        <w:t xml:space="preserve"> </w:t>
      </w:r>
    </w:p>
    <w:p w14:paraId="63F90DC7"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64926847" w14:textId="6836A098"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55D02">
        <w:rPr>
          <w:rFonts w:ascii="Times New Roman" w:eastAsia="Times New Roman" w:hAnsi="Times New Roman" w:cs="Times New Roman"/>
          <w:sz w:val="28"/>
          <w:szCs w:val="28"/>
          <w:lang w:eastAsia="ru-RU"/>
        </w:rPr>
        <w:t xml:space="preserve">.Основные финансовые результаты  </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w:t>
      </w:r>
      <w:r w:rsidR="00AF127D">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стр.</w:t>
      </w:r>
      <w:r w:rsidR="00AF127D">
        <w:rPr>
          <w:rFonts w:ascii="Times New Roman" w:eastAsia="Times New Roman" w:hAnsi="Times New Roman" w:cs="Times New Roman"/>
          <w:sz w:val="28"/>
          <w:szCs w:val="28"/>
          <w:lang w:eastAsia="ru-RU"/>
        </w:rPr>
        <w:t>72</w:t>
      </w:r>
      <w:r w:rsidRPr="00855D02">
        <w:rPr>
          <w:rFonts w:ascii="Times New Roman" w:eastAsia="Times New Roman" w:hAnsi="Times New Roman" w:cs="Times New Roman"/>
          <w:sz w:val="28"/>
          <w:szCs w:val="28"/>
          <w:lang w:eastAsia="ru-RU"/>
        </w:rPr>
        <w:t xml:space="preserve">                                                               </w:t>
      </w:r>
    </w:p>
    <w:p w14:paraId="5FB75597"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B0B878D" w14:textId="77777777" w:rsidR="00D50D9D"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445C0F0E" w14:textId="4EBD44DE"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6F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Кадровая    политика</w:t>
      </w:r>
      <w:r>
        <w:rPr>
          <w:rFonts w:ascii="Times New Roman" w:eastAsia="Times New Roman" w:hAnsi="Times New Roman" w:cs="Times New Roman"/>
          <w:sz w:val="28"/>
          <w:szCs w:val="28"/>
          <w:lang w:eastAsia="ru-RU"/>
        </w:rPr>
        <w:t>. Информация об оплате труда</w:t>
      </w:r>
      <w:r w:rsidR="00C513C6">
        <w:rPr>
          <w:rFonts w:ascii="Times New Roman" w:eastAsia="Times New Roman" w:hAnsi="Times New Roman" w:cs="Times New Roman"/>
          <w:sz w:val="28"/>
          <w:szCs w:val="28"/>
          <w:lang w:eastAsia="ru-RU"/>
        </w:rPr>
        <w:t>………………</w:t>
      </w:r>
      <w:r w:rsidR="004F7206">
        <w:rPr>
          <w:rFonts w:ascii="Times New Roman" w:eastAsia="Times New Roman" w:hAnsi="Times New Roman" w:cs="Times New Roman"/>
          <w:sz w:val="28"/>
          <w:szCs w:val="28"/>
          <w:lang w:eastAsia="ru-RU"/>
        </w:rPr>
        <w:t>...</w:t>
      </w:r>
      <w:r w:rsidR="00C513C6">
        <w:rPr>
          <w:rFonts w:ascii="Times New Roman" w:eastAsia="Times New Roman" w:hAnsi="Times New Roman" w:cs="Times New Roman"/>
          <w:sz w:val="28"/>
          <w:szCs w:val="28"/>
          <w:lang w:eastAsia="ru-RU"/>
        </w:rPr>
        <w:t>стр.</w:t>
      </w:r>
      <w:r w:rsidR="00460913">
        <w:rPr>
          <w:rFonts w:ascii="Times New Roman" w:eastAsia="Times New Roman" w:hAnsi="Times New Roman" w:cs="Times New Roman"/>
          <w:sz w:val="28"/>
          <w:szCs w:val="28"/>
          <w:lang w:eastAsia="ru-RU"/>
        </w:rPr>
        <w:t>7</w:t>
      </w:r>
      <w:r w:rsidR="00AF127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 xml:space="preserve">                     </w:t>
      </w:r>
    </w:p>
    <w:p w14:paraId="1ABA55F8"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7980C250" w14:textId="6EEAF85C"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1</w:t>
      </w:r>
      <w:r w:rsidR="00C96F61">
        <w:rPr>
          <w:rFonts w:ascii="Times New Roman" w:eastAsia="Times New Roman" w:hAnsi="Times New Roman" w:cs="Times New Roman"/>
          <w:sz w:val="28"/>
          <w:szCs w:val="28"/>
          <w:lang w:eastAsia="ru-RU"/>
        </w:rPr>
        <w:t>2</w:t>
      </w:r>
      <w:r w:rsidRPr="00855D02">
        <w:rPr>
          <w:rFonts w:ascii="Times New Roman" w:eastAsia="Times New Roman" w:hAnsi="Times New Roman" w:cs="Times New Roman"/>
          <w:sz w:val="28"/>
          <w:szCs w:val="28"/>
          <w:lang w:eastAsia="ru-RU"/>
        </w:rPr>
        <w:t>. О вознаграждении Председателя Правления, членов Правления</w:t>
      </w:r>
    </w:p>
    <w:p w14:paraId="5BAB723E"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 и членов Наблюдательного совета </w:t>
      </w:r>
    </w:p>
    <w:p w14:paraId="5B4AA60A" w14:textId="2300654C"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(критерии определения и размер вознаграждения</w:t>
      </w:r>
      <w:r w:rsidR="00600634">
        <w:rPr>
          <w:rFonts w:ascii="Times New Roman" w:eastAsia="Times New Roman" w:hAnsi="Times New Roman" w:cs="Times New Roman"/>
          <w:sz w:val="28"/>
          <w:szCs w:val="28"/>
          <w:lang w:eastAsia="ru-RU"/>
        </w:rPr>
        <w:t xml:space="preserve"> </w:t>
      </w:r>
      <w:r w:rsidRPr="00855D02">
        <w:rPr>
          <w:rFonts w:ascii="Times New Roman" w:eastAsia="Times New Roman" w:hAnsi="Times New Roman" w:cs="Times New Roman"/>
          <w:sz w:val="28"/>
          <w:szCs w:val="28"/>
          <w:lang w:eastAsia="ru-RU"/>
        </w:rPr>
        <w:t>)</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w:t>
      </w:r>
      <w:r w:rsidR="004F720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460913">
        <w:rPr>
          <w:rFonts w:ascii="Times New Roman" w:eastAsia="Times New Roman" w:hAnsi="Times New Roman" w:cs="Times New Roman"/>
          <w:sz w:val="28"/>
          <w:szCs w:val="28"/>
          <w:lang w:eastAsia="ru-RU"/>
        </w:rPr>
        <w:t xml:space="preserve"> 80</w:t>
      </w:r>
      <w:r w:rsidRPr="00855D02">
        <w:rPr>
          <w:rFonts w:ascii="Times New Roman" w:eastAsia="Times New Roman" w:hAnsi="Times New Roman" w:cs="Times New Roman"/>
          <w:sz w:val="28"/>
          <w:szCs w:val="28"/>
          <w:lang w:eastAsia="ru-RU"/>
        </w:rPr>
        <w:t xml:space="preserve">    </w:t>
      </w:r>
    </w:p>
    <w:p w14:paraId="59D0AE97"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5C6B258" w14:textId="3E87FE84"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1</w:t>
      </w:r>
      <w:r w:rsidR="00C96F61">
        <w:rPr>
          <w:rFonts w:ascii="Times New Roman" w:eastAsia="Times New Roman" w:hAnsi="Times New Roman" w:cs="Times New Roman"/>
          <w:sz w:val="28"/>
          <w:szCs w:val="28"/>
          <w:lang w:eastAsia="ru-RU"/>
        </w:rPr>
        <w:t>3</w:t>
      </w:r>
      <w:r w:rsidRPr="00855D02">
        <w:rPr>
          <w:rFonts w:ascii="Times New Roman" w:eastAsia="Times New Roman" w:hAnsi="Times New Roman" w:cs="Times New Roman"/>
          <w:sz w:val="28"/>
          <w:szCs w:val="28"/>
          <w:lang w:eastAsia="ru-RU"/>
        </w:rPr>
        <w:t>. О дивидендах по акциям</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460913">
        <w:rPr>
          <w:rFonts w:ascii="Times New Roman" w:eastAsia="Times New Roman" w:hAnsi="Times New Roman" w:cs="Times New Roman"/>
          <w:sz w:val="28"/>
          <w:szCs w:val="28"/>
          <w:lang w:eastAsia="ru-RU"/>
        </w:rPr>
        <w:t xml:space="preserve"> 82</w:t>
      </w:r>
      <w:r w:rsidRPr="00855D02">
        <w:rPr>
          <w:rFonts w:ascii="Times New Roman" w:eastAsia="Times New Roman" w:hAnsi="Times New Roman" w:cs="Times New Roman"/>
          <w:sz w:val="28"/>
          <w:szCs w:val="28"/>
          <w:lang w:eastAsia="ru-RU"/>
        </w:rPr>
        <w:t xml:space="preserve">  </w:t>
      </w:r>
    </w:p>
    <w:p w14:paraId="22B4AB7E" w14:textId="77777777"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                                  </w:t>
      </w:r>
    </w:p>
    <w:p w14:paraId="0823CC3B" w14:textId="5601DBA6" w:rsidR="00D50D9D" w:rsidRPr="00855D02" w:rsidRDefault="00D50D9D" w:rsidP="00BA3FBE">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1</w:t>
      </w:r>
      <w:r w:rsidR="00C96F61">
        <w:rPr>
          <w:rFonts w:ascii="Times New Roman" w:eastAsia="Times New Roman" w:hAnsi="Times New Roman" w:cs="Times New Roman"/>
          <w:sz w:val="28"/>
          <w:szCs w:val="28"/>
          <w:lang w:eastAsia="ru-RU"/>
        </w:rPr>
        <w:t>4</w:t>
      </w:r>
      <w:r w:rsidRPr="00855D02">
        <w:rPr>
          <w:rFonts w:ascii="Times New Roman" w:eastAsia="Times New Roman" w:hAnsi="Times New Roman" w:cs="Times New Roman"/>
          <w:sz w:val="28"/>
          <w:szCs w:val="28"/>
          <w:lang w:eastAsia="ru-RU"/>
        </w:rPr>
        <w:t xml:space="preserve">. О соблюдении Кодекса корпоративного </w:t>
      </w:r>
      <w:r>
        <w:rPr>
          <w:rFonts w:ascii="Times New Roman" w:eastAsia="Times New Roman" w:hAnsi="Times New Roman" w:cs="Times New Roman"/>
          <w:sz w:val="28"/>
          <w:szCs w:val="28"/>
          <w:lang w:eastAsia="ru-RU"/>
        </w:rPr>
        <w:t>управления</w:t>
      </w:r>
      <w:r w:rsidR="00C513C6">
        <w:rPr>
          <w:rFonts w:ascii="Times New Roman" w:eastAsia="Times New Roman" w:hAnsi="Times New Roman" w:cs="Times New Roman"/>
          <w:sz w:val="28"/>
          <w:szCs w:val="28"/>
          <w:lang w:eastAsia="ru-RU"/>
        </w:rPr>
        <w:t>…</w:t>
      </w:r>
      <w:r w:rsidRPr="00855D02">
        <w:rPr>
          <w:rFonts w:ascii="Times New Roman" w:eastAsia="Times New Roman" w:hAnsi="Times New Roman" w:cs="Times New Roman"/>
          <w:sz w:val="28"/>
          <w:szCs w:val="28"/>
          <w:lang w:eastAsia="ru-RU"/>
        </w:rPr>
        <w:t>………….…стр.</w:t>
      </w:r>
      <w:r w:rsidR="00460913">
        <w:rPr>
          <w:rFonts w:ascii="Times New Roman" w:eastAsia="Times New Roman" w:hAnsi="Times New Roman" w:cs="Times New Roman"/>
          <w:sz w:val="28"/>
          <w:szCs w:val="28"/>
          <w:lang w:eastAsia="ru-RU"/>
        </w:rPr>
        <w:t xml:space="preserve"> 84</w:t>
      </w:r>
      <w:r w:rsidRPr="00855D02">
        <w:rPr>
          <w:rFonts w:ascii="Times New Roman" w:eastAsia="Times New Roman" w:hAnsi="Times New Roman" w:cs="Times New Roman"/>
          <w:sz w:val="28"/>
          <w:szCs w:val="28"/>
          <w:lang w:eastAsia="ru-RU"/>
        </w:rPr>
        <w:t xml:space="preserve"> </w:t>
      </w:r>
    </w:p>
    <w:p w14:paraId="605EA389" w14:textId="77777777" w:rsidR="00F96452" w:rsidRDefault="00F96452" w:rsidP="00BA3FBE">
      <w:pPr>
        <w:widowControl w:val="0"/>
        <w:tabs>
          <w:tab w:val="left" w:pos="8789"/>
          <w:tab w:val="left" w:pos="907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7F774174" w14:textId="77777777" w:rsidR="0068193E" w:rsidRDefault="0068193E" w:rsidP="00F96452">
      <w:pPr>
        <w:ind w:firstLine="360"/>
        <w:jc w:val="center"/>
        <w:outlineLvl w:val="0"/>
        <w:rPr>
          <w:rFonts w:ascii="Times New Roman" w:hAnsi="Times New Roman" w:cs="Times New Roman"/>
          <w:b/>
          <w:sz w:val="28"/>
          <w:szCs w:val="28"/>
        </w:rPr>
      </w:pPr>
    </w:p>
    <w:p w14:paraId="29B4B023" w14:textId="77777777" w:rsidR="00F96452" w:rsidRPr="0002361F" w:rsidRDefault="00F96452" w:rsidP="00F96452">
      <w:pPr>
        <w:ind w:firstLine="360"/>
        <w:jc w:val="center"/>
        <w:outlineLvl w:val="0"/>
        <w:rPr>
          <w:rFonts w:ascii="Times New Roman" w:hAnsi="Times New Roman" w:cs="Times New Roman"/>
          <w:b/>
          <w:sz w:val="28"/>
          <w:szCs w:val="28"/>
        </w:rPr>
      </w:pPr>
      <w:r w:rsidRPr="0002361F">
        <w:rPr>
          <w:rFonts w:ascii="Times New Roman" w:hAnsi="Times New Roman" w:cs="Times New Roman"/>
          <w:b/>
          <w:sz w:val="28"/>
          <w:szCs w:val="28"/>
        </w:rPr>
        <w:lastRenderedPageBreak/>
        <w:t>1. Общие сведения</w:t>
      </w:r>
    </w:p>
    <w:p w14:paraId="13D601BD" w14:textId="77777777" w:rsidR="00F96452" w:rsidRPr="0002361F" w:rsidRDefault="00F96452" w:rsidP="004C21B0">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Банк «Национальный Клиринговый Центр» (Акционерное общество) (далее – Банк, НКЦ) был создан в соответствии с решением Общего собрания учредителей в 2005 году с наименованиями Акционерный Коммерческий Банк «Национальный Клиринговый Центр» (Закрытое акционерное общество)</w:t>
      </w:r>
      <w:r w:rsidR="00600634">
        <w:rPr>
          <w:rFonts w:ascii="Times New Roman" w:hAnsi="Times New Roman" w:cs="Times New Roman"/>
          <w:sz w:val="24"/>
          <w:szCs w:val="24"/>
        </w:rPr>
        <w:t>,</w:t>
      </w:r>
      <w:r w:rsidRPr="0002361F">
        <w:rPr>
          <w:rFonts w:ascii="Times New Roman" w:hAnsi="Times New Roman" w:cs="Times New Roman"/>
          <w:sz w:val="24"/>
          <w:szCs w:val="24"/>
        </w:rPr>
        <w:t xml:space="preserve"> ЗАО АКБ «Национальный Клиринговый Центр» и зарегистрирован в Межрайонной ИФНС № 50 по г. Москве 30 мая 2006 года (свидетельство о государственной регистрации юридического лица серия 77 № 010075586 от 30.05.2006, ОГРН – 1067711004481).</w:t>
      </w:r>
    </w:p>
    <w:p w14:paraId="140D6D08" w14:textId="77777777" w:rsidR="00F96452" w:rsidRPr="0002361F" w:rsidRDefault="00F96452" w:rsidP="004C21B0">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 xml:space="preserve">30 мая 2006 года Банк получил Свидетельство Банка России о государственной регистрации кредитной организации № 3466, 16 августа 2006 года - лицензию Банка России на осуществление банковских операций со средствами в рублях и иностранной валюте № 3466 (без права привлечения во вклады денежных средств физических лиц). </w:t>
      </w:r>
    </w:p>
    <w:p w14:paraId="621C7650" w14:textId="77777777" w:rsidR="006E05F8" w:rsidRDefault="006E05F8" w:rsidP="004C21B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расширения деятельности в 2012 году Банк получил лицензию на привлечение во вклады и размещение драгоценных металлов.</w:t>
      </w:r>
    </w:p>
    <w:p w14:paraId="78F3D3EB" w14:textId="77777777" w:rsidR="006E05F8" w:rsidRPr="0002361F" w:rsidDel="006E05F8" w:rsidRDefault="00F96452" w:rsidP="00E50A6C">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В 2014 году Банк был реорганизован в форме присоединения к нему Небанковской Кредитной Организации «Расчетная палата РТС» (закрытое акционерное общество) и Закрытого акционерного общества «Клиринговый центр РТС»</w:t>
      </w:r>
      <w:r w:rsidR="00FE4A4C">
        <w:rPr>
          <w:rFonts w:ascii="Times New Roman" w:hAnsi="Times New Roman" w:cs="Times New Roman"/>
          <w:sz w:val="24"/>
          <w:szCs w:val="24"/>
        </w:rPr>
        <w:t xml:space="preserve"> </w:t>
      </w:r>
      <w:r w:rsidR="009D0792">
        <w:rPr>
          <w:rFonts w:ascii="Times New Roman" w:hAnsi="Times New Roman" w:cs="Times New Roman"/>
          <w:sz w:val="24"/>
          <w:szCs w:val="24"/>
        </w:rPr>
        <w:t xml:space="preserve">и </w:t>
      </w:r>
      <w:r w:rsidR="009D0792" w:rsidRPr="0002361F">
        <w:rPr>
          <w:rFonts w:ascii="Times New Roman" w:hAnsi="Times New Roman" w:cs="Times New Roman"/>
          <w:sz w:val="24"/>
          <w:szCs w:val="24"/>
        </w:rPr>
        <w:t>является</w:t>
      </w:r>
      <w:r w:rsidRPr="0002361F">
        <w:rPr>
          <w:rFonts w:ascii="Times New Roman" w:hAnsi="Times New Roman" w:cs="Times New Roman"/>
          <w:sz w:val="24"/>
          <w:szCs w:val="24"/>
        </w:rPr>
        <w:t xml:space="preserve"> правопреемником указанных юридических лиц.</w:t>
      </w:r>
      <w:r w:rsidR="006E05F8" w:rsidRPr="006E05F8" w:rsidDel="006E05F8">
        <w:rPr>
          <w:rFonts w:ascii="Times New Roman" w:hAnsi="Times New Roman" w:cs="Times New Roman"/>
          <w:sz w:val="24"/>
          <w:szCs w:val="24"/>
        </w:rPr>
        <w:t xml:space="preserve"> </w:t>
      </w:r>
    </w:p>
    <w:p w14:paraId="3D15DE0D" w14:textId="77777777" w:rsidR="00F96452" w:rsidRPr="0002361F" w:rsidRDefault="00F96452" w:rsidP="004C21B0">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 xml:space="preserve">В </w:t>
      </w:r>
      <w:r w:rsidR="006E05F8">
        <w:rPr>
          <w:rFonts w:ascii="Times New Roman" w:hAnsi="Times New Roman" w:cs="Times New Roman"/>
          <w:sz w:val="24"/>
          <w:szCs w:val="24"/>
        </w:rPr>
        <w:t xml:space="preserve">2015 году </w:t>
      </w:r>
      <w:r w:rsidRPr="0002361F">
        <w:rPr>
          <w:rFonts w:ascii="Times New Roman" w:hAnsi="Times New Roman" w:cs="Times New Roman"/>
          <w:sz w:val="24"/>
          <w:szCs w:val="24"/>
        </w:rPr>
        <w:t xml:space="preserve">соответствии с решением единственного акционера Банка </w:t>
      </w:r>
      <w:r w:rsidR="00D87B09">
        <w:rPr>
          <w:rFonts w:ascii="Times New Roman" w:hAnsi="Times New Roman" w:cs="Times New Roman"/>
          <w:sz w:val="24"/>
          <w:szCs w:val="24"/>
        </w:rPr>
        <w:t xml:space="preserve">его </w:t>
      </w:r>
      <w:r w:rsidRPr="0002361F">
        <w:rPr>
          <w:rFonts w:ascii="Times New Roman" w:hAnsi="Times New Roman" w:cs="Times New Roman"/>
          <w:sz w:val="24"/>
          <w:szCs w:val="24"/>
        </w:rPr>
        <w:t>наименования были приведены в соответствие с действующим законодательством и определены как: Банк «Национальный Клиринговый Центр» (Акционерное общество)</w:t>
      </w:r>
      <w:r w:rsidR="00271F47">
        <w:rPr>
          <w:rFonts w:ascii="Times New Roman" w:hAnsi="Times New Roman" w:cs="Times New Roman"/>
          <w:sz w:val="24"/>
          <w:szCs w:val="24"/>
        </w:rPr>
        <w:t>,</w:t>
      </w:r>
      <w:r w:rsidRPr="0002361F">
        <w:rPr>
          <w:rFonts w:ascii="Times New Roman" w:hAnsi="Times New Roman" w:cs="Times New Roman"/>
          <w:sz w:val="24"/>
          <w:szCs w:val="24"/>
        </w:rPr>
        <w:t xml:space="preserve"> Банк НКЦ (АО).</w:t>
      </w:r>
    </w:p>
    <w:p w14:paraId="0AF45FFC" w14:textId="77777777" w:rsidR="00F96452" w:rsidRPr="0002361F" w:rsidRDefault="00F96452" w:rsidP="004C21B0">
      <w:pPr>
        <w:tabs>
          <w:tab w:val="left" w:pos="567"/>
        </w:tabs>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В связи с произошедшей сменой наименования Банка 17 марта 2015 года были обновлен</w:t>
      </w:r>
      <w:r w:rsidR="009D0792">
        <w:rPr>
          <w:rFonts w:ascii="Times New Roman" w:hAnsi="Times New Roman" w:cs="Times New Roman"/>
          <w:sz w:val="24"/>
          <w:szCs w:val="24"/>
        </w:rPr>
        <w:t>а</w:t>
      </w:r>
      <w:r w:rsidRPr="0002361F">
        <w:rPr>
          <w:rFonts w:ascii="Times New Roman" w:hAnsi="Times New Roman" w:cs="Times New Roman"/>
          <w:sz w:val="24"/>
          <w:szCs w:val="24"/>
        </w:rPr>
        <w:t xml:space="preserve"> 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 № 3466, а также лицензия на привлечение во вклады и размещение драгоценных металлов. </w:t>
      </w:r>
    </w:p>
    <w:p w14:paraId="5C12F00E" w14:textId="77777777" w:rsidR="00132C64" w:rsidRPr="0002361F" w:rsidDel="006E05F8" w:rsidRDefault="006E05F8" w:rsidP="00E50A6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w:t>
      </w:r>
      <w:r w:rsidR="00F96452" w:rsidRPr="0002361F">
        <w:rPr>
          <w:rFonts w:ascii="Times New Roman" w:hAnsi="Times New Roman" w:cs="Times New Roman"/>
          <w:sz w:val="24"/>
          <w:szCs w:val="24"/>
        </w:rPr>
        <w:t xml:space="preserve">осуществления клиринговой деятельности в соответствии с </w:t>
      </w:r>
      <w:r w:rsidRPr="006E05F8">
        <w:rPr>
          <w:rFonts w:ascii="Times New Roman" w:hAnsi="Times New Roman" w:cs="Times New Roman"/>
          <w:sz w:val="24"/>
          <w:szCs w:val="24"/>
        </w:rPr>
        <w:t>Федеральн</w:t>
      </w:r>
      <w:r>
        <w:rPr>
          <w:rFonts w:ascii="Times New Roman" w:hAnsi="Times New Roman" w:cs="Times New Roman"/>
          <w:sz w:val="24"/>
          <w:szCs w:val="24"/>
        </w:rPr>
        <w:t>ым</w:t>
      </w:r>
      <w:r w:rsidRPr="006E05F8">
        <w:rPr>
          <w:rFonts w:ascii="Times New Roman" w:hAnsi="Times New Roman" w:cs="Times New Roman"/>
          <w:sz w:val="24"/>
          <w:szCs w:val="24"/>
        </w:rPr>
        <w:t xml:space="preserve"> закон</w:t>
      </w:r>
      <w:r>
        <w:rPr>
          <w:rFonts w:ascii="Times New Roman" w:hAnsi="Times New Roman" w:cs="Times New Roman"/>
          <w:sz w:val="24"/>
          <w:szCs w:val="24"/>
        </w:rPr>
        <w:t>ом</w:t>
      </w:r>
      <w:r w:rsidRPr="006E05F8">
        <w:rPr>
          <w:rFonts w:ascii="Times New Roman" w:hAnsi="Times New Roman" w:cs="Times New Roman"/>
          <w:sz w:val="24"/>
          <w:szCs w:val="24"/>
        </w:rPr>
        <w:t xml:space="preserve"> «О клиринге, клиринговой деятельности и центральном контрагенте» № 7-ФЗ от 07.02.2011 </w:t>
      </w:r>
      <w:r w:rsidR="00F96452" w:rsidRPr="0002361F">
        <w:rPr>
          <w:rFonts w:ascii="Times New Roman" w:hAnsi="Times New Roman" w:cs="Times New Roman"/>
          <w:sz w:val="24"/>
          <w:szCs w:val="24"/>
        </w:rPr>
        <w:t xml:space="preserve">Банк </w:t>
      </w:r>
      <w:r>
        <w:rPr>
          <w:rFonts w:ascii="Times New Roman" w:hAnsi="Times New Roman" w:cs="Times New Roman"/>
          <w:sz w:val="24"/>
          <w:szCs w:val="24"/>
        </w:rPr>
        <w:t>имеет</w:t>
      </w:r>
      <w:r w:rsidRPr="0002361F">
        <w:rPr>
          <w:rFonts w:ascii="Times New Roman" w:hAnsi="Times New Roman" w:cs="Times New Roman"/>
          <w:sz w:val="24"/>
          <w:szCs w:val="24"/>
        </w:rPr>
        <w:t xml:space="preserve"> </w:t>
      </w:r>
      <w:r w:rsidR="00F96452" w:rsidRPr="0002361F">
        <w:rPr>
          <w:rFonts w:ascii="Times New Roman" w:hAnsi="Times New Roman" w:cs="Times New Roman"/>
          <w:sz w:val="24"/>
          <w:szCs w:val="24"/>
        </w:rPr>
        <w:t>лицензи</w:t>
      </w:r>
      <w:r w:rsidR="00FE4A4C">
        <w:rPr>
          <w:rFonts w:ascii="Times New Roman" w:hAnsi="Times New Roman" w:cs="Times New Roman"/>
          <w:sz w:val="24"/>
          <w:szCs w:val="24"/>
        </w:rPr>
        <w:t>ю</w:t>
      </w:r>
      <w:r w:rsidR="00F96452" w:rsidRPr="0002361F">
        <w:rPr>
          <w:rFonts w:ascii="Times New Roman" w:hAnsi="Times New Roman" w:cs="Times New Roman"/>
          <w:sz w:val="24"/>
          <w:szCs w:val="24"/>
        </w:rPr>
        <w:t xml:space="preserve"> на осуществление клиринговой деятельности от 18.12.2012.</w:t>
      </w:r>
      <w:r w:rsidR="00132C64" w:rsidRPr="00132C64" w:rsidDel="006E05F8">
        <w:rPr>
          <w:rFonts w:ascii="Times New Roman" w:hAnsi="Times New Roman" w:cs="Times New Roman"/>
          <w:sz w:val="24"/>
          <w:szCs w:val="24"/>
        </w:rPr>
        <w:t xml:space="preserve"> </w:t>
      </w:r>
      <w:r w:rsidR="00132C64" w:rsidRPr="0002361F" w:rsidDel="006E05F8">
        <w:rPr>
          <w:rFonts w:ascii="Times New Roman" w:hAnsi="Times New Roman" w:cs="Times New Roman"/>
          <w:sz w:val="24"/>
          <w:szCs w:val="24"/>
        </w:rPr>
        <w:t xml:space="preserve">В 2015 году </w:t>
      </w:r>
      <w:r w:rsidR="00132C64">
        <w:rPr>
          <w:rFonts w:ascii="Times New Roman" w:hAnsi="Times New Roman" w:cs="Times New Roman"/>
          <w:sz w:val="24"/>
          <w:szCs w:val="24"/>
        </w:rPr>
        <w:t xml:space="preserve">в соответствии с указанным Федеральным законом </w:t>
      </w:r>
      <w:r w:rsidR="00132C64" w:rsidRPr="0002361F" w:rsidDel="006E05F8">
        <w:rPr>
          <w:rFonts w:ascii="Times New Roman" w:hAnsi="Times New Roman" w:cs="Times New Roman"/>
          <w:sz w:val="24"/>
          <w:szCs w:val="24"/>
        </w:rPr>
        <w:t>Банком получена аккредитация Банка России для осуществления функций оператора товарных поставок.</w:t>
      </w:r>
    </w:p>
    <w:p w14:paraId="5D903B0D" w14:textId="77777777" w:rsidR="00F96452" w:rsidRPr="0002361F" w:rsidRDefault="00F96452" w:rsidP="00E50A6C">
      <w:pPr>
        <w:spacing w:line="240" w:lineRule="auto"/>
        <w:ind w:firstLine="567"/>
        <w:jc w:val="both"/>
        <w:rPr>
          <w:rFonts w:ascii="Times New Roman" w:hAnsi="Times New Roman" w:cs="Times New Roman"/>
          <w:sz w:val="24"/>
          <w:szCs w:val="24"/>
        </w:rPr>
      </w:pPr>
      <w:r w:rsidRPr="00E50A6C">
        <w:rPr>
          <w:rFonts w:ascii="Times New Roman" w:hAnsi="Times New Roman" w:cs="Times New Roman"/>
          <w:sz w:val="24"/>
          <w:szCs w:val="24"/>
        </w:rPr>
        <w:t>Банк также обладает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w:t>
      </w:r>
      <w:r w:rsidR="00271F47" w:rsidRPr="00E50A6C">
        <w:rPr>
          <w:rFonts w:ascii="Times New Roman" w:hAnsi="Times New Roman" w:cs="Times New Roman"/>
          <w:sz w:val="24"/>
          <w:szCs w:val="24"/>
        </w:rPr>
        <w:t>ных (криптографических) средств</w:t>
      </w:r>
      <w:r w:rsidRPr="00E50A6C">
        <w:rPr>
          <w:rFonts w:ascii="Times New Roman" w:hAnsi="Times New Roman" w:cs="Times New Roman"/>
          <w:sz w:val="24"/>
          <w:szCs w:val="24"/>
        </w:rPr>
        <w:t xml:space="preserve"> осуществляется для обеспечения собственных нужд юридического лица или индивидуального предпринимателя). </w:t>
      </w:r>
    </w:p>
    <w:p w14:paraId="01364621" w14:textId="77777777" w:rsidR="00F96452" w:rsidRPr="0002361F" w:rsidRDefault="00F96452" w:rsidP="004C21B0">
      <w:pPr>
        <w:spacing w:line="240" w:lineRule="auto"/>
        <w:jc w:val="both"/>
        <w:rPr>
          <w:rFonts w:ascii="Times New Roman" w:hAnsi="Times New Roman" w:cs="Times New Roman"/>
          <w:b/>
          <w:i/>
          <w:sz w:val="24"/>
          <w:szCs w:val="24"/>
        </w:rPr>
      </w:pPr>
    </w:p>
    <w:p w14:paraId="1A2D22C1" w14:textId="77777777" w:rsidR="00F96452" w:rsidRPr="0002361F" w:rsidRDefault="00F96452" w:rsidP="00F96452">
      <w:pPr>
        <w:jc w:val="both"/>
        <w:rPr>
          <w:rFonts w:ascii="Times New Roman" w:hAnsi="Times New Roman" w:cs="Times New Roman"/>
          <w:b/>
          <w:i/>
          <w:sz w:val="24"/>
          <w:szCs w:val="24"/>
        </w:rPr>
      </w:pPr>
      <w:r w:rsidRPr="0002361F">
        <w:rPr>
          <w:rFonts w:ascii="Times New Roman" w:hAnsi="Times New Roman" w:cs="Times New Roman"/>
          <w:b/>
          <w:i/>
          <w:sz w:val="24"/>
          <w:szCs w:val="24"/>
        </w:rPr>
        <w:t>Место нахождения:</w:t>
      </w:r>
    </w:p>
    <w:p w14:paraId="509AF385" w14:textId="77777777" w:rsidR="00F96452" w:rsidRPr="0002361F" w:rsidRDefault="00F96452" w:rsidP="00F96452">
      <w:pPr>
        <w:ind w:firstLine="360"/>
        <w:jc w:val="both"/>
        <w:rPr>
          <w:rFonts w:ascii="Times New Roman" w:hAnsi="Times New Roman" w:cs="Times New Roman"/>
          <w:sz w:val="24"/>
          <w:szCs w:val="24"/>
        </w:rPr>
      </w:pPr>
      <w:r w:rsidRPr="0002361F">
        <w:rPr>
          <w:rFonts w:ascii="Times New Roman" w:hAnsi="Times New Roman" w:cs="Times New Roman"/>
          <w:sz w:val="24"/>
          <w:szCs w:val="24"/>
        </w:rPr>
        <w:lastRenderedPageBreak/>
        <w:t>г. Москва, Большой Кисловский переулок, дом 13.</w:t>
      </w:r>
      <w:r w:rsidRPr="0002361F">
        <w:rPr>
          <w:rFonts w:ascii="Times New Roman" w:hAnsi="Times New Roman" w:cs="Times New Roman"/>
          <w:sz w:val="24"/>
          <w:szCs w:val="24"/>
        </w:rPr>
        <w:tab/>
      </w:r>
    </w:p>
    <w:p w14:paraId="637D1D81" w14:textId="77777777" w:rsidR="00F96452" w:rsidRPr="0002361F" w:rsidRDefault="00F96452" w:rsidP="00F96452">
      <w:pPr>
        <w:jc w:val="both"/>
        <w:rPr>
          <w:rFonts w:ascii="Times New Roman" w:hAnsi="Times New Roman" w:cs="Times New Roman"/>
          <w:b/>
          <w:sz w:val="24"/>
          <w:szCs w:val="24"/>
        </w:rPr>
      </w:pPr>
      <w:r w:rsidRPr="0002361F">
        <w:rPr>
          <w:rFonts w:ascii="Times New Roman" w:hAnsi="Times New Roman" w:cs="Times New Roman"/>
          <w:b/>
          <w:i/>
          <w:sz w:val="24"/>
          <w:szCs w:val="24"/>
        </w:rPr>
        <w:t>Почтовый адрес</w:t>
      </w:r>
      <w:r w:rsidRPr="0002361F">
        <w:rPr>
          <w:rFonts w:ascii="Times New Roman" w:hAnsi="Times New Roman" w:cs="Times New Roman"/>
          <w:b/>
          <w:sz w:val="24"/>
          <w:szCs w:val="24"/>
        </w:rPr>
        <w:t>:</w:t>
      </w:r>
    </w:p>
    <w:p w14:paraId="51E1BA79" w14:textId="77777777" w:rsidR="00F96452" w:rsidRPr="0002361F" w:rsidRDefault="00F96452" w:rsidP="00F96452">
      <w:pPr>
        <w:ind w:firstLine="360"/>
        <w:jc w:val="both"/>
        <w:rPr>
          <w:rFonts w:ascii="Times New Roman" w:hAnsi="Times New Roman" w:cs="Times New Roman"/>
          <w:sz w:val="24"/>
          <w:szCs w:val="24"/>
        </w:rPr>
      </w:pPr>
      <w:r w:rsidRPr="0002361F">
        <w:rPr>
          <w:rFonts w:ascii="Times New Roman" w:hAnsi="Times New Roman" w:cs="Times New Roman"/>
          <w:sz w:val="24"/>
          <w:szCs w:val="24"/>
        </w:rPr>
        <w:t>125009, г. Москва, Большой Кисловский переулок, дом 13.</w:t>
      </w:r>
    </w:p>
    <w:p w14:paraId="5BBBA147" w14:textId="77777777" w:rsidR="00F96452" w:rsidRPr="0002361F" w:rsidRDefault="00F96452" w:rsidP="00F96452">
      <w:pPr>
        <w:tabs>
          <w:tab w:val="left" w:pos="567"/>
          <w:tab w:val="num" w:pos="720"/>
        </w:tabs>
        <w:spacing w:before="60" w:after="60"/>
        <w:jc w:val="both"/>
        <w:rPr>
          <w:rFonts w:ascii="Times New Roman" w:hAnsi="Times New Roman" w:cs="Times New Roman"/>
          <w:sz w:val="24"/>
          <w:szCs w:val="24"/>
        </w:rPr>
      </w:pPr>
      <w:r w:rsidRPr="0002361F">
        <w:rPr>
          <w:rFonts w:ascii="Times New Roman" w:hAnsi="Times New Roman" w:cs="Times New Roman"/>
          <w:sz w:val="24"/>
          <w:szCs w:val="24"/>
        </w:rPr>
        <w:tab/>
        <w:t>В отчетн</w:t>
      </w:r>
      <w:r w:rsidR="00D916D0">
        <w:rPr>
          <w:rFonts w:ascii="Times New Roman" w:hAnsi="Times New Roman" w:cs="Times New Roman"/>
          <w:sz w:val="24"/>
          <w:szCs w:val="24"/>
        </w:rPr>
        <w:t>ый</w:t>
      </w:r>
      <w:r w:rsidRPr="0002361F">
        <w:rPr>
          <w:rFonts w:ascii="Times New Roman" w:hAnsi="Times New Roman" w:cs="Times New Roman"/>
          <w:sz w:val="24"/>
          <w:szCs w:val="24"/>
        </w:rPr>
        <w:t xml:space="preserve"> период функционировали следующие внутренние структурные подразделения:</w:t>
      </w:r>
    </w:p>
    <w:p w14:paraId="4826FB28" w14:textId="77777777" w:rsidR="00F96452" w:rsidRPr="0002361F" w:rsidRDefault="00600634" w:rsidP="00441380">
      <w:pPr>
        <w:widowControl w:val="0"/>
        <w:numPr>
          <w:ilvl w:val="0"/>
          <w:numId w:val="23"/>
        </w:numPr>
        <w:overflowPunct w:val="0"/>
        <w:autoSpaceDE w:val="0"/>
        <w:autoSpaceDN w:val="0"/>
        <w:adjustRightInd w:val="0"/>
        <w:spacing w:before="60"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д</w:t>
      </w:r>
      <w:r w:rsidR="00F96452" w:rsidRPr="0002361F">
        <w:rPr>
          <w:rFonts w:ascii="Times New Roman" w:hAnsi="Times New Roman" w:cs="Times New Roman"/>
          <w:sz w:val="24"/>
          <w:szCs w:val="24"/>
        </w:rPr>
        <w:t>ополнительный офис «Средний Кисловский» Банка НКЦ (АО), расположенный по адресу: г. Москва, Средний Кисловский переулок, дом 1/13, строение 8;</w:t>
      </w:r>
    </w:p>
    <w:p w14:paraId="1A7E099F" w14:textId="77777777" w:rsidR="00F96452" w:rsidRPr="0002361F" w:rsidRDefault="00600634" w:rsidP="00441380">
      <w:pPr>
        <w:widowControl w:val="0"/>
        <w:numPr>
          <w:ilvl w:val="0"/>
          <w:numId w:val="23"/>
        </w:numPr>
        <w:overflowPunct w:val="0"/>
        <w:autoSpaceDE w:val="0"/>
        <w:autoSpaceDN w:val="0"/>
        <w:adjustRightInd w:val="0"/>
        <w:spacing w:before="60" w:after="6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д</w:t>
      </w:r>
      <w:r w:rsidR="00F96452" w:rsidRPr="0002361F">
        <w:rPr>
          <w:rFonts w:ascii="Times New Roman" w:hAnsi="Times New Roman" w:cs="Times New Roman"/>
          <w:sz w:val="24"/>
          <w:szCs w:val="24"/>
        </w:rPr>
        <w:t>ополнительный офис «Спартаковский» Банка НКЦ (АО), расположенный по адресу: г. Москва, ул. Спартаковская, дом 12.</w:t>
      </w:r>
    </w:p>
    <w:p w14:paraId="7043D54D" w14:textId="77777777" w:rsidR="00F96452" w:rsidRPr="0002361F" w:rsidRDefault="00F96452" w:rsidP="00F96452">
      <w:pPr>
        <w:ind w:firstLine="360"/>
        <w:jc w:val="both"/>
        <w:rPr>
          <w:rFonts w:ascii="Times New Roman" w:hAnsi="Times New Roman" w:cs="Times New Roman"/>
          <w:sz w:val="24"/>
          <w:szCs w:val="24"/>
        </w:rPr>
      </w:pPr>
      <w:r w:rsidRPr="0002361F">
        <w:rPr>
          <w:rFonts w:ascii="Times New Roman" w:hAnsi="Times New Roman" w:cs="Times New Roman"/>
          <w:sz w:val="24"/>
          <w:szCs w:val="24"/>
        </w:rPr>
        <w:tab/>
      </w:r>
    </w:p>
    <w:p w14:paraId="755AE22E" w14:textId="77777777" w:rsidR="00F96452" w:rsidRPr="0002361F" w:rsidRDefault="00F96452" w:rsidP="00F96452">
      <w:pPr>
        <w:spacing w:after="120"/>
        <w:jc w:val="both"/>
        <w:rPr>
          <w:rFonts w:ascii="Times New Roman" w:hAnsi="Times New Roman" w:cs="Times New Roman"/>
          <w:b/>
          <w:sz w:val="24"/>
          <w:szCs w:val="24"/>
        </w:rPr>
      </w:pPr>
      <w:r w:rsidRPr="0002361F">
        <w:rPr>
          <w:rFonts w:ascii="Times New Roman" w:hAnsi="Times New Roman" w:cs="Times New Roman"/>
          <w:b/>
          <w:i/>
          <w:sz w:val="24"/>
          <w:szCs w:val="24"/>
        </w:rPr>
        <w:t>Органы управления</w:t>
      </w:r>
      <w:r w:rsidRPr="0002361F">
        <w:rPr>
          <w:rFonts w:ascii="Times New Roman" w:hAnsi="Times New Roman" w:cs="Times New Roman"/>
          <w:b/>
          <w:sz w:val="24"/>
          <w:szCs w:val="24"/>
        </w:rPr>
        <w:t>.</w:t>
      </w:r>
    </w:p>
    <w:p w14:paraId="3AA3FE9D" w14:textId="77777777" w:rsidR="00F96452" w:rsidRPr="0002361F" w:rsidRDefault="00F96452" w:rsidP="00F96452">
      <w:pPr>
        <w:spacing w:after="120"/>
        <w:ind w:firstLine="357"/>
        <w:jc w:val="both"/>
        <w:rPr>
          <w:rFonts w:ascii="Times New Roman" w:hAnsi="Times New Roman" w:cs="Times New Roman"/>
          <w:sz w:val="24"/>
          <w:szCs w:val="24"/>
        </w:rPr>
      </w:pPr>
      <w:r w:rsidRPr="0002361F">
        <w:rPr>
          <w:rFonts w:ascii="Times New Roman" w:hAnsi="Times New Roman" w:cs="Times New Roman"/>
          <w:sz w:val="24"/>
          <w:szCs w:val="24"/>
        </w:rPr>
        <w:t>В соответствии с Уставом органами управления Банка являются:</w:t>
      </w:r>
    </w:p>
    <w:p w14:paraId="406BA946" w14:textId="77777777" w:rsidR="00F96452" w:rsidRPr="0002361F" w:rsidRDefault="00F96452" w:rsidP="00441380">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361F">
        <w:rPr>
          <w:rFonts w:ascii="Times New Roman" w:hAnsi="Times New Roman" w:cs="Times New Roman"/>
          <w:sz w:val="24"/>
          <w:szCs w:val="24"/>
        </w:rPr>
        <w:t>Общее собрание акционеров - высший орган управления;</w:t>
      </w:r>
    </w:p>
    <w:p w14:paraId="7D49ACE8" w14:textId="77777777" w:rsidR="00F96452" w:rsidRPr="0002361F" w:rsidRDefault="00F96452" w:rsidP="00441380">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361F">
        <w:rPr>
          <w:rFonts w:ascii="Times New Roman" w:hAnsi="Times New Roman" w:cs="Times New Roman"/>
          <w:sz w:val="24"/>
          <w:szCs w:val="24"/>
        </w:rPr>
        <w:t>Наблюдательный совет - орган управления, осуществляющий общее руководство деятельностью Банка; члены Наблюдательного совета избираются Общим собранием акционеров на срок до следующего годового Общего собрания акционеров;</w:t>
      </w:r>
    </w:p>
    <w:p w14:paraId="0E7B2F41" w14:textId="77777777" w:rsidR="00F96452" w:rsidRPr="0002361F" w:rsidRDefault="00F96452" w:rsidP="00441380">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361F">
        <w:rPr>
          <w:rFonts w:ascii="Times New Roman" w:hAnsi="Times New Roman" w:cs="Times New Roman"/>
          <w:sz w:val="24"/>
          <w:szCs w:val="24"/>
        </w:rPr>
        <w:t>Правление (коллегиальный исполнительный орган) - орган управления, осуществляющий руководство текущей деятельностью НКЦ; члены Правления избираются Наблюдательным советом; срок полномочий каждого члена Правления определяется решением Наблюдательного совета Банка, но не может превышать пяти лет;</w:t>
      </w:r>
    </w:p>
    <w:p w14:paraId="26D0848A" w14:textId="77777777" w:rsidR="00F96452" w:rsidRPr="0002361F" w:rsidRDefault="00F96452" w:rsidP="00441380">
      <w:pPr>
        <w:widowControl w:val="0"/>
        <w:numPr>
          <w:ilvl w:val="0"/>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361F">
        <w:rPr>
          <w:rFonts w:ascii="Times New Roman" w:hAnsi="Times New Roman" w:cs="Times New Roman"/>
          <w:sz w:val="24"/>
          <w:szCs w:val="24"/>
        </w:rPr>
        <w:t xml:space="preserve">Председатель Правления (единоличный исполнительный орган) - орган управления, осуществляющий руководство текущей деятельностью НКЦ, избирается Наблюдательным советом на срок, определяемый Наблюдательным советом, который не может превышать пяти лет. </w:t>
      </w:r>
    </w:p>
    <w:p w14:paraId="28797741" w14:textId="77777777" w:rsidR="00F96452" w:rsidRPr="0002361F" w:rsidRDefault="00F96452" w:rsidP="00F96452">
      <w:pPr>
        <w:ind w:firstLine="660"/>
        <w:jc w:val="both"/>
        <w:rPr>
          <w:rFonts w:ascii="Times New Roman" w:hAnsi="Times New Roman" w:cs="Times New Roman"/>
          <w:sz w:val="24"/>
          <w:szCs w:val="24"/>
        </w:rPr>
      </w:pPr>
    </w:p>
    <w:p w14:paraId="56E0B946" w14:textId="77777777" w:rsidR="00F96452" w:rsidRDefault="00F96452" w:rsidP="004C21B0">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Независимой аудиторской организацией НКЦ на 2016 год в соответствии с решением единственного акционера от 13.05.2016 № 30 утверждено ООО «Эрнст энд Янг Внешаудит».</w:t>
      </w:r>
    </w:p>
    <w:p w14:paraId="0630A945" w14:textId="77777777" w:rsidR="00F96452" w:rsidRPr="0002361F" w:rsidRDefault="00F96452" w:rsidP="00F96452">
      <w:pPr>
        <w:pStyle w:val="21"/>
        <w:jc w:val="both"/>
        <w:rPr>
          <w:color w:val="000000"/>
          <w:sz w:val="28"/>
          <w:szCs w:val="28"/>
        </w:rPr>
      </w:pPr>
    </w:p>
    <w:p w14:paraId="6725D630" w14:textId="77777777" w:rsidR="00AC0F68" w:rsidRDefault="00AC0F68" w:rsidP="00F96452">
      <w:pPr>
        <w:numPr>
          <w:ilvl w:val="12"/>
          <w:numId w:val="0"/>
        </w:numPr>
        <w:tabs>
          <w:tab w:val="left" w:pos="9639"/>
        </w:tabs>
        <w:ind w:firstLine="360"/>
        <w:jc w:val="center"/>
        <w:outlineLvl w:val="0"/>
        <w:rPr>
          <w:rFonts w:ascii="Times New Roman" w:hAnsi="Times New Roman" w:cs="Times New Roman"/>
          <w:b/>
          <w:bCs/>
          <w:sz w:val="28"/>
          <w:szCs w:val="28"/>
        </w:rPr>
      </w:pPr>
    </w:p>
    <w:p w14:paraId="13DA72B1" w14:textId="77777777" w:rsidR="00F96452" w:rsidRPr="0002361F" w:rsidRDefault="00F96452" w:rsidP="00F96452">
      <w:pPr>
        <w:numPr>
          <w:ilvl w:val="12"/>
          <w:numId w:val="0"/>
        </w:numPr>
        <w:tabs>
          <w:tab w:val="left" w:pos="9639"/>
        </w:tabs>
        <w:ind w:firstLine="360"/>
        <w:jc w:val="center"/>
        <w:outlineLvl w:val="0"/>
        <w:rPr>
          <w:rFonts w:ascii="Times New Roman" w:hAnsi="Times New Roman" w:cs="Times New Roman"/>
          <w:b/>
          <w:bCs/>
          <w:sz w:val="28"/>
          <w:szCs w:val="28"/>
        </w:rPr>
      </w:pPr>
      <w:r w:rsidRPr="0002361F">
        <w:rPr>
          <w:rFonts w:ascii="Times New Roman" w:hAnsi="Times New Roman" w:cs="Times New Roman"/>
          <w:b/>
          <w:bCs/>
          <w:sz w:val="28"/>
          <w:szCs w:val="28"/>
        </w:rPr>
        <w:t>2. Уставный капитал и состав акционеров</w:t>
      </w:r>
    </w:p>
    <w:p w14:paraId="3E6EB3BD" w14:textId="77777777" w:rsidR="00F96452" w:rsidRPr="0002361F" w:rsidRDefault="00F96452" w:rsidP="00F96452">
      <w:pPr>
        <w:numPr>
          <w:ilvl w:val="12"/>
          <w:numId w:val="0"/>
        </w:numPr>
        <w:tabs>
          <w:tab w:val="left" w:pos="9639"/>
        </w:tabs>
        <w:ind w:firstLine="360"/>
        <w:jc w:val="both"/>
        <w:rPr>
          <w:rFonts w:ascii="Times New Roman" w:hAnsi="Times New Roman" w:cs="Times New Roman"/>
          <w:b/>
          <w:bCs/>
          <w:sz w:val="24"/>
          <w:szCs w:val="24"/>
        </w:rPr>
      </w:pPr>
    </w:p>
    <w:p w14:paraId="37F21F6B" w14:textId="77777777" w:rsidR="00F96452" w:rsidRPr="0002361F" w:rsidRDefault="00F96452" w:rsidP="004C21B0">
      <w:pPr>
        <w:numPr>
          <w:ilvl w:val="12"/>
          <w:numId w:val="0"/>
        </w:numPr>
        <w:tabs>
          <w:tab w:val="left" w:pos="9639"/>
        </w:tabs>
        <w:spacing w:line="240" w:lineRule="auto"/>
        <w:ind w:firstLine="567"/>
        <w:jc w:val="both"/>
        <w:rPr>
          <w:rFonts w:ascii="Times New Roman" w:hAnsi="Times New Roman" w:cs="Times New Roman"/>
          <w:sz w:val="24"/>
          <w:szCs w:val="24"/>
        </w:rPr>
      </w:pPr>
      <w:r w:rsidRPr="0002361F">
        <w:rPr>
          <w:rFonts w:ascii="Times New Roman" w:hAnsi="Times New Roman" w:cs="Times New Roman"/>
          <w:bCs/>
          <w:sz w:val="24"/>
          <w:szCs w:val="24"/>
        </w:rPr>
        <w:t xml:space="preserve">При создании </w:t>
      </w:r>
      <w:r w:rsidRPr="0002361F">
        <w:rPr>
          <w:rFonts w:ascii="Times New Roman" w:hAnsi="Times New Roman" w:cs="Times New Roman"/>
          <w:sz w:val="24"/>
          <w:szCs w:val="24"/>
        </w:rPr>
        <w:t xml:space="preserve">Банка </w:t>
      </w:r>
      <w:r w:rsidRPr="0002361F">
        <w:rPr>
          <w:rFonts w:ascii="Times New Roman" w:hAnsi="Times New Roman" w:cs="Times New Roman"/>
          <w:bCs/>
          <w:sz w:val="24"/>
          <w:szCs w:val="24"/>
        </w:rPr>
        <w:t>Общее собрание учредителей</w:t>
      </w:r>
      <w:r w:rsidRPr="0002361F">
        <w:rPr>
          <w:rFonts w:ascii="Times New Roman" w:hAnsi="Times New Roman" w:cs="Times New Roman"/>
          <w:sz w:val="24"/>
          <w:szCs w:val="24"/>
        </w:rPr>
        <w:t xml:space="preserve"> утвердило уставный капитал Банка в размере 235 000 000 рублей, разделенный на 235 000 обыкновенных именных акций номинальной стоимостью 1 000 рублей каждая. </w:t>
      </w:r>
    </w:p>
    <w:p w14:paraId="5EAC29D4" w14:textId="77777777" w:rsidR="00F96452" w:rsidRPr="0002361F" w:rsidRDefault="00F96452" w:rsidP="004C21B0">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В течение 2006-2013 годов уставный капитал Банка был увеличен с 235 000 000 рублей до 15 170 000 000 рублей путем размещения дополнительных обыкновенных именных бездокументарных а</w:t>
      </w:r>
      <w:r w:rsidR="00EB69E7">
        <w:rPr>
          <w:rFonts w:ascii="Times New Roman" w:hAnsi="Times New Roman" w:cs="Times New Roman"/>
          <w:sz w:val="24"/>
          <w:szCs w:val="24"/>
        </w:rPr>
        <w:t>кций Банка, а также в 2014 году -</w:t>
      </w:r>
      <w:r w:rsidRPr="0002361F">
        <w:rPr>
          <w:rFonts w:ascii="Times New Roman" w:hAnsi="Times New Roman" w:cs="Times New Roman"/>
          <w:sz w:val="24"/>
          <w:szCs w:val="24"/>
        </w:rPr>
        <w:t xml:space="preserve"> в связи с реорганизац</w:t>
      </w:r>
      <w:r w:rsidR="00EB69E7">
        <w:rPr>
          <w:rFonts w:ascii="Times New Roman" w:hAnsi="Times New Roman" w:cs="Times New Roman"/>
          <w:sz w:val="24"/>
          <w:szCs w:val="24"/>
        </w:rPr>
        <w:t xml:space="preserve">ией </w:t>
      </w:r>
      <w:r w:rsidR="00EB69E7">
        <w:rPr>
          <w:rFonts w:ascii="Times New Roman" w:hAnsi="Times New Roman" w:cs="Times New Roman"/>
          <w:sz w:val="24"/>
          <w:szCs w:val="24"/>
        </w:rPr>
        <w:lastRenderedPageBreak/>
        <w:t>Банка в форме присоединения</w:t>
      </w:r>
      <w:r w:rsidRPr="0002361F">
        <w:rPr>
          <w:rFonts w:ascii="Times New Roman" w:hAnsi="Times New Roman" w:cs="Times New Roman"/>
          <w:sz w:val="24"/>
          <w:szCs w:val="24"/>
        </w:rPr>
        <w:t xml:space="preserve"> произошло увеличение </w:t>
      </w:r>
      <w:r w:rsidR="00EB69E7">
        <w:rPr>
          <w:rFonts w:ascii="Times New Roman" w:hAnsi="Times New Roman" w:cs="Times New Roman"/>
          <w:sz w:val="24"/>
          <w:szCs w:val="24"/>
        </w:rPr>
        <w:t xml:space="preserve">его </w:t>
      </w:r>
      <w:r w:rsidRPr="0002361F">
        <w:rPr>
          <w:rFonts w:ascii="Times New Roman" w:hAnsi="Times New Roman" w:cs="Times New Roman"/>
          <w:sz w:val="24"/>
          <w:szCs w:val="24"/>
        </w:rPr>
        <w:t xml:space="preserve">уставного капитала  </w:t>
      </w:r>
      <w:r w:rsidRPr="0002361F">
        <w:rPr>
          <w:rFonts w:ascii="Times New Roman" w:hAnsi="Times New Roman" w:cs="Times New Roman"/>
          <w:bCs/>
          <w:sz w:val="24"/>
          <w:szCs w:val="24"/>
        </w:rPr>
        <w:t xml:space="preserve">путем размещения двух дополнительных выпусков обыкновенных именных бездокументарных акций </w:t>
      </w:r>
      <w:r w:rsidR="00EB69E7">
        <w:rPr>
          <w:rFonts w:ascii="Times New Roman" w:hAnsi="Times New Roman" w:cs="Times New Roman"/>
          <w:bCs/>
          <w:sz w:val="24"/>
          <w:szCs w:val="24"/>
        </w:rPr>
        <w:t>НКЦ</w:t>
      </w:r>
      <w:r w:rsidRPr="0002361F">
        <w:rPr>
          <w:rFonts w:ascii="Times New Roman" w:hAnsi="Times New Roman" w:cs="Times New Roman"/>
          <w:bCs/>
          <w:sz w:val="24"/>
          <w:szCs w:val="24"/>
        </w:rPr>
        <w:t xml:space="preserve"> общим количеством 1 500 000 штук (в пределах количества объявленных акций) посредством конвертации в них акций присоединенных НКО «Расчетная палата РТС» (ЗАО) и ЗАО «КЦ РТС»</w:t>
      </w:r>
      <w:r w:rsidRPr="0002361F">
        <w:rPr>
          <w:rFonts w:ascii="Times New Roman" w:hAnsi="Times New Roman" w:cs="Times New Roman"/>
          <w:sz w:val="24"/>
          <w:szCs w:val="24"/>
        </w:rPr>
        <w:t>.</w:t>
      </w:r>
    </w:p>
    <w:p w14:paraId="0DCDA1AE" w14:textId="77777777" w:rsidR="00F96452" w:rsidRPr="0002361F" w:rsidRDefault="00F96452" w:rsidP="004C21B0">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bCs/>
          <w:sz w:val="24"/>
          <w:szCs w:val="24"/>
        </w:rPr>
        <w:t>По состоянию на конец отчетного периода уставный капитал Банка составляет 16 670 000 000 рублей, разделенный на 16 670 000 обыкновенных именных бездокументарных акций номинальной стоимостью 1 000 рублей каждая.</w:t>
      </w:r>
    </w:p>
    <w:p w14:paraId="24C046C3" w14:textId="77777777" w:rsidR="00F96452" w:rsidRPr="0002361F" w:rsidRDefault="00F96452" w:rsidP="00F96452">
      <w:pPr>
        <w:spacing w:after="120"/>
        <w:ind w:firstLine="567"/>
        <w:jc w:val="both"/>
        <w:rPr>
          <w:rFonts w:ascii="Times New Roman" w:hAnsi="Times New Roman" w:cs="Times New Roman"/>
          <w:b/>
          <w:i/>
          <w:sz w:val="24"/>
          <w:szCs w:val="24"/>
        </w:rPr>
      </w:pPr>
      <w:r w:rsidRPr="0002361F">
        <w:rPr>
          <w:rFonts w:ascii="Times New Roman" w:hAnsi="Times New Roman" w:cs="Times New Roman"/>
          <w:b/>
          <w:i/>
          <w:sz w:val="24"/>
          <w:szCs w:val="24"/>
        </w:rPr>
        <w:t xml:space="preserve">Состав акционеров </w:t>
      </w:r>
    </w:p>
    <w:p w14:paraId="7F67634E" w14:textId="77777777" w:rsidR="00F96452" w:rsidRPr="0002361F" w:rsidRDefault="00F96452" w:rsidP="00600634">
      <w:pPr>
        <w:spacing w:after="120"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По состоянию на 31 декабря 2016 года в реестре акционеров Банка НКЦ (АО) зарегистрирован один акционер – Публичное акционерное общество «Московская Биржа ММВБ-РТС».</w:t>
      </w:r>
    </w:p>
    <w:p w14:paraId="3C599794" w14:textId="77777777" w:rsidR="00F96452" w:rsidRPr="0002361F" w:rsidRDefault="00F96452" w:rsidP="005B45E7">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В течение отчетного периода ведение Реестра акционеров Банка осуществлял Регистратор - Акционерное общество «Регистраторское общество «СТАТУС».</w:t>
      </w:r>
    </w:p>
    <w:p w14:paraId="5418E680" w14:textId="77777777" w:rsidR="00F96452" w:rsidRDefault="00F96452" w:rsidP="00F96452">
      <w:pPr>
        <w:ind w:firstLine="567"/>
        <w:jc w:val="both"/>
        <w:rPr>
          <w:sz w:val="24"/>
          <w:szCs w:val="24"/>
        </w:rPr>
      </w:pPr>
    </w:p>
    <w:p w14:paraId="5A4F9F41" w14:textId="77777777" w:rsidR="00631204" w:rsidRPr="00631204" w:rsidRDefault="00631204" w:rsidP="00631204">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631204">
        <w:rPr>
          <w:rFonts w:ascii="Times New Roman" w:eastAsia="Times New Roman" w:hAnsi="Times New Roman" w:cs="Times New Roman"/>
          <w:b/>
          <w:sz w:val="28"/>
          <w:szCs w:val="28"/>
          <w:lang w:eastAsia="ru-RU"/>
        </w:rPr>
        <w:t>3. Положение Банка НКЦ (АО) в отрасли</w:t>
      </w:r>
    </w:p>
    <w:p w14:paraId="3B9D69E3" w14:textId="77777777" w:rsidR="00631204" w:rsidRPr="00631204" w:rsidRDefault="00631204" w:rsidP="00631204">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20F40B2C" w14:textId="77777777" w:rsidR="00631204" w:rsidRPr="00631204" w:rsidRDefault="00631204" w:rsidP="00631204">
      <w:pPr>
        <w:spacing w:line="240" w:lineRule="auto"/>
        <w:jc w:val="both"/>
        <w:rPr>
          <w:rFonts w:ascii="Times New Roman" w:hAnsi="Times New Roman" w:cs="Times New Roman"/>
          <w:sz w:val="24"/>
          <w:szCs w:val="24"/>
        </w:rPr>
      </w:pPr>
      <w:r w:rsidRPr="00631204">
        <w:rPr>
          <w:rFonts w:ascii="Times New Roman" w:eastAsia="Times New Roman" w:hAnsi="Times New Roman" w:cs="Times New Roman"/>
          <w:sz w:val="28"/>
          <w:szCs w:val="28"/>
          <w:lang w:eastAsia="ru-RU"/>
        </w:rPr>
        <w:t xml:space="preserve">  </w:t>
      </w:r>
      <w:r w:rsidRPr="00631204">
        <w:rPr>
          <w:rFonts w:ascii="Times New Roman" w:hAnsi="Times New Roman" w:cs="Times New Roman"/>
          <w:sz w:val="24"/>
          <w:szCs w:val="24"/>
        </w:rPr>
        <w:t xml:space="preserve">     </w:t>
      </w:r>
    </w:p>
    <w:p w14:paraId="4D5D6B6E"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Банк НКЦ (АО) реализовывал планы 2016 года </w:t>
      </w:r>
      <w:r w:rsidR="006E05F8" w:rsidRPr="00EA2597">
        <w:rPr>
          <w:rFonts w:ascii="Times New Roman" w:hAnsi="Times New Roman" w:cs="Times New Roman"/>
          <w:bCs/>
          <w:sz w:val="24"/>
          <w:szCs w:val="24"/>
        </w:rPr>
        <w:t>с учетом оказывающих влияние на</w:t>
      </w:r>
      <w:r w:rsidRPr="00EA2597">
        <w:rPr>
          <w:rFonts w:ascii="Times New Roman" w:hAnsi="Times New Roman" w:cs="Times New Roman"/>
          <w:bCs/>
          <w:sz w:val="24"/>
          <w:szCs w:val="24"/>
        </w:rPr>
        <w:t xml:space="preserve"> его деятельность внутренних и внешних факторов.</w:t>
      </w:r>
    </w:p>
    <w:p w14:paraId="13EF29A3" w14:textId="77777777" w:rsidR="00631204" w:rsidRPr="00631204" w:rsidRDefault="00631204" w:rsidP="00EA2597">
      <w:pPr>
        <w:spacing w:line="240" w:lineRule="auto"/>
        <w:ind w:firstLine="567"/>
        <w:jc w:val="both"/>
        <w:rPr>
          <w:rFonts w:ascii="Times New Roman" w:hAnsi="Times New Roman"/>
          <w:sz w:val="24"/>
          <w:szCs w:val="24"/>
        </w:rPr>
      </w:pPr>
      <w:r w:rsidRPr="00631204">
        <w:rPr>
          <w:rFonts w:ascii="Times New Roman" w:eastAsia="Calibri" w:hAnsi="Times New Roman"/>
          <w:sz w:val="24"/>
          <w:szCs w:val="24"/>
        </w:rPr>
        <w:t xml:space="preserve">      </w:t>
      </w:r>
      <w:r w:rsidRPr="00EA2597">
        <w:rPr>
          <w:rFonts w:ascii="Times New Roman" w:hAnsi="Times New Roman" w:cs="Times New Roman"/>
          <w:bCs/>
          <w:sz w:val="24"/>
          <w:szCs w:val="24"/>
        </w:rPr>
        <w:t xml:space="preserve">В отчетный период были приняты изменения в ряд законодательных актов, которые окажут существенное влияние на деятельность центральных контрагентов (Федеральный закон от 29.12.2015 № 403-ФЗ «О внесении изменений в отдельные законодательные акты Российской Федерации»). В рамках гармонизации и устранения регуляторного арбитража </w:t>
      </w:r>
      <w:r w:rsidR="000D533C" w:rsidRPr="00EA2597">
        <w:rPr>
          <w:rFonts w:ascii="Times New Roman" w:hAnsi="Times New Roman" w:cs="Times New Roman"/>
          <w:bCs/>
          <w:sz w:val="24"/>
          <w:szCs w:val="24"/>
        </w:rPr>
        <w:t xml:space="preserve">в </w:t>
      </w:r>
      <w:r w:rsidRPr="00EA2597">
        <w:rPr>
          <w:rFonts w:ascii="Times New Roman" w:hAnsi="Times New Roman" w:cs="Times New Roman"/>
          <w:bCs/>
          <w:sz w:val="24"/>
          <w:szCs w:val="24"/>
        </w:rPr>
        <w:t>законод</w:t>
      </w:r>
      <w:r w:rsidRPr="009D0792">
        <w:rPr>
          <w:rFonts w:ascii="Times New Roman" w:hAnsi="Times New Roman" w:cs="Times New Roman"/>
          <w:bCs/>
          <w:sz w:val="24"/>
          <w:szCs w:val="24"/>
        </w:rPr>
        <w:t>ательств</w:t>
      </w:r>
      <w:r w:rsidR="000D533C" w:rsidRPr="009D0792">
        <w:rPr>
          <w:rFonts w:ascii="Times New Roman" w:hAnsi="Times New Roman" w:cs="Times New Roman"/>
          <w:bCs/>
          <w:sz w:val="24"/>
          <w:szCs w:val="24"/>
        </w:rPr>
        <w:t>е</w:t>
      </w:r>
      <w:r w:rsidRPr="009D0792">
        <w:rPr>
          <w:rFonts w:ascii="Times New Roman" w:hAnsi="Times New Roman" w:cs="Times New Roman"/>
          <w:bCs/>
          <w:sz w:val="24"/>
          <w:szCs w:val="24"/>
        </w:rPr>
        <w:t xml:space="preserve"> предусмотрен единый статус для всех центральных контрагентов</w:t>
      </w:r>
      <w:r w:rsidR="00241E86" w:rsidRPr="009D0792">
        <w:rPr>
          <w:rFonts w:ascii="Times New Roman" w:hAnsi="Times New Roman" w:cs="Times New Roman"/>
          <w:bCs/>
          <w:sz w:val="24"/>
          <w:szCs w:val="24"/>
        </w:rPr>
        <w:t xml:space="preserve"> (далее - ЦК) </w:t>
      </w:r>
      <w:r w:rsidRPr="007801F8">
        <w:rPr>
          <w:rFonts w:ascii="Times New Roman" w:hAnsi="Times New Roman" w:cs="Times New Roman"/>
          <w:bCs/>
          <w:sz w:val="24"/>
          <w:szCs w:val="24"/>
        </w:rPr>
        <w:t>– статус небанковской кредитной организации, переход на который НКЦ должен осуществить до конца 2017 года. Это требует осуществления комплекса корпоративных мероприятий для приведения деятельности и внутренних документов НКЦ в соответствие с положениями упомянутого выше Федерального закона.</w:t>
      </w:r>
      <w:r w:rsidRPr="00631204">
        <w:rPr>
          <w:rFonts w:ascii="Times New Roman" w:hAnsi="Times New Roman"/>
          <w:sz w:val="24"/>
          <w:szCs w:val="24"/>
        </w:rPr>
        <w:t xml:space="preserve"> </w:t>
      </w:r>
    </w:p>
    <w:p w14:paraId="591D216A" w14:textId="77777777" w:rsidR="00631204" w:rsidRPr="00631204" w:rsidRDefault="00631204" w:rsidP="00EA2597">
      <w:pPr>
        <w:spacing w:line="240" w:lineRule="auto"/>
        <w:ind w:firstLine="567"/>
        <w:jc w:val="both"/>
        <w:rPr>
          <w:rFonts w:ascii="Times New Roman" w:hAnsi="Times New Roman" w:cs="Times New Roman"/>
          <w:sz w:val="24"/>
          <w:szCs w:val="24"/>
        </w:rPr>
      </w:pPr>
      <w:r w:rsidRPr="00631204">
        <w:rPr>
          <w:rFonts w:ascii="Times New Roman" w:hAnsi="Times New Roman" w:cs="Times New Roman"/>
          <w:sz w:val="24"/>
          <w:szCs w:val="24"/>
        </w:rPr>
        <w:t xml:space="preserve">     </w:t>
      </w:r>
      <w:r w:rsidRPr="009D0792">
        <w:rPr>
          <w:rFonts w:ascii="Times New Roman" w:hAnsi="Times New Roman" w:cs="Times New Roman"/>
          <w:bCs/>
          <w:sz w:val="24"/>
          <w:szCs w:val="24"/>
        </w:rPr>
        <w:t xml:space="preserve">Как и в предыдущие несколько лет, НКЦ осуществлял свою деятельность при сохранявшейся в отчетном году тенденции сокращения числа </w:t>
      </w:r>
      <w:r w:rsidRPr="007801F8">
        <w:rPr>
          <w:rFonts w:ascii="Times New Roman" w:hAnsi="Times New Roman" w:cs="Times New Roman"/>
          <w:bCs/>
          <w:sz w:val="24"/>
          <w:szCs w:val="24"/>
        </w:rPr>
        <w:t>кредитных организаций в связи с отзывом Банком России лицензий, а также в условиях изменения структуры обеспечения участников клиринга под воздействием изменений процентных ставок на финансовых рынках. В связи с прекращением деятельности значительного числа банковских организаций НКЦ приходилось прибегать к процедурам ликвидационного неттинга в рамках работы по управлению дефолтами с целью безусловного выполнения обязательств центрального контрагента</w:t>
      </w:r>
      <w:r w:rsidRPr="00EA2597">
        <w:rPr>
          <w:rFonts w:ascii="Times New Roman" w:hAnsi="Times New Roman" w:cs="Times New Roman"/>
          <w:bCs/>
          <w:sz w:val="24"/>
          <w:szCs w:val="24"/>
        </w:rPr>
        <w:t>. Изменения структуры обеспечения потребовало внесений изменений в структуру активов Банка в разрезе финансовых инструментов и валют.</w:t>
      </w:r>
    </w:p>
    <w:p w14:paraId="4D97B91F"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Calibri" w:hAnsi="Times New Roman" w:cs="Times New Roman"/>
          <w:bCs/>
          <w:kern w:val="24"/>
          <w:sz w:val="24"/>
          <w:szCs w:val="24"/>
        </w:rPr>
        <w:t xml:space="preserve">      </w:t>
      </w:r>
      <w:r w:rsidRPr="00EA2597">
        <w:rPr>
          <w:rFonts w:ascii="Times New Roman" w:hAnsi="Times New Roman" w:cs="Times New Roman"/>
          <w:bCs/>
          <w:sz w:val="24"/>
          <w:szCs w:val="24"/>
        </w:rPr>
        <w:t xml:space="preserve">Банк обеспечил выполнение решения акционера о выплате в 2016 году дивидендов в размере 25 млрд 400 млн рублей за счет нераспределенной прибыли прошлых лет без потери устойчивости, а также </w:t>
      </w:r>
      <w:r w:rsidR="000D533C" w:rsidRPr="00EA2597">
        <w:rPr>
          <w:rFonts w:ascii="Times New Roman" w:hAnsi="Times New Roman" w:cs="Times New Roman"/>
          <w:bCs/>
          <w:sz w:val="24"/>
          <w:szCs w:val="24"/>
        </w:rPr>
        <w:t xml:space="preserve">без </w:t>
      </w:r>
      <w:r w:rsidRPr="00EA2597">
        <w:rPr>
          <w:rFonts w:ascii="Times New Roman" w:hAnsi="Times New Roman" w:cs="Times New Roman"/>
          <w:bCs/>
          <w:sz w:val="24"/>
          <w:szCs w:val="24"/>
        </w:rPr>
        <w:t>риска невыполнения регуляторных требований Банка России</w:t>
      </w:r>
      <w:r w:rsidR="00241E86" w:rsidRPr="00EA2597">
        <w:rPr>
          <w:rFonts w:ascii="Times New Roman" w:hAnsi="Times New Roman" w:cs="Times New Roman"/>
          <w:bCs/>
          <w:sz w:val="24"/>
          <w:szCs w:val="24"/>
        </w:rPr>
        <w:t>.</w:t>
      </w:r>
      <w:r w:rsidR="000D533C" w:rsidRPr="00EA2597">
        <w:rPr>
          <w:rFonts w:ascii="Times New Roman" w:hAnsi="Times New Roman" w:cs="Times New Roman"/>
          <w:bCs/>
          <w:sz w:val="24"/>
          <w:szCs w:val="24"/>
        </w:rPr>
        <w:t xml:space="preserve"> Банк</w:t>
      </w:r>
      <w:r w:rsidRPr="00EA2597">
        <w:rPr>
          <w:rFonts w:ascii="Times New Roman" w:hAnsi="Times New Roman" w:cs="Times New Roman"/>
          <w:bCs/>
          <w:sz w:val="24"/>
          <w:szCs w:val="24"/>
        </w:rPr>
        <w:t xml:space="preserve"> выполнил обязательства по доформированию выделенного капитала ЦК в объеме 3 млрд рублей. При этом НКЦ сохранил свои позиции, как одного из </w:t>
      </w:r>
      <w:r w:rsidRPr="00EA2597">
        <w:rPr>
          <w:rFonts w:ascii="Times New Roman" w:hAnsi="Times New Roman" w:cs="Times New Roman"/>
          <w:bCs/>
          <w:sz w:val="24"/>
          <w:szCs w:val="24"/>
        </w:rPr>
        <w:lastRenderedPageBreak/>
        <w:t>высококапитализированных ЦК в мире с объемом собственных средств (капитала) на 01.01.2017 46 млрд 214 млн рублей (на 01.01.2016г. - 54 млрд 131 млн рублей).</w:t>
      </w:r>
    </w:p>
    <w:p w14:paraId="50A5BD64" w14:textId="77777777" w:rsidR="00631204" w:rsidRPr="00457C0B" w:rsidRDefault="005B45E7" w:rsidP="00457C0B">
      <w:pPr>
        <w:spacing w:line="240" w:lineRule="auto"/>
        <w:ind w:firstLine="567"/>
        <w:jc w:val="both"/>
        <w:rPr>
          <w:rFonts w:ascii="Times New Roman" w:hAnsi="Times New Roman" w:cs="Times New Roman"/>
          <w:bCs/>
          <w:sz w:val="24"/>
          <w:szCs w:val="24"/>
        </w:rPr>
      </w:pPr>
      <w:r>
        <w:rPr>
          <w:rFonts w:ascii="Times New Roman" w:eastAsia="Calibri" w:hAnsi="Times New Roman"/>
          <w:sz w:val="24"/>
          <w:szCs w:val="24"/>
        </w:rPr>
        <w:t xml:space="preserve">     </w:t>
      </w:r>
      <w:r w:rsidR="00631204" w:rsidRPr="00631204">
        <w:rPr>
          <w:rFonts w:ascii="Times New Roman" w:eastAsia="Calibri" w:hAnsi="Times New Roman"/>
          <w:sz w:val="24"/>
          <w:szCs w:val="24"/>
        </w:rPr>
        <w:t xml:space="preserve"> </w:t>
      </w:r>
      <w:r w:rsidR="00241E86">
        <w:rPr>
          <w:rFonts w:ascii="Times New Roman" w:eastAsia="Calibri" w:hAnsi="Times New Roman"/>
          <w:sz w:val="24"/>
          <w:szCs w:val="24"/>
        </w:rPr>
        <w:t xml:space="preserve">       </w:t>
      </w:r>
      <w:r w:rsidR="00631204" w:rsidRPr="00EA2597">
        <w:rPr>
          <w:rFonts w:ascii="Times New Roman" w:hAnsi="Times New Roman" w:cs="Times New Roman"/>
          <w:bCs/>
          <w:sz w:val="24"/>
          <w:szCs w:val="24"/>
        </w:rPr>
        <w:t>Принятие Федерального закона № 222-ФЗ от 15.07.2015 «О деятельности кредитных рейтинговых агентств в Российской Федерации» потребовало от НКЦ проведени</w:t>
      </w:r>
      <w:r w:rsidR="000D533C" w:rsidRPr="00EA2597">
        <w:rPr>
          <w:rFonts w:ascii="Times New Roman" w:hAnsi="Times New Roman" w:cs="Times New Roman"/>
          <w:bCs/>
          <w:sz w:val="24"/>
          <w:szCs w:val="24"/>
        </w:rPr>
        <w:t>я</w:t>
      </w:r>
      <w:r w:rsidR="00631204" w:rsidRPr="00EA2597">
        <w:rPr>
          <w:rFonts w:ascii="Times New Roman" w:hAnsi="Times New Roman" w:cs="Times New Roman"/>
          <w:bCs/>
          <w:sz w:val="24"/>
          <w:szCs w:val="24"/>
        </w:rPr>
        <w:t xml:space="preserve"> многоплановой работы для получения рейтинга Аналитического Кредитного Рейтингового Агентства (далее – АКРА) –</w:t>
      </w:r>
      <w:r w:rsidR="00631204" w:rsidRPr="009D0792">
        <w:rPr>
          <w:rFonts w:ascii="Times New Roman" w:hAnsi="Times New Roman" w:cs="Times New Roman"/>
          <w:bCs/>
          <w:sz w:val="24"/>
          <w:szCs w:val="24"/>
        </w:rPr>
        <w:t xml:space="preserve"> единственного рейтингового агентства, включенного в специальный реестр Банком России по состоянию на осень 2016 года. </w:t>
      </w:r>
      <w:r w:rsidR="00631204" w:rsidRPr="00EA2597">
        <w:rPr>
          <w:rFonts w:ascii="Times New Roman" w:hAnsi="Times New Roman" w:cs="Times New Roman"/>
          <w:bCs/>
          <w:sz w:val="24"/>
          <w:szCs w:val="24"/>
        </w:rPr>
        <w:t>АКРА присвоило Банку кредитный рейтинг по национальной шкале на уровне AAA(RU), прогноз «Стабильный».</w:t>
      </w:r>
      <w:r w:rsidR="00631204" w:rsidRPr="00457C0B">
        <w:rPr>
          <w:rFonts w:ascii="Times New Roman" w:hAnsi="Times New Roman" w:cs="Times New Roman"/>
          <w:bCs/>
          <w:sz w:val="24"/>
          <w:szCs w:val="24"/>
        </w:rPr>
        <w:t xml:space="preserve"> </w:t>
      </w:r>
    </w:p>
    <w:p w14:paraId="015F8B16" w14:textId="77777777" w:rsidR="00631204" w:rsidRPr="00631204" w:rsidRDefault="00631204" w:rsidP="00EA2597">
      <w:pPr>
        <w:spacing w:line="240" w:lineRule="auto"/>
        <w:ind w:firstLine="567"/>
        <w:jc w:val="both"/>
        <w:rPr>
          <w:rFonts w:ascii="Times New Roman" w:hAnsi="Times New Roman" w:cs="Times New Roman"/>
          <w:sz w:val="24"/>
          <w:szCs w:val="24"/>
        </w:rPr>
      </w:pPr>
      <w:r w:rsidRPr="00631204">
        <w:rPr>
          <w:rFonts w:ascii="Times New Roman" w:hAnsi="Times New Roman" w:cs="Times New Roman"/>
          <w:sz w:val="24"/>
          <w:szCs w:val="24"/>
        </w:rPr>
        <w:t xml:space="preserve">     </w:t>
      </w:r>
      <w:r w:rsidRPr="009D0792">
        <w:rPr>
          <w:rFonts w:ascii="Times New Roman" w:hAnsi="Times New Roman" w:cs="Times New Roman"/>
          <w:bCs/>
          <w:sz w:val="24"/>
          <w:szCs w:val="24"/>
        </w:rPr>
        <w:t>В связи с завершением в 2016 году в рамках Группы «Московская Биржа» программы «Стабилизация и надежность» НКЦ осуществил полную замену парка серверного оборудования и произвел перемещение программно-технического комплекса НКЦ в новый центр обработки данных, имеющий международный коэффициент надежности «</w:t>
      </w:r>
      <w:r w:rsidRPr="00EA2597">
        <w:rPr>
          <w:rFonts w:ascii="Times New Roman" w:hAnsi="Times New Roman" w:cs="Times New Roman"/>
          <w:bCs/>
          <w:sz w:val="24"/>
          <w:szCs w:val="24"/>
        </w:rPr>
        <w:t>Tier</w:t>
      </w:r>
      <w:r w:rsidR="005B45E7" w:rsidRPr="009D0792">
        <w:rPr>
          <w:rFonts w:ascii="Times New Roman" w:hAnsi="Times New Roman" w:cs="Times New Roman"/>
          <w:bCs/>
          <w:sz w:val="24"/>
          <w:szCs w:val="24"/>
        </w:rPr>
        <w:t xml:space="preserve"> </w:t>
      </w:r>
      <w:r w:rsidRPr="00EA2597">
        <w:rPr>
          <w:rFonts w:ascii="Times New Roman" w:hAnsi="Times New Roman" w:cs="Times New Roman"/>
          <w:bCs/>
          <w:sz w:val="24"/>
          <w:szCs w:val="24"/>
        </w:rPr>
        <w:t>III</w:t>
      </w:r>
      <w:r w:rsidRPr="009D0792">
        <w:rPr>
          <w:rFonts w:ascii="Times New Roman" w:hAnsi="Times New Roman" w:cs="Times New Roman"/>
          <w:bCs/>
          <w:sz w:val="24"/>
          <w:szCs w:val="24"/>
        </w:rPr>
        <w:t>». Участвуя в реализации этой программы, НКЦ осуществил комплекс организационно-технических мероприятий с одновременной поддержкой бесперебойной работы программно-технических систем, обеспечивающих бизнес процессы Банка.</w:t>
      </w:r>
      <w:r w:rsidRPr="00631204">
        <w:rPr>
          <w:rFonts w:ascii="Times New Roman" w:hAnsi="Times New Roman" w:cs="Times New Roman"/>
          <w:sz w:val="24"/>
          <w:szCs w:val="24"/>
        </w:rPr>
        <w:t xml:space="preserve">  </w:t>
      </w:r>
    </w:p>
    <w:p w14:paraId="496771BB" w14:textId="77777777" w:rsidR="00631204" w:rsidRPr="00631204" w:rsidRDefault="00631204" w:rsidP="00EA2597">
      <w:pPr>
        <w:spacing w:line="240" w:lineRule="auto"/>
        <w:ind w:firstLine="567"/>
        <w:jc w:val="both"/>
        <w:rPr>
          <w:rFonts w:ascii="Times New Roman" w:hAnsi="Times New Roman" w:cs="Times New Roman"/>
          <w:sz w:val="24"/>
          <w:szCs w:val="24"/>
        </w:rPr>
      </w:pPr>
      <w:r w:rsidRPr="00631204">
        <w:rPr>
          <w:rFonts w:ascii="Times New Roman" w:hAnsi="Times New Roman" w:cs="Times New Roman"/>
          <w:sz w:val="24"/>
          <w:szCs w:val="24"/>
        </w:rPr>
        <w:t xml:space="preserve">     </w:t>
      </w:r>
      <w:r w:rsidRPr="009D0792">
        <w:rPr>
          <w:rFonts w:ascii="Times New Roman" w:hAnsi="Times New Roman" w:cs="Times New Roman"/>
          <w:bCs/>
          <w:sz w:val="24"/>
          <w:szCs w:val="24"/>
        </w:rPr>
        <w:t>Возникавшие вызовы не стали препятствием для реализации запланированных совместных с Группой «Московская Биржа» проектов и собственных планов Банка, которые были успешно осуществлены в 2016 году в тесном взаимодействии со структурными подразделениями Группы и при поддержке Банка России.</w:t>
      </w:r>
      <w:r w:rsidRPr="00631204">
        <w:rPr>
          <w:rFonts w:ascii="Times New Roman" w:hAnsi="Times New Roman" w:cs="Times New Roman"/>
          <w:sz w:val="24"/>
          <w:szCs w:val="24"/>
        </w:rPr>
        <w:t xml:space="preserve"> </w:t>
      </w:r>
    </w:p>
    <w:p w14:paraId="2082E941"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Calibri" w:hAnsi="Times New Roman" w:cs="Times New Roman"/>
          <w:bCs/>
          <w:kern w:val="24"/>
          <w:sz w:val="24"/>
          <w:szCs w:val="24"/>
        </w:rPr>
        <w:t xml:space="preserve">    </w:t>
      </w:r>
      <w:r w:rsidRPr="00631204">
        <w:rPr>
          <w:rFonts w:ascii="Times New Roman" w:hAnsi="Times New Roman" w:cs="Times New Roman"/>
          <w:sz w:val="24"/>
          <w:szCs w:val="24"/>
        </w:rPr>
        <w:t xml:space="preserve"> </w:t>
      </w:r>
      <w:r w:rsidRPr="009D0792">
        <w:rPr>
          <w:rFonts w:ascii="Times New Roman" w:hAnsi="Times New Roman" w:cs="Times New Roman"/>
          <w:bCs/>
          <w:sz w:val="24"/>
          <w:szCs w:val="24"/>
        </w:rPr>
        <w:t>В отчетном году НКЦ сосредотачивал усилия на приоритетных направлениях деятельности по реализации следующих проектов и задач:</w:t>
      </w:r>
    </w:p>
    <w:p w14:paraId="593B2B25" w14:textId="77777777" w:rsidR="00631204" w:rsidRPr="00631204" w:rsidRDefault="00631204" w:rsidP="00441380">
      <w:pPr>
        <w:numPr>
          <w:ilvl w:val="0"/>
          <w:numId w:val="25"/>
        </w:numPr>
        <w:spacing w:after="16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развитие клиринговых услуг и процессов;</w:t>
      </w:r>
    </w:p>
    <w:p w14:paraId="4DF2FDB0" w14:textId="77777777" w:rsidR="00631204" w:rsidRPr="00631204" w:rsidRDefault="00631204" w:rsidP="00441380">
      <w:pPr>
        <w:numPr>
          <w:ilvl w:val="0"/>
          <w:numId w:val="25"/>
        </w:numPr>
        <w:spacing w:after="16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совершенствование системы управления рисками, прежде всего в части создания надежной защиты центрального контрагента и повышения качества его управления, соответствующего международным стандартам;</w:t>
      </w:r>
    </w:p>
    <w:p w14:paraId="7DFB1B35" w14:textId="77777777" w:rsidR="00631204" w:rsidRPr="00631204" w:rsidRDefault="00631204" w:rsidP="00441380">
      <w:pPr>
        <w:numPr>
          <w:ilvl w:val="0"/>
          <w:numId w:val="25"/>
        </w:numPr>
        <w:spacing w:after="160" w:line="240" w:lineRule="auto"/>
        <w:ind w:left="1423" w:hanging="357"/>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выполнение планов по формированию доходной части бюджета Банка.</w:t>
      </w:r>
    </w:p>
    <w:p w14:paraId="254FAB07" w14:textId="77777777" w:rsidR="00631204" w:rsidRPr="00631204" w:rsidRDefault="00631204" w:rsidP="00631204">
      <w:pPr>
        <w:spacing w:after="0" w:line="240" w:lineRule="auto"/>
        <w:ind w:right="-1"/>
        <w:jc w:val="both"/>
        <w:rPr>
          <w:rFonts w:ascii="Times New Roman" w:hAnsi="Times New Roman" w:cs="Times New Roman"/>
          <w:sz w:val="24"/>
          <w:szCs w:val="24"/>
        </w:rPr>
      </w:pPr>
      <w:r w:rsidRPr="00631204">
        <w:rPr>
          <w:rFonts w:ascii="Times New Roman" w:hAnsi="Times New Roman" w:cs="Times New Roman"/>
          <w:sz w:val="24"/>
          <w:szCs w:val="24"/>
        </w:rPr>
        <w:t xml:space="preserve">       .</w:t>
      </w:r>
    </w:p>
    <w:p w14:paraId="7C60FF3C" w14:textId="77777777" w:rsidR="003A4FE5" w:rsidRPr="00631204" w:rsidRDefault="003A4FE5" w:rsidP="00EA2597">
      <w:pPr>
        <w:spacing w:line="240" w:lineRule="auto"/>
        <w:ind w:firstLine="567"/>
        <w:jc w:val="both"/>
        <w:rPr>
          <w:rFonts w:ascii="Times New Roman" w:eastAsia="Calibri" w:hAnsi="Times New Roman" w:cs="Arial"/>
          <w:noProof/>
          <w:sz w:val="24"/>
          <w:szCs w:val="24"/>
          <w:lang w:eastAsia="ru-RU"/>
        </w:rPr>
      </w:pPr>
      <w:r w:rsidRPr="00631204">
        <w:rPr>
          <w:rFonts w:ascii="Times New Roman" w:eastAsia="Calibri" w:hAnsi="Times New Roman" w:cs="Arial"/>
          <w:noProof/>
          <w:sz w:val="24"/>
          <w:szCs w:val="24"/>
          <w:lang w:eastAsia="ru-RU"/>
        </w:rPr>
        <w:t xml:space="preserve">    </w:t>
      </w:r>
      <w:r w:rsidRPr="00EA2597">
        <w:rPr>
          <w:rFonts w:ascii="Times New Roman" w:hAnsi="Times New Roman" w:cs="Times New Roman"/>
          <w:bCs/>
          <w:sz w:val="24"/>
          <w:szCs w:val="24"/>
        </w:rPr>
        <w:t xml:space="preserve">В 2016 году Банк продолжил осуществление клиринговой деятельности на всех рынках Группы «Московская Биржа» (валютный рынок и рынок драгоценных металлов, фондовый и денежный рынки, срочный рынок и рынок СПФИ), срочном товарном и товарном спот рынках АО «Мосэнергобиржа», товарном рынке АО «Национальная товарная биржа» (рынке зерна). </w:t>
      </w:r>
    </w:p>
    <w:p w14:paraId="302C9CE1" w14:textId="77777777" w:rsidR="003A4FE5" w:rsidRPr="00EA2597" w:rsidRDefault="003A4FE5"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Общая схема клиринговой деятельности НКЦ на биржевых рынках в конце 2016 года  выглядела следующим образом:</w:t>
      </w:r>
    </w:p>
    <w:p w14:paraId="3A8B35C9" w14:textId="77777777" w:rsidR="003A4FE5" w:rsidRPr="00631204" w:rsidRDefault="003A4FE5" w:rsidP="003A4FE5">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99B35E4" w14:textId="77777777" w:rsidR="00631204" w:rsidRDefault="00631204" w:rsidP="00631204">
      <w:pPr>
        <w:spacing w:line="240" w:lineRule="auto"/>
        <w:ind w:left="708"/>
        <w:jc w:val="both"/>
        <w:rPr>
          <w:rFonts w:ascii="Times New Roman" w:hAnsi="Times New Roman" w:cs="Times New Roman"/>
          <w:b/>
          <w:sz w:val="24"/>
          <w:szCs w:val="24"/>
        </w:rPr>
      </w:pPr>
    </w:p>
    <w:p w14:paraId="60B84F97" w14:textId="77777777" w:rsidR="00F76507" w:rsidRDefault="00F76507" w:rsidP="00631204">
      <w:pPr>
        <w:spacing w:line="240" w:lineRule="auto"/>
        <w:ind w:left="708"/>
        <w:jc w:val="both"/>
        <w:rPr>
          <w:rFonts w:ascii="Times New Roman" w:hAnsi="Times New Roman" w:cs="Times New Roman"/>
          <w:b/>
          <w:sz w:val="24"/>
          <w:szCs w:val="24"/>
        </w:rPr>
      </w:pPr>
    </w:p>
    <w:p w14:paraId="19D23F88" w14:textId="77777777" w:rsidR="00F76507" w:rsidRDefault="00F76507" w:rsidP="00631204">
      <w:pPr>
        <w:spacing w:line="240" w:lineRule="auto"/>
        <w:ind w:left="708"/>
        <w:jc w:val="both"/>
        <w:rPr>
          <w:rFonts w:ascii="Times New Roman" w:hAnsi="Times New Roman" w:cs="Times New Roman"/>
          <w:b/>
          <w:sz w:val="24"/>
          <w:szCs w:val="24"/>
        </w:rPr>
      </w:pPr>
    </w:p>
    <w:p w14:paraId="31DBF88F" w14:textId="77777777" w:rsidR="00F76507" w:rsidRDefault="00F76507" w:rsidP="00631204">
      <w:pPr>
        <w:spacing w:line="240" w:lineRule="auto"/>
        <w:ind w:left="708"/>
        <w:jc w:val="both"/>
        <w:rPr>
          <w:rFonts w:ascii="Times New Roman" w:hAnsi="Times New Roman" w:cs="Times New Roman"/>
          <w:b/>
          <w:sz w:val="24"/>
          <w:szCs w:val="24"/>
        </w:rPr>
      </w:pPr>
    </w:p>
    <w:p w14:paraId="5EDB499C" w14:textId="77777777" w:rsidR="00F76507" w:rsidRDefault="00F76507" w:rsidP="00631204">
      <w:pPr>
        <w:spacing w:line="240" w:lineRule="auto"/>
        <w:ind w:left="708"/>
        <w:jc w:val="both"/>
        <w:rPr>
          <w:rFonts w:ascii="Times New Roman" w:hAnsi="Times New Roman" w:cs="Times New Roman"/>
          <w:b/>
          <w:sz w:val="24"/>
          <w:szCs w:val="24"/>
        </w:rPr>
      </w:pPr>
    </w:p>
    <w:p w14:paraId="1DA3C056" w14:textId="77777777" w:rsidR="00F76507" w:rsidRPr="00631204" w:rsidRDefault="00F76507" w:rsidP="00631204">
      <w:pPr>
        <w:spacing w:line="240" w:lineRule="auto"/>
        <w:ind w:left="708"/>
        <w:jc w:val="both"/>
        <w:rPr>
          <w:rFonts w:ascii="Times New Roman" w:hAnsi="Times New Roman" w:cs="Times New Roman"/>
          <w:b/>
          <w:sz w:val="24"/>
          <w:szCs w:val="24"/>
        </w:rPr>
      </w:pPr>
    </w:p>
    <w:p w14:paraId="226F2573" w14:textId="77777777" w:rsidR="00631204" w:rsidRPr="00631204" w:rsidRDefault="003A4FE5" w:rsidP="00631204">
      <w:pPr>
        <w:spacing w:after="0" w:line="240" w:lineRule="auto"/>
        <w:ind w:firstLine="708"/>
        <w:jc w:val="both"/>
        <w:rPr>
          <w:rFonts w:ascii="Times New Roman" w:hAnsi="Times New Roman" w:cs="Times New Roman"/>
          <w:sz w:val="24"/>
          <w:szCs w:val="24"/>
        </w:rPr>
      </w:pPr>
      <w:r w:rsidRPr="00631204">
        <w:rPr>
          <w:rFonts w:ascii="Times New Roman" w:eastAsia="Calibri" w:hAnsi="Times New Roman" w:cs="Arial"/>
          <w:noProof/>
          <w:sz w:val="24"/>
          <w:szCs w:val="24"/>
          <w:lang w:eastAsia="ru-RU"/>
        </w:rPr>
        <w:lastRenderedPageBreak/>
        <mc:AlternateContent>
          <mc:Choice Requires="wpg">
            <w:drawing>
              <wp:anchor distT="0" distB="0" distL="114300" distR="114300" simplePos="0" relativeHeight="251729920" behindDoc="0" locked="0" layoutInCell="1" allowOverlap="1" wp14:anchorId="3FF7BBE9" wp14:editId="1DF09D3B">
                <wp:simplePos x="0" y="0"/>
                <wp:positionH relativeFrom="page">
                  <wp:align>center</wp:align>
                </wp:positionH>
                <wp:positionV relativeFrom="paragraph">
                  <wp:posOffset>294640</wp:posOffset>
                </wp:positionV>
                <wp:extent cx="7058025" cy="3895725"/>
                <wp:effectExtent l="0" t="0" r="28575" b="28575"/>
                <wp:wrapNone/>
                <wp:docPr id="2" name="Группа 2"/>
                <wp:cNvGraphicFramePr/>
                <a:graphic xmlns:a="http://schemas.openxmlformats.org/drawingml/2006/main">
                  <a:graphicData uri="http://schemas.microsoft.com/office/word/2010/wordprocessingGroup">
                    <wpg:wgp>
                      <wpg:cNvGrpSpPr/>
                      <wpg:grpSpPr>
                        <a:xfrm>
                          <a:off x="0" y="0"/>
                          <a:ext cx="7058025" cy="3895725"/>
                          <a:chOff x="0" y="0"/>
                          <a:chExt cx="6381750" cy="3629025"/>
                        </a:xfrm>
                      </wpg:grpSpPr>
                      <wps:wsp>
                        <wps:cNvPr id="4" name="Надпись 4"/>
                        <wps:cNvSpPr txBox="1"/>
                        <wps:spPr>
                          <a:xfrm>
                            <a:off x="3219450" y="0"/>
                            <a:ext cx="3133725" cy="704850"/>
                          </a:xfrm>
                          <a:prstGeom prst="rect">
                            <a:avLst/>
                          </a:prstGeom>
                          <a:solidFill>
                            <a:srgbClr val="C00000"/>
                          </a:solidFill>
                          <a:ln w="6350">
                            <a:solidFill>
                              <a:srgbClr val="C00000"/>
                            </a:solidFill>
                          </a:ln>
                          <a:effectLst/>
                        </wps:spPr>
                        <wps:txbx>
                          <w:txbxContent>
                            <w:p w14:paraId="23EBBD1A"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ЗАО «ФБ ММВБ» (до 19.12.2016)</w:t>
                              </w:r>
                            </w:p>
                            <w:p w14:paraId="25C2467E" w14:textId="77777777" w:rsidR="0068193E"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ПАО</w:t>
                              </w:r>
                              <w:r>
                                <w:rPr>
                                  <w:rStyle w:val="msoins0"/>
                                  <w:b/>
                                  <w:color w:val="FFFFFF" w:themeColor="background1"/>
                                  <w:sz w:val="28"/>
                                  <w:szCs w:val="28"/>
                                </w:rPr>
                                <w:t xml:space="preserve"> Московская Биржа</w:t>
                              </w:r>
                            </w:p>
                            <w:p w14:paraId="29172485"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(с 19.12.2016)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Надпись 56"/>
                        <wps:cNvSpPr txBox="1"/>
                        <wps:spPr>
                          <a:xfrm>
                            <a:off x="28575" y="0"/>
                            <a:ext cx="2905125" cy="704850"/>
                          </a:xfrm>
                          <a:prstGeom prst="rect">
                            <a:avLst/>
                          </a:prstGeom>
                          <a:solidFill>
                            <a:srgbClr val="C00000"/>
                          </a:solidFill>
                          <a:ln w="6350">
                            <a:solidFill>
                              <a:srgbClr val="C00000"/>
                            </a:solidFill>
                            <a:round/>
                          </a:ln>
                          <a:effectLst/>
                        </wps:spPr>
                        <wps:txbx>
                          <w:txbxContent>
                            <w:p w14:paraId="052C0195"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ПАО Московская Биржа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Скругленный прямоугольник 9"/>
                        <wps:cNvSpPr/>
                        <wps:spPr>
                          <a:xfrm>
                            <a:off x="2162175" y="838200"/>
                            <a:ext cx="2038350" cy="2790825"/>
                          </a:xfrm>
                          <a:prstGeom prst="roundRect">
                            <a:avLst/>
                          </a:prstGeom>
                          <a:solidFill>
                            <a:srgbClr val="C00000"/>
                          </a:solidFill>
                          <a:ln w="19050" cap="flat" cmpd="sng" algn="ctr">
                            <a:solidFill>
                              <a:sysClr val="window" lastClr="FFFFFF"/>
                            </a:solidFill>
                            <a:prstDash val="solid"/>
                            <a:miter lim="800000"/>
                          </a:ln>
                          <a:effectLst/>
                        </wps:spPr>
                        <wps:txbx>
                          <w:txbxContent>
                            <w:p w14:paraId="75651DA6" w14:textId="77777777" w:rsidR="0068193E"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Банк НКЦ (АО)</w:t>
                              </w:r>
                            </w:p>
                            <w:p w14:paraId="432F6B9B" w14:textId="77777777" w:rsidR="0068193E" w:rsidRDefault="0068193E" w:rsidP="00631204">
                              <w:pPr>
                                <w:pStyle w:val="11"/>
                                <w:jc w:val="center"/>
                                <w:rPr>
                                  <w:rStyle w:val="msoins0"/>
                                  <w:b/>
                                  <w:color w:val="FFFFFF" w:themeColor="background1"/>
                                  <w:sz w:val="28"/>
                                  <w:szCs w:val="28"/>
                                </w:rPr>
                              </w:pPr>
                            </w:p>
                            <w:p w14:paraId="0D3FEE5B" w14:textId="77777777" w:rsidR="0068193E" w:rsidRDefault="0068193E" w:rsidP="00631204">
                              <w:pPr>
                                <w:pStyle w:val="11"/>
                                <w:jc w:val="both"/>
                                <w:rPr>
                                  <w:rStyle w:val="msoins0"/>
                                  <w:b/>
                                  <w:color w:val="FFFFFF" w:themeColor="background1"/>
                                  <w:sz w:val="24"/>
                                  <w:szCs w:val="24"/>
                                </w:rPr>
                              </w:pPr>
                              <w:r>
                                <w:rPr>
                                  <w:rStyle w:val="msoins0"/>
                                  <w:b/>
                                  <w:color w:val="FFFFFF" w:themeColor="background1"/>
                                  <w:sz w:val="24"/>
                                  <w:szCs w:val="24"/>
                                </w:rPr>
                                <w:t>По состоянию на конец 2016 года</w:t>
                              </w:r>
                            </w:p>
                            <w:p w14:paraId="68A7D2C0" w14:textId="77777777" w:rsidR="0068193E" w:rsidRDefault="0068193E" w:rsidP="00441380">
                              <w:pPr>
                                <w:pStyle w:val="11"/>
                                <w:numPr>
                                  <w:ilvl w:val="0"/>
                                  <w:numId w:val="18"/>
                                </w:numPr>
                                <w:ind w:left="284" w:hanging="284"/>
                                <w:jc w:val="both"/>
                                <w:rPr>
                                  <w:rStyle w:val="msoins0"/>
                                  <w:b/>
                                  <w:color w:val="FFFFFF" w:themeColor="background1"/>
                                  <w:sz w:val="24"/>
                                  <w:szCs w:val="24"/>
                                </w:rPr>
                              </w:pPr>
                              <w:r>
                                <w:rPr>
                                  <w:rStyle w:val="msoins0"/>
                                  <w:b/>
                                  <w:color w:val="FFFFFF" w:themeColor="background1"/>
                                  <w:sz w:val="24"/>
                                  <w:szCs w:val="24"/>
                                </w:rPr>
                                <w:t>655 участников клиринга</w:t>
                              </w:r>
                            </w:p>
                            <w:p w14:paraId="094D0AB6" w14:textId="77777777" w:rsidR="0068193E" w:rsidRPr="00E02D44" w:rsidRDefault="0068193E" w:rsidP="00441380">
                              <w:pPr>
                                <w:pStyle w:val="11"/>
                                <w:numPr>
                                  <w:ilvl w:val="0"/>
                                  <w:numId w:val="18"/>
                                </w:numPr>
                                <w:ind w:left="284" w:hanging="284"/>
                                <w:jc w:val="both"/>
                                <w:rPr>
                                  <w:rStyle w:val="msoins0"/>
                                  <w:b/>
                                  <w:color w:val="FFFFFF" w:themeColor="background1"/>
                                  <w:sz w:val="24"/>
                                  <w:szCs w:val="24"/>
                                </w:rPr>
                              </w:pPr>
                              <w:r>
                                <w:rPr>
                                  <w:rStyle w:val="msoins0"/>
                                  <w:b/>
                                  <w:color w:val="FFFFFF" w:themeColor="background1"/>
                                  <w:sz w:val="24"/>
                                  <w:szCs w:val="24"/>
                                </w:rPr>
                                <w:t xml:space="preserve">объем определенных по итогам клиринга обязательств участников клиринга: </w:t>
                              </w:r>
                              <w:r w:rsidRPr="00E02D44">
                                <w:rPr>
                                  <w:rStyle w:val="msoins0"/>
                                  <w:b/>
                                  <w:color w:val="FFFFFF" w:themeColor="background1"/>
                                  <w:sz w:val="24"/>
                                  <w:szCs w:val="24"/>
                                </w:rPr>
                                <w:t>1 531 трлн руб.</w:t>
                              </w:r>
                              <w:r>
                                <w:rPr>
                                  <w:rStyle w:val="msoins0"/>
                                  <w:b/>
                                  <w:color w:val="FFFFFF" w:themeColor="background1"/>
                                  <w:sz w:val="24"/>
                                  <w:szCs w:val="24"/>
                                </w:rPr>
                                <w:t xml:space="preserve"> (1 212 трлн руб. в 2015)</w:t>
                              </w:r>
                            </w:p>
                            <w:p w14:paraId="6BA09E5D" w14:textId="77777777" w:rsidR="0068193E" w:rsidRDefault="0068193E" w:rsidP="006312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28575" y="933450"/>
                            <a:ext cx="2057400" cy="1085850"/>
                          </a:xfrm>
                          <a:prstGeom prst="rect">
                            <a:avLst/>
                          </a:prstGeom>
                          <a:solidFill>
                            <a:sysClr val="window" lastClr="FFFFFF"/>
                          </a:solidFill>
                          <a:ln w="19050" cap="flat" cmpd="sng" algn="ctr">
                            <a:solidFill>
                              <a:srgbClr val="5B9BD5"/>
                            </a:solidFill>
                            <a:prstDash val="solid"/>
                            <a:miter lim="800000"/>
                          </a:ln>
                          <a:effectLst/>
                        </wps:spPr>
                        <wps:txbx>
                          <w:txbxContent>
                            <w:p w14:paraId="68633D3F" w14:textId="77777777" w:rsidR="0068193E" w:rsidRPr="002A70D5" w:rsidRDefault="0068193E" w:rsidP="00631204">
                              <w:pPr>
                                <w:pStyle w:val="11"/>
                                <w:jc w:val="both"/>
                                <w:rPr>
                                  <w:rStyle w:val="msoins0"/>
                                  <w:sz w:val="24"/>
                                  <w:szCs w:val="24"/>
                                </w:rPr>
                              </w:pPr>
                              <w:r w:rsidRPr="002A70D5">
                                <w:rPr>
                                  <w:rStyle w:val="msoins0"/>
                                  <w:sz w:val="24"/>
                                  <w:szCs w:val="24"/>
                                </w:rPr>
                                <w:t>Клиринг с ЦК по срочному, валютному рынкам, рынку драгоценных металлов и рынку стандартизированных ПФИ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4295775" y="904875"/>
                            <a:ext cx="2057400" cy="514350"/>
                          </a:xfrm>
                          <a:prstGeom prst="rect">
                            <a:avLst/>
                          </a:prstGeom>
                          <a:solidFill>
                            <a:sysClr val="window" lastClr="FFFFFF"/>
                          </a:solidFill>
                          <a:ln w="19050" cap="flat" cmpd="sng" algn="ctr">
                            <a:solidFill>
                              <a:srgbClr val="5B9BD5"/>
                            </a:solidFill>
                            <a:prstDash val="solid"/>
                            <a:miter lim="800000"/>
                          </a:ln>
                          <a:effectLst/>
                        </wps:spPr>
                        <wps:txbx>
                          <w:txbxContent>
                            <w:p w14:paraId="7F930855" w14:textId="77777777" w:rsidR="0068193E" w:rsidRPr="002A70D5" w:rsidRDefault="0068193E" w:rsidP="00631204">
                              <w:pPr>
                                <w:pStyle w:val="11"/>
                                <w:jc w:val="both"/>
                                <w:rPr>
                                  <w:rStyle w:val="msoins0"/>
                                  <w:sz w:val="24"/>
                                  <w:szCs w:val="24"/>
                                </w:rPr>
                              </w:pPr>
                              <w:r w:rsidRPr="002A70D5">
                                <w:rPr>
                                  <w:rStyle w:val="msoins0"/>
                                  <w:sz w:val="24"/>
                                  <w:szCs w:val="24"/>
                                </w:rPr>
                                <w:t xml:space="preserve">Клиринг </w:t>
                              </w:r>
                              <w:r>
                                <w:rPr>
                                  <w:rStyle w:val="msoins0"/>
                                  <w:sz w:val="24"/>
                                  <w:szCs w:val="24"/>
                                </w:rPr>
                                <w:t>по фондовому рынку (</w:t>
                              </w:r>
                              <w:r w:rsidRPr="002A70D5">
                                <w:rPr>
                                  <w:rStyle w:val="msoins0"/>
                                  <w:sz w:val="24"/>
                                  <w:szCs w:val="24"/>
                                </w:rPr>
                                <w:t xml:space="preserve">с ЦК </w:t>
                              </w:r>
                              <w:r>
                                <w:rPr>
                                  <w:rStyle w:val="msoins0"/>
                                  <w:sz w:val="24"/>
                                  <w:szCs w:val="24"/>
                                </w:rPr>
                                <w:t>и без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28575" y="2238375"/>
                            <a:ext cx="2057400" cy="685800"/>
                          </a:xfrm>
                          <a:prstGeom prst="rect">
                            <a:avLst/>
                          </a:prstGeom>
                          <a:solidFill>
                            <a:sysClr val="window" lastClr="FFFFFF"/>
                          </a:solidFill>
                          <a:ln w="19050" cap="flat" cmpd="sng" algn="ctr">
                            <a:solidFill>
                              <a:srgbClr val="5B9BD5"/>
                            </a:solidFill>
                            <a:prstDash val="solid"/>
                            <a:miter lim="800000"/>
                          </a:ln>
                          <a:effectLst/>
                        </wps:spPr>
                        <wps:txbx>
                          <w:txbxContent>
                            <w:p w14:paraId="7386572C" w14:textId="77777777" w:rsidR="0068193E" w:rsidRPr="002A70D5" w:rsidRDefault="0068193E" w:rsidP="00631204">
                              <w:pPr>
                                <w:pStyle w:val="11"/>
                                <w:jc w:val="both"/>
                                <w:rPr>
                                  <w:rStyle w:val="msoins0"/>
                                  <w:sz w:val="24"/>
                                  <w:szCs w:val="24"/>
                                </w:rPr>
                              </w:pPr>
                              <w:r w:rsidRPr="002A70D5">
                                <w:rPr>
                                  <w:rStyle w:val="msoins0"/>
                                  <w:sz w:val="24"/>
                                  <w:szCs w:val="24"/>
                                </w:rPr>
                                <w:t xml:space="preserve">Клиринг </w:t>
                              </w:r>
                              <w:r>
                                <w:rPr>
                                  <w:rStyle w:val="msoins0"/>
                                  <w:sz w:val="24"/>
                                  <w:szCs w:val="24"/>
                                </w:rPr>
                                <w:t>по товарному рынку (поставочные фьючерсы на зерно) с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Надпись 61"/>
                        <wps:cNvSpPr txBox="1"/>
                        <wps:spPr>
                          <a:xfrm>
                            <a:off x="0" y="3076575"/>
                            <a:ext cx="2085975" cy="552450"/>
                          </a:xfrm>
                          <a:prstGeom prst="rect">
                            <a:avLst/>
                          </a:prstGeom>
                          <a:solidFill>
                            <a:srgbClr val="C00000"/>
                          </a:solidFill>
                          <a:ln w="6350">
                            <a:solidFill>
                              <a:srgbClr val="C00000"/>
                            </a:solidFill>
                            <a:round/>
                          </a:ln>
                          <a:effectLst/>
                        </wps:spPr>
                        <wps:txbx>
                          <w:txbxContent>
                            <w:p w14:paraId="21AED5D8" w14:textId="77777777" w:rsidR="0068193E" w:rsidRPr="00E02D44"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АО «Национальная товарная биржа»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Надпись 62"/>
                        <wps:cNvSpPr txBox="1"/>
                        <wps:spPr>
                          <a:xfrm>
                            <a:off x="4295775" y="3076575"/>
                            <a:ext cx="2085975" cy="552450"/>
                          </a:xfrm>
                          <a:prstGeom prst="rect">
                            <a:avLst/>
                          </a:prstGeom>
                          <a:solidFill>
                            <a:srgbClr val="5B9BD5">
                              <a:lumMod val="75000"/>
                            </a:srgbClr>
                          </a:solidFill>
                          <a:ln w="6350">
                            <a:solidFill>
                              <a:srgbClr val="5B9BD5">
                                <a:lumMod val="75000"/>
                              </a:srgbClr>
                            </a:solidFill>
                            <a:round/>
                          </a:ln>
                          <a:effectLst/>
                        </wps:spPr>
                        <wps:txbx>
                          <w:txbxContent>
                            <w:p w14:paraId="1EC9FAFD" w14:textId="77777777" w:rsidR="0068193E" w:rsidRPr="00E02D44"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АО «Мосэнергобиржа»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4295775" y="1581150"/>
                            <a:ext cx="2057400" cy="1343025"/>
                          </a:xfrm>
                          <a:prstGeom prst="rect">
                            <a:avLst/>
                          </a:prstGeom>
                          <a:solidFill>
                            <a:sysClr val="window" lastClr="FFFFFF"/>
                          </a:solidFill>
                          <a:ln w="19050" cap="flat" cmpd="sng" algn="ctr">
                            <a:solidFill>
                              <a:srgbClr val="5B9BD5"/>
                            </a:solidFill>
                            <a:prstDash val="solid"/>
                            <a:miter lim="800000"/>
                          </a:ln>
                          <a:effectLst/>
                        </wps:spPr>
                        <wps:txbx>
                          <w:txbxContent>
                            <w:p w14:paraId="535533B5" w14:textId="77777777" w:rsidR="0068193E" w:rsidRPr="005D0B7D" w:rsidRDefault="0068193E" w:rsidP="00441380">
                              <w:pPr>
                                <w:pStyle w:val="11"/>
                                <w:numPr>
                                  <w:ilvl w:val="0"/>
                                  <w:numId w:val="19"/>
                                </w:numPr>
                                <w:ind w:left="284" w:hanging="284"/>
                                <w:jc w:val="both"/>
                                <w:rPr>
                                  <w:rStyle w:val="msoins0"/>
                                  <w:sz w:val="22"/>
                                  <w:szCs w:val="22"/>
                                </w:rPr>
                              </w:pPr>
                              <w:r w:rsidRPr="005D0B7D">
                                <w:rPr>
                                  <w:rStyle w:val="msoins0"/>
                                  <w:sz w:val="22"/>
                                  <w:szCs w:val="22"/>
                                </w:rPr>
                                <w:t>Клиринг по срочному рынку (секция электроэнергетики) с ЦК;</w:t>
                              </w:r>
                            </w:p>
                            <w:p w14:paraId="06AD99B3" w14:textId="77777777" w:rsidR="0068193E" w:rsidRPr="005D0B7D" w:rsidRDefault="0068193E" w:rsidP="00441380">
                              <w:pPr>
                                <w:pStyle w:val="11"/>
                                <w:numPr>
                                  <w:ilvl w:val="0"/>
                                  <w:numId w:val="19"/>
                                </w:numPr>
                                <w:ind w:left="284" w:hanging="284"/>
                                <w:jc w:val="both"/>
                                <w:rPr>
                                  <w:rStyle w:val="msoins0"/>
                                  <w:sz w:val="22"/>
                                  <w:szCs w:val="22"/>
                                </w:rPr>
                              </w:pPr>
                              <w:r w:rsidRPr="005D0B7D">
                                <w:rPr>
                                  <w:rStyle w:val="msoins0"/>
                                  <w:sz w:val="22"/>
                                  <w:szCs w:val="22"/>
                                </w:rPr>
                                <w:t>Клиринг по товарному рынку (секция нефтегазового комплекса) без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7BBE9" id="Группа 2" o:spid="_x0000_s1026" style="position:absolute;left:0;text-align:left;margin-left:0;margin-top:23.2pt;width:555.75pt;height:306.75pt;z-index:251729920;mso-position-horizontal:center;mso-position-horizontal-relative:page;mso-width-relative:margin;mso-height-relative:margin" coordsize="63817,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a0LwUAAEMiAAAOAAAAZHJzL2Uyb0RvYy54bWzsWstu20YU3RfoPxDc1+JDlCjBdOBHbRRw&#10;E6NOkfWYD4kAyWFnRpbcVYsuGyCLrIuifxAgLZAmTfIL1B/1zJCi9bBSWYlbVJYM0PO487oz5547&#10;l9x9MEoT7TJkPKaZp5s7hq6FmU+DOOt5+rePj79wdY0LkgUkoVno6Vch1x/sff7Z7jDvhhbt0yQI&#10;mYZOMt4d5p7eFyLvNhrc74cp4Ts0DzNURpSlRCDLeo2AkSF6T5OGZRitxpCyIGfUDzlH6VFZqe+p&#10;/qMo9MWjKOKh0BJPx9yEejL1vJDPxt4u6fYYyfuxX02DrDGLlMQZBq27OiKCaAMWL3SVxj6jnEZi&#10;x6dpg0ZR7IdqDViNacyt5oTRQa7W0usOe3mtJqh2Tk9rd+s/vDxjWhx4uqVrGUmxRcXz8Q/jn4r3&#10;+HuhWVJDw7zXheAJy8/zM1YV9MqcXPQoYqn8j+VoI6Xbq1q34UhoPgrbhuMalqNrPupst+O0kVHa&#10;9/vYooV2fv/LqmXLds22g81TLVtWR3aDlo3JwA05v3o6wxwniV8ri3+css77JA/VHnCpg0pZzVpZ&#10;vxQvit+hqlfjH8dPtWapLiUqdaWJ0QHF6s1JOUfhDSqzLbPTlGtcVJxt2rbUlVp+22i6EJtePenm&#10;jIuTkKaaTHg6w6FXZ5FcnnJRik5E5NCcJnFwHCeJyrDexWHCtEsCgBwa8lf1PiOWZNrQ01s2xl6v&#10;C2xWksmmoQJlNTG5V6VGZEqMLkaYrkxe0OAK2mO0BCzP/eMYizslXJwRBoRCVbA64hEeUUIxN1ql&#10;dK1P2fc3lUt5nAXU6toQiPd0/t2AsFDXkq8ynJKO2WxKE6EyTZxPZNh0zcV0TTZIDyl0ZsK+5b5K&#10;SnmRTJIRo+kTGKd9OSqqSOZjbE8Xk+ShKO0QjJsf7u8rIRiFnIjT7Dz3ZddSYXLrHo+eEJZX+ysA&#10;qYd0ci5Jd26bS1nZMqP7A0GjWJ2Ba60COTIDjJS6vnOwOK0laEFFtd9A1m3gYrlOG4hYBAuMg2P+&#10;78FCujD8WVBCdyXYKAteG5kNRo8v2P3DT7vGz2/Fa0XOL4s3xR/F2+Lt+OfiT614j8JnxV/FO/D2&#10;y+Jd8Wb8FJWvitdaZw5hFd6W0JBltixwrUKWa7twsGRzGO2Kii3DdiUHKC6y2h3DnaPiRTKSB/mb&#10;O2MkE3iX05HWPEoIbKuf5gEse9bDMUl68EnliZFrmOEzfsVr1oM3GdAhWADkgkJPP1a/m2hQ2uIj&#10;wvslXaoeSwWlsYAbm8Spp7vTJLo6eCtHa6Op716CFxegyq/+dSlKHfd2MK3pr2Pb0m2cA6nTbgK5&#10;CqSm4Tqf2GNcDzqlB7k2XqfdVOegc3A0uQLMwPoO8WlPdmhLrpvlnHZWweftaLRp4Xpb0WgHNzYk&#10;lyPUMZuSUiFQX2gXWfRWBHo/AVpfvbcA3SiAtsBk/0igEAKA5LW2uklWuWV+bk2glgWP9oP4bIFA&#10;66DIJNIliWbtkMv9xKeygddRiI2M7dxHB7eFCFiFz9lYKCpmMblqMBSAlzFio92SUR70MX0BdZ2O&#10;ZFYZC3Ycq3J+PxVzTnuZdxgMXTO+U0fLtgy3WQx3/eplDkF1UOCW8dFpB/S/xlF1W5MoTgbp1zQo&#10;gyd4o1OzKi9xpzzgmfvcyq8dPmaQtWKt7Ylt22Jxs7Bo12y2PFzTqoMBK3mb02g0Hdc0PxyxsZv2&#10;/BvO7YWwthWrR1TrmNoWov8WRNWbeHypoCx59VWF/BRiOo/09Lcfe38DAAD//wMAUEsDBBQABgAI&#10;AAAAIQBUMGE/3wAAAAgBAAAPAAAAZHJzL2Rvd25yZXYueG1sTI9BS8NAEIXvgv9hGcGb3USbYGMm&#10;pRT1VARbofQ2zU6T0OxuyG6T9N+7Pem7DW9473v5ctKtGLh3jTUI8SwCwaa0qjEVws/u4+kVhPNk&#10;FLXWMMKVHSyL+7ucMmVH883D1lcihBiXEULtfZdJ6cqaNbmZ7dgE72R7TT6cfSVVT2MI1618jqJU&#10;ampMaKip43XN5Xl70QifI42rl/h92JxP6+thl3ztNzEjPj5MqzcQnif/9ww3/IAORWA62otRTrQI&#10;YYhHmKdzEDc3KAFxREiTxQJkkcv/A4pfAAAA//8DAFBLAQItABQABgAIAAAAIQC2gziS/gAAAOEB&#10;AAATAAAAAAAAAAAAAAAAAAAAAABbQ29udGVudF9UeXBlc10ueG1sUEsBAi0AFAAGAAgAAAAhADj9&#10;If/WAAAAlAEAAAsAAAAAAAAAAAAAAAAALwEAAF9yZWxzLy5yZWxzUEsBAi0AFAAGAAgAAAAhAJgj&#10;VrQvBQAAQyIAAA4AAAAAAAAAAAAAAAAALgIAAGRycy9lMm9Eb2MueG1sUEsBAi0AFAAGAAgAAAAh&#10;AFQwYT/fAAAACAEAAA8AAAAAAAAAAAAAAAAAiQcAAGRycy9kb3ducmV2LnhtbFBLBQYAAAAABAAE&#10;APMAAACVCAAAAAA=&#10;">
                <v:shapetype id="_x0000_t202" coordsize="21600,21600" o:spt="202" path="m,l,21600r21600,l21600,xe">
                  <v:stroke joinstyle="miter"/>
                  <v:path gradientshapeok="t" o:connecttype="rect"/>
                </v:shapetype>
                <v:shape id="Надпись 4" o:spid="_x0000_s1027" type="#_x0000_t202" style="position:absolute;left:32194;width:31337;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1yG8MA&#10;AADaAAAADwAAAGRycy9kb3ducmV2LnhtbESPQWvCQBSE7wX/w/KEXkQ3LaISsxEpDRRv1YAeH9ln&#10;Nph9m2a3Ju2v7xYKPQ4z8w2T7Ubbijv1vnGs4GmRgCCunG64VlCeivkGhA/IGlvHpOCLPOzyyUOG&#10;qXYDv9P9GGoRIexTVGBC6FIpfWXIol+4jjh6V9dbDFH2tdQ9DhFuW/mcJCtpseG4YLCjF0PV7fhp&#10;FVRFWfoDtuby8X1ez3BIikt4VepxOu63IAKN4T/8137TCp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1yG8MAAADaAAAADwAAAAAAAAAAAAAAAACYAgAAZHJzL2Rv&#10;d25yZXYueG1sUEsFBgAAAAAEAAQA9QAAAIgDAAAAAA==&#10;" fillcolor="#c00000" strokecolor="#c00000" strokeweight=".5pt">
                  <v:textbox>
                    <w:txbxContent>
                      <w:p w14:paraId="23EBBD1A"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ЗАО «ФБ ММВБ» (до 19.12.2016)</w:t>
                        </w:r>
                      </w:p>
                      <w:p w14:paraId="25C2467E" w14:textId="77777777" w:rsidR="0068193E"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ПАО</w:t>
                        </w:r>
                        <w:r>
                          <w:rPr>
                            <w:rStyle w:val="msoins0"/>
                            <w:b/>
                            <w:color w:val="FFFFFF" w:themeColor="background1"/>
                            <w:sz w:val="28"/>
                            <w:szCs w:val="28"/>
                          </w:rPr>
                          <w:t xml:space="preserve"> Московская Биржа</w:t>
                        </w:r>
                      </w:p>
                      <w:p w14:paraId="29172485"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(с 19.12.2016)</w:t>
                        </w:r>
                      </w:p>
                    </w:txbxContent>
                  </v:textbox>
                </v:shape>
                <v:shape id="Надпись 56" o:spid="_x0000_s1028" type="#_x0000_t202" style="position:absolute;left:285;width:29052;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OkcMA&#10;AADbAAAADwAAAGRycy9kb3ducmV2LnhtbESPT4vCMBTE7wt+h/AEb2uq7opUo4iwsEft+gdvj+bZ&#10;FpuXtom1fvuNIHgcZuY3zGLVmVK01LjCsoLRMAJBnFpdcKZg//fzOQPhPLLG0jIpeJCD1bL3scBY&#10;2zvvqE18JgKEXYwKcu+rWEqX5mTQDW1FHLyLbQz6IJtM6gbvAW5KOY6iqTRYcFjIsaJNTuk1uRkF&#10;p0N9m5zbbZJcj188nqV1u9/WSg363XoOwlPn3+FX+1cr+J7C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OkcMAAADbAAAADwAAAAAAAAAAAAAAAACYAgAAZHJzL2Rv&#10;d25yZXYueG1sUEsFBgAAAAAEAAQA9QAAAIgDAAAAAA==&#10;" fillcolor="#c00000" strokecolor="#c00000" strokeweight=".5pt">
                  <v:stroke joinstyle="round"/>
                  <v:textbox>
                    <w:txbxContent>
                      <w:p w14:paraId="052C0195" w14:textId="77777777" w:rsidR="0068193E" w:rsidRPr="00E02D44" w:rsidRDefault="0068193E" w:rsidP="00631204">
                        <w:pPr>
                          <w:pStyle w:val="11"/>
                          <w:jc w:val="center"/>
                          <w:rPr>
                            <w:rStyle w:val="msoins0"/>
                            <w:b/>
                            <w:color w:val="FFFFFF" w:themeColor="background1"/>
                            <w:sz w:val="28"/>
                            <w:szCs w:val="28"/>
                          </w:rPr>
                        </w:pPr>
                        <w:r w:rsidRPr="00E02D44">
                          <w:rPr>
                            <w:rStyle w:val="msoins0"/>
                            <w:b/>
                            <w:color w:val="FFFFFF" w:themeColor="background1"/>
                            <w:sz w:val="28"/>
                            <w:szCs w:val="28"/>
                          </w:rPr>
                          <w:t>ПАО Московская Биржа</w:t>
                        </w:r>
                      </w:p>
                    </w:txbxContent>
                  </v:textbox>
                </v:shape>
                <v:roundrect id="Скругленный прямоугольник 9" o:spid="_x0000_s1029" style="position:absolute;left:21621;top:8382;width:20384;height:279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fDsMA&#10;AADbAAAADwAAAGRycy9kb3ducmV2LnhtbESP0WrCQBRE3wv+w3IF3+omlapE1xCEin0pNPoB1+w1&#10;iWbvhuwmxr/vFgp9HGbmDLNNR9OIgTpXW1YQzyMQxIXVNZcKzqeP1zUI55E1NpZJwZMcpLvJyxYT&#10;bR/8TUPuSxEg7BJUUHnfJlK6oiKDbm5b4uBdbWfQB9mVUnf4CHDTyLcoWkqDNYeFClvaV1Tc894o&#10;yGR2kW7ZRLev8hZ/Lpjyw6JXajYdsw0IT6P/D/+1j1rB+wp+v4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0fDsMAAADbAAAADwAAAAAAAAAAAAAAAACYAgAAZHJzL2Rv&#10;d25yZXYueG1sUEsFBgAAAAAEAAQA9QAAAIgDAAAAAA==&#10;" fillcolor="#c00000" strokecolor="window" strokeweight="1.5pt">
                  <v:stroke joinstyle="miter"/>
                  <v:textbox>
                    <w:txbxContent>
                      <w:p w14:paraId="75651DA6" w14:textId="77777777" w:rsidR="0068193E"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Банк НКЦ (АО)</w:t>
                        </w:r>
                      </w:p>
                      <w:p w14:paraId="432F6B9B" w14:textId="77777777" w:rsidR="0068193E" w:rsidRDefault="0068193E" w:rsidP="00631204">
                        <w:pPr>
                          <w:pStyle w:val="11"/>
                          <w:jc w:val="center"/>
                          <w:rPr>
                            <w:rStyle w:val="msoins0"/>
                            <w:b/>
                            <w:color w:val="FFFFFF" w:themeColor="background1"/>
                            <w:sz w:val="28"/>
                            <w:szCs w:val="28"/>
                          </w:rPr>
                        </w:pPr>
                      </w:p>
                      <w:p w14:paraId="0D3FEE5B" w14:textId="77777777" w:rsidR="0068193E" w:rsidRDefault="0068193E" w:rsidP="00631204">
                        <w:pPr>
                          <w:pStyle w:val="11"/>
                          <w:jc w:val="both"/>
                          <w:rPr>
                            <w:rStyle w:val="msoins0"/>
                            <w:b/>
                            <w:color w:val="FFFFFF" w:themeColor="background1"/>
                            <w:sz w:val="24"/>
                            <w:szCs w:val="24"/>
                          </w:rPr>
                        </w:pPr>
                        <w:r>
                          <w:rPr>
                            <w:rStyle w:val="msoins0"/>
                            <w:b/>
                            <w:color w:val="FFFFFF" w:themeColor="background1"/>
                            <w:sz w:val="24"/>
                            <w:szCs w:val="24"/>
                          </w:rPr>
                          <w:t>По состоянию на конец 2016 года</w:t>
                        </w:r>
                      </w:p>
                      <w:p w14:paraId="68A7D2C0" w14:textId="77777777" w:rsidR="0068193E" w:rsidRDefault="0068193E" w:rsidP="00441380">
                        <w:pPr>
                          <w:pStyle w:val="11"/>
                          <w:numPr>
                            <w:ilvl w:val="0"/>
                            <w:numId w:val="18"/>
                          </w:numPr>
                          <w:ind w:left="284" w:hanging="284"/>
                          <w:jc w:val="both"/>
                          <w:rPr>
                            <w:rStyle w:val="msoins0"/>
                            <w:b/>
                            <w:color w:val="FFFFFF" w:themeColor="background1"/>
                            <w:sz w:val="24"/>
                            <w:szCs w:val="24"/>
                          </w:rPr>
                        </w:pPr>
                        <w:r>
                          <w:rPr>
                            <w:rStyle w:val="msoins0"/>
                            <w:b/>
                            <w:color w:val="FFFFFF" w:themeColor="background1"/>
                            <w:sz w:val="24"/>
                            <w:szCs w:val="24"/>
                          </w:rPr>
                          <w:t>655 участников клиринга</w:t>
                        </w:r>
                      </w:p>
                      <w:p w14:paraId="094D0AB6" w14:textId="77777777" w:rsidR="0068193E" w:rsidRPr="00E02D44" w:rsidRDefault="0068193E" w:rsidP="00441380">
                        <w:pPr>
                          <w:pStyle w:val="11"/>
                          <w:numPr>
                            <w:ilvl w:val="0"/>
                            <w:numId w:val="18"/>
                          </w:numPr>
                          <w:ind w:left="284" w:hanging="284"/>
                          <w:jc w:val="both"/>
                          <w:rPr>
                            <w:rStyle w:val="msoins0"/>
                            <w:b/>
                            <w:color w:val="FFFFFF" w:themeColor="background1"/>
                            <w:sz w:val="24"/>
                            <w:szCs w:val="24"/>
                          </w:rPr>
                        </w:pPr>
                        <w:r>
                          <w:rPr>
                            <w:rStyle w:val="msoins0"/>
                            <w:b/>
                            <w:color w:val="FFFFFF" w:themeColor="background1"/>
                            <w:sz w:val="24"/>
                            <w:szCs w:val="24"/>
                          </w:rPr>
                          <w:t xml:space="preserve">объем определенных по итогам клиринга обязательств участников клиринга: </w:t>
                        </w:r>
                        <w:r w:rsidRPr="00E02D44">
                          <w:rPr>
                            <w:rStyle w:val="msoins0"/>
                            <w:b/>
                            <w:color w:val="FFFFFF" w:themeColor="background1"/>
                            <w:sz w:val="24"/>
                            <w:szCs w:val="24"/>
                          </w:rPr>
                          <w:t>1 531 трлн руб.</w:t>
                        </w:r>
                        <w:r>
                          <w:rPr>
                            <w:rStyle w:val="msoins0"/>
                            <w:b/>
                            <w:color w:val="FFFFFF" w:themeColor="background1"/>
                            <w:sz w:val="24"/>
                            <w:szCs w:val="24"/>
                          </w:rPr>
                          <w:t xml:space="preserve"> (1 212 трлн руб. в 2015)</w:t>
                        </w:r>
                      </w:p>
                      <w:p w14:paraId="6BA09E5D" w14:textId="77777777" w:rsidR="0068193E" w:rsidRDefault="0068193E" w:rsidP="00631204">
                        <w:pPr>
                          <w:jc w:val="center"/>
                        </w:pPr>
                      </w:p>
                    </w:txbxContent>
                  </v:textbox>
                </v:roundrect>
                <v:rect id="Прямоугольник 58" o:spid="_x0000_s1030" style="position:absolute;left:285;top:9334;width:20574;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nTb4A&#10;AADbAAAADwAAAGRycy9kb3ducmV2LnhtbERPTYvCMBC9C/6HMII3TRWUUo0igrAseLCK56EZ22oz&#10;KU1s4783h4U9Pt73dh9MI3rqXG1ZwWKegCAurK65VHC7nmYpCOeRNTaWScGHHOx349EWM20HvlCf&#10;+1LEEHYZKqi8bzMpXVGRQTe3LXHkHrYz6CPsSqk7HGK4aeQySdbSYM2xocKWjhUVr/xtFJxP7mjz&#10;8Lw9+3RxbtKw/PwOd6Wmk3DYgPAU/L/4z/2jFazi2Pgl/gC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pp02+AAAA2wAAAA8AAAAAAAAAAAAAAAAAmAIAAGRycy9kb3ducmV2&#10;LnhtbFBLBQYAAAAABAAEAPUAAACDAwAAAAA=&#10;" fillcolor="window" strokecolor="#5b9bd5" strokeweight="1.5pt">
                  <v:textbox>
                    <w:txbxContent>
                      <w:p w14:paraId="68633D3F" w14:textId="77777777" w:rsidR="0068193E" w:rsidRPr="002A70D5" w:rsidRDefault="0068193E" w:rsidP="00631204">
                        <w:pPr>
                          <w:pStyle w:val="11"/>
                          <w:jc w:val="both"/>
                          <w:rPr>
                            <w:rStyle w:val="msoins0"/>
                            <w:sz w:val="24"/>
                            <w:szCs w:val="24"/>
                          </w:rPr>
                        </w:pPr>
                        <w:r w:rsidRPr="002A70D5">
                          <w:rPr>
                            <w:rStyle w:val="msoins0"/>
                            <w:sz w:val="24"/>
                            <w:szCs w:val="24"/>
                          </w:rPr>
                          <w:t>Клиринг с ЦК по срочному, валютному рынкам, рынку драгоценных металлов и рынку стандартизированных ПФИ</w:t>
                        </w:r>
                      </w:p>
                    </w:txbxContent>
                  </v:textbox>
                </v:rect>
                <v:rect id="Прямоугольник 59" o:spid="_x0000_s1031" style="position:absolute;left:42957;top:9048;width:2057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1sIA&#10;AADbAAAADwAAAGRycy9kb3ducmV2LnhtbESPQYvCMBSE7wv+h/CEva2pgtKtRhFBEMHDVtnzo3m2&#10;1ealNLGN/36zIHgcZuYbZrUJphE9da62rGA6SUAQF1bXXCq4nPdfKQjnkTU2lknBkxxs1qOPFWba&#10;DvxDfe5LESHsMlRQed9mUrqiIoNuYlvi6F1tZ9BH2ZVSdzhEuGnkLEkW0mDNcaHClnYVFff8YRSc&#10;9m5n83C73Pp0emrSMHseh1+lPsdhuwThKfh3+NU+aAXzb/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QLWwgAAANsAAAAPAAAAAAAAAAAAAAAAAJgCAABkcnMvZG93&#10;bnJldi54bWxQSwUGAAAAAAQABAD1AAAAhwMAAAAA&#10;" fillcolor="window" strokecolor="#5b9bd5" strokeweight="1.5pt">
                  <v:textbox>
                    <w:txbxContent>
                      <w:p w14:paraId="7F930855" w14:textId="77777777" w:rsidR="0068193E" w:rsidRPr="002A70D5" w:rsidRDefault="0068193E" w:rsidP="00631204">
                        <w:pPr>
                          <w:pStyle w:val="11"/>
                          <w:jc w:val="both"/>
                          <w:rPr>
                            <w:rStyle w:val="msoins0"/>
                            <w:sz w:val="24"/>
                            <w:szCs w:val="24"/>
                          </w:rPr>
                        </w:pPr>
                        <w:r w:rsidRPr="002A70D5">
                          <w:rPr>
                            <w:rStyle w:val="msoins0"/>
                            <w:sz w:val="24"/>
                            <w:szCs w:val="24"/>
                          </w:rPr>
                          <w:t xml:space="preserve">Клиринг </w:t>
                        </w:r>
                        <w:r>
                          <w:rPr>
                            <w:rStyle w:val="msoins0"/>
                            <w:sz w:val="24"/>
                            <w:szCs w:val="24"/>
                          </w:rPr>
                          <w:t>по фондовому рынку (</w:t>
                        </w:r>
                        <w:r w:rsidRPr="002A70D5">
                          <w:rPr>
                            <w:rStyle w:val="msoins0"/>
                            <w:sz w:val="24"/>
                            <w:szCs w:val="24"/>
                          </w:rPr>
                          <w:t xml:space="preserve">с ЦК </w:t>
                        </w:r>
                        <w:r>
                          <w:rPr>
                            <w:rStyle w:val="msoins0"/>
                            <w:sz w:val="24"/>
                            <w:szCs w:val="24"/>
                          </w:rPr>
                          <w:t>и без ЦК)</w:t>
                        </w:r>
                      </w:p>
                    </w:txbxContent>
                  </v:textbox>
                </v:rect>
                <v:rect id="Прямоугольник 60" o:spid="_x0000_s1032" style="position:absolute;left:285;top:22383;width:2057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h9sAA&#10;AADbAAAADwAAAGRycy9kb3ducmV2LnhtbERPu2rDMBTdC/0HcQvdGtkejHGjmBAIhEKGuqbzxbr1&#10;I9aVsRRb+ftqKHQ8nPe+CmYSKy1usKwg3SUgiFurB+4UNF/ntwKE88gaJ8uk4EEOqsPz0x5LbTf+&#10;pLX2nYgh7EpU0Hs/l1K6tieDbmdn4sj92MWgj3DppF5wi+FmklmS5NLgwLGhx5lOPbW3+m4UXM/u&#10;ZOswNuNapNepCNnjY/tW6vUlHN9BeAr+X/znvmgFeVwfv8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Nh9sAAAADbAAAADwAAAAAAAAAAAAAAAACYAgAAZHJzL2Rvd25y&#10;ZXYueG1sUEsFBgAAAAAEAAQA9QAAAIUDAAAAAA==&#10;" fillcolor="window" strokecolor="#5b9bd5" strokeweight="1.5pt">
                  <v:textbox>
                    <w:txbxContent>
                      <w:p w14:paraId="7386572C" w14:textId="77777777" w:rsidR="0068193E" w:rsidRPr="002A70D5" w:rsidRDefault="0068193E" w:rsidP="00631204">
                        <w:pPr>
                          <w:pStyle w:val="11"/>
                          <w:jc w:val="both"/>
                          <w:rPr>
                            <w:rStyle w:val="msoins0"/>
                            <w:sz w:val="24"/>
                            <w:szCs w:val="24"/>
                          </w:rPr>
                        </w:pPr>
                        <w:r w:rsidRPr="002A70D5">
                          <w:rPr>
                            <w:rStyle w:val="msoins0"/>
                            <w:sz w:val="24"/>
                            <w:szCs w:val="24"/>
                          </w:rPr>
                          <w:t xml:space="preserve">Клиринг </w:t>
                        </w:r>
                        <w:r>
                          <w:rPr>
                            <w:rStyle w:val="msoins0"/>
                            <w:sz w:val="24"/>
                            <w:szCs w:val="24"/>
                          </w:rPr>
                          <w:t>по товарному рынку (поставочные фьючерсы на зерно) с ЦК</w:t>
                        </w:r>
                      </w:p>
                    </w:txbxContent>
                  </v:textbox>
                </v:rect>
                <v:shape id="Надпись 61" o:spid="_x0000_s1033" type="#_x0000_t202" style="position:absolute;top:30765;width:2085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WMQA&#10;AADbAAAADwAAAGRycy9kb3ducmV2LnhtbESPQWvCQBSE7wX/w/IEb3UTLSLRNYhQ6DFNbcXbI/tM&#10;gtm3SXZN0n/fLRR6HGbmG2afTqYRA/WutqwgXkYgiAuray4VnD9en7cgnEfW2FgmBd/kID3MnvaY&#10;aDvyOw25L0WAsEtQQeV9m0jpiooMuqVtiYN3s71BH2RfSt3jGOCmkaso2kiDNYeFCls6VVTc84dR&#10;cPnsHuvrkOX5/euFV9uiG85Zp9RiPh13IDxN/j/8137TCj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HFjEAAAA2wAAAA8AAAAAAAAAAAAAAAAAmAIAAGRycy9k&#10;b3ducmV2LnhtbFBLBQYAAAAABAAEAPUAAACJAwAAAAA=&#10;" fillcolor="#c00000" strokecolor="#c00000" strokeweight=".5pt">
                  <v:stroke joinstyle="round"/>
                  <v:textbox>
                    <w:txbxContent>
                      <w:p w14:paraId="21AED5D8" w14:textId="77777777" w:rsidR="0068193E" w:rsidRPr="00E02D44"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АО «Национальная товарная биржа»</w:t>
                        </w:r>
                      </w:p>
                    </w:txbxContent>
                  </v:textbox>
                </v:shape>
                <v:shape id="Надпись 62" o:spid="_x0000_s1034" type="#_x0000_t202" style="position:absolute;left:42957;top:30765;width:2086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TscMA&#10;AADbAAAADwAAAGRycy9kb3ducmV2LnhtbESPT4vCMBDF78J+hzAL3jTVg0rXKOIiiB7Ef3semrEt&#10;NpNuktrut98IgsfHm/d78+bLzlTiQc6XlhWMhgkI4szqknMFl/NmMAPhA7LGyjIp+CMPy8VHb46p&#10;ti0f6XEKuYgQ9ikqKEKoUyl9VpBBP7Q1cfRu1hkMUbpcaodthJtKjpNkIg2WHBsKrGldUHY/NSa+&#10;gdPr9uxmcvR7sLvv2jc/+7ZRqv/Zrb5ABOrC+/iV3moFkzE8t0Q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TscMAAADbAAAADwAAAAAAAAAAAAAAAACYAgAAZHJzL2Rv&#10;d25yZXYueG1sUEsFBgAAAAAEAAQA9QAAAIgDAAAAAA==&#10;" fillcolor="#2e75b6" strokecolor="#2e75b6" strokeweight=".5pt">
                  <v:stroke joinstyle="round"/>
                  <v:textbox>
                    <w:txbxContent>
                      <w:p w14:paraId="1EC9FAFD" w14:textId="77777777" w:rsidR="0068193E" w:rsidRPr="00E02D44" w:rsidRDefault="0068193E" w:rsidP="00631204">
                        <w:pPr>
                          <w:pStyle w:val="11"/>
                          <w:jc w:val="center"/>
                          <w:rPr>
                            <w:rStyle w:val="msoins0"/>
                            <w:b/>
                            <w:color w:val="FFFFFF" w:themeColor="background1"/>
                            <w:sz w:val="28"/>
                            <w:szCs w:val="28"/>
                          </w:rPr>
                        </w:pPr>
                        <w:r>
                          <w:rPr>
                            <w:rStyle w:val="msoins0"/>
                            <w:b/>
                            <w:color w:val="FFFFFF" w:themeColor="background1"/>
                            <w:sz w:val="28"/>
                            <w:szCs w:val="28"/>
                          </w:rPr>
                          <w:t>АО «Мосэнергобиржа»</w:t>
                        </w:r>
                      </w:p>
                    </w:txbxContent>
                  </v:textbox>
                </v:shape>
                <v:rect id="Прямоугольник 63" o:spid="_x0000_s1035" style="position:absolute;left:42957;top:15811;width:20574;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gcIA&#10;AADbAAAADwAAAGRycy9kb3ducmV2LnhtbESPQYvCMBSE7wv7H8ITvG1TFaRUo4ggiODBrnh+NG/b&#10;us1LabJt/PdGEPY4zMw3zHobTCsG6l1jWcEsSUEQl1Y3XCm4fh++MhDOI2tsLZOCBznYbj4/1phr&#10;O/KFhsJXIkLY5aig9r7LpXRlTQZdYjvi6P3Y3qCPsq+k7nGMcNPKeZoupcGG40KNHe1rKn+LP6Pg&#10;fHB7W4T79T5ks3ObhfnjNN6Umk7CbgXCU/D/4Xf7qBUsF/D6En+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f+BwgAAANsAAAAPAAAAAAAAAAAAAAAAAJgCAABkcnMvZG93&#10;bnJldi54bWxQSwUGAAAAAAQABAD1AAAAhwMAAAAA&#10;" fillcolor="window" strokecolor="#5b9bd5" strokeweight="1.5pt">
                  <v:textbox>
                    <w:txbxContent>
                      <w:p w14:paraId="535533B5" w14:textId="77777777" w:rsidR="0068193E" w:rsidRPr="005D0B7D" w:rsidRDefault="0068193E" w:rsidP="00441380">
                        <w:pPr>
                          <w:pStyle w:val="11"/>
                          <w:numPr>
                            <w:ilvl w:val="0"/>
                            <w:numId w:val="19"/>
                          </w:numPr>
                          <w:ind w:left="284" w:hanging="284"/>
                          <w:jc w:val="both"/>
                          <w:rPr>
                            <w:rStyle w:val="msoins0"/>
                            <w:sz w:val="22"/>
                            <w:szCs w:val="22"/>
                          </w:rPr>
                        </w:pPr>
                        <w:r w:rsidRPr="005D0B7D">
                          <w:rPr>
                            <w:rStyle w:val="msoins0"/>
                            <w:sz w:val="22"/>
                            <w:szCs w:val="22"/>
                          </w:rPr>
                          <w:t>Клиринг по срочному рынку (секция электроэнергетики) с ЦК;</w:t>
                        </w:r>
                      </w:p>
                      <w:p w14:paraId="06AD99B3" w14:textId="77777777" w:rsidR="0068193E" w:rsidRPr="005D0B7D" w:rsidRDefault="0068193E" w:rsidP="00441380">
                        <w:pPr>
                          <w:pStyle w:val="11"/>
                          <w:numPr>
                            <w:ilvl w:val="0"/>
                            <w:numId w:val="19"/>
                          </w:numPr>
                          <w:ind w:left="284" w:hanging="284"/>
                          <w:jc w:val="both"/>
                          <w:rPr>
                            <w:rStyle w:val="msoins0"/>
                            <w:sz w:val="22"/>
                            <w:szCs w:val="22"/>
                          </w:rPr>
                        </w:pPr>
                        <w:r w:rsidRPr="005D0B7D">
                          <w:rPr>
                            <w:rStyle w:val="msoins0"/>
                            <w:sz w:val="22"/>
                            <w:szCs w:val="22"/>
                          </w:rPr>
                          <w:t>Клиринг по товарному рынку (секция нефтегазового комплекса) без ЦК</w:t>
                        </w:r>
                      </w:p>
                    </w:txbxContent>
                  </v:textbox>
                </v:rect>
                <w10:wrap anchorx="page"/>
              </v:group>
            </w:pict>
          </mc:Fallback>
        </mc:AlternateContent>
      </w:r>
    </w:p>
    <w:p w14:paraId="1CFC7A68"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CF0A227"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568978C0"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72EA3BA2"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EFEA68C"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2A480388"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27BC3480"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7A36DFE6"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26386CBF"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5DB0AE55"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5E1CCFA3"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2569B7A"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F974315"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08F5331B"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41B6484F"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0900CCB4"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7EB9CC3C"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38DD1880"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501C656"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002290EF"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491EE36F"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41080586"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6BC8B2A1"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0D79B93C"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11C3F842"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2617BE11"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77E34D97" w14:textId="77777777" w:rsidR="003A4FE5" w:rsidRDefault="003A4FE5" w:rsidP="00631204">
      <w:pPr>
        <w:spacing w:after="0" w:line="240" w:lineRule="auto"/>
        <w:ind w:firstLine="708"/>
        <w:jc w:val="both"/>
        <w:rPr>
          <w:rFonts w:ascii="Times New Roman" w:hAnsi="Times New Roman" w:cs="Times New Roman"/>
          <w:b/>
          <w:i/>
          <w:sz w:val="24"/>
          <w:szCs w:val="24"/>
          <w:u w:val="single"/>
        </w:rPr>
      </w:pPr>
    </w:p>
    <w:p w14:paraId="66249BA1" w14:textId="77777777" w:rsidR="00631204" w:rsidRPr="00631204" w:rsidRDefault="00631204" w:rsidP="00631204">
      <w:pPr>
        <w:spacing w:after="0" w:line="240" w:lineRule="auto"/>
        <w:ind w:firstLine="708"/>
        <w:jc w:val="both"/>
        <w:rPr>
          <w:rFonts w:ascii="Times New Roman" w:hAnsi="Times New Roman" w:cs="Times New Roman"/>
          <w:sz w:val="24"/>
          <w:szCs w:val="24"/>
        </w:rPr>
      </w:pPr>
      <w:r w:rsidRPr="00631204">
        <w:rPr>
          <w:rFonts w:ascii="Times New Roman" w:hAnsi="Times New Roman" w:cs="Times New Roman"/>
          <w:b/>
          <w:i/>
          <w:sz w:val="24"/>
          <w:szCs w:val="24"/>
          <w:u w:val="single"/>
        </w:rPr>
        <w:t>Среди наиболее знаковых результатов и событий прошедшего года необходимо отметить</w:t>
      </w:r>
      <w:r w:rsidRPr="00631204">
        <w:rPr>
          <w:rFonts w:ascii="Times New Roman" w:hAnsi="Times New Roman" w:cs="Times New Roman"/>
          <w:sz w:val="24"/>
          <w:szCs w:val="24"/>
        </w:rPr>
        <w:t>:</w:t>
      </w:r>
    </w:p>
    <w:p w14:paraId="25736068" w14:textId="77777777" w:rsidR="00631204" w:rsidRPr="00631204" w:rsidRDefault="00631204" w:rsidP="00631204">
      <w:pPr>
        <w:spacing w:after="0" w:line="240" w:lineRule="auto"/>
        <w:ind w:firstLine="708"/>
        <w:jc w:val="both"/>
        <w:rPr>
          <w:rFonts w:ascii="Times New Roman" w:hAnsi="Times New Roman" w:cs="Times New Roman"/>
          <w:sz w:val="24"/>
          <w:szCs w:val="24"/>
        </w:rPr>
      </w:pPr>
    </w:p>
    <w:p w14:paraId="5646455B" w14:textId="77777777" w:rsidR="00631204" w:rsidRPr="00631204" w:rsidRDefault="00631204" w:rsidP="00631204">
      <w:pPr>
        <w:spacing w:after="0" w:line="240" w:lineRule="auto"/>
        <w:ind w:firstLine="708"/>
        <w:jc w:val="both"/>
        <w:rPr>
          <w:rFonts w:ascii="Times New Roman" w:hAnsi="Times New Roman" w:cs="Times New Roman"/>
          <w:sz w:val="24"/>
          <w:szCs w:val="24"/>
        </w:rPr>
      </w:pPr>
    </w:p>
    <w:p w14:paraId="60DF8A26" w14:textId="77777777" w:rsidR="00631204" w:rsidRPr="003A4FE5" w:rsidRDefault="00631204" w:rsidP="00441380">
      <w:pPr>
        <w:numPr>
          <w:ilvl w:val="0"/>
          <w:numId w:val="24"/>
        </w:numPr>
        <w:spacing w:after="160" w:line="240" w:lineRule="auto"/>
        <w:ind w:left="502"/>
        <w:contextualSpacing/>
        <w:jc w:val="both"/>
        <w:rPr>
          <w:rFonts w:ascii="Times New Roman" w:eastAsia="Calibri" w:hAnsi="Times New Roman" w:cs="Times New Roman"/>
          <w:b/>
          <w:sz w:val="24"/>
          <w:szCs w:val="24"/>
        </w:rPr>
      </w:pPr>
      <w:r w:rsidRPr="00DD479B">
        <w:rPr>
          <w:rFonts w:ascii="Times New Roman" w:eastAsia="Calibri" w:hAnsi="Times New Roman" w:cs="Times New Roman"/>
          <w:b/>
          <w:sz w:val="24"/>
          <w:szCs w:val="24"/>
          <w:lang w:eastAsia="ru-RU"/>
        </w:rPr>
        <w:t>В рамках реализации стратегических проектов Группы «Московская Биржа» по развитию клиринговой деятельности:</w:t>
      </w:r>
    </w:p>
    <w:p w14:paraId="7AC3C8B1" w14:textId="77777777" w:rsidR="00631204" w:rsidRPr="003222A7" w:rsidRDefault="00631204" w:rsidP="00631204">
      <w:pPr>
        <w:spacing w:line="240" w:lineRule="auto"/>
        <w:ind w:left="502"/>
        <w:contextualSpacing/>
        <w:jc w:val="both"/>
        <w:rPr>
          <w:rFonts w:ascii="Times New Roman" w:eastAsia="Calibri" w:hAnsi="Times New Roman" w:cs="Times New Roman"/>
          <w:b/>
          <w:sz w:val="24"/>
          <w:szCs w:val="24"/>
        </w:rPr>
      </w:pPr>
    </w:p>
    <w:p w14:paraId="43F715ED" w14:textId="77777777" w:rsidR="00631204" w:rsidRPr="003222A7" w:rsidRDefault="00631204" w:rsidP="00441380">
      <w:pPr>
        <w:keepNext/>
        <w:numPr>
          <w:ilvl w:val="0"/>
          <w:numId w:val="20"/>
        </w:numPr>
        <w:tabs>
          <w:tab w:val="left" w:pos="851"/>
        </w:tabs>
        <w:spacing w:before="240" w:after="0" w:line="240" w:lineRule="auto"/>
        <w:jc w:val="both"/>
        <w:rPr>
          <w:rFonts w:ascii="Times New Roman" w:eastAsia="Times New Roman" w:hAnsi="Times New Roman" w:cs="Times New Roman"/>
          <w:b/>
          <w:sz w:val="24"/>
          <w:szCs w:val="24"/>
        </w:rPr>
      </w:pPr>
      <w:r w:rsidRPr="003222A7">
        <w:rPr>
          <w:rFonts w:ascii="Times New Roman" w:eastAsia="Times New Roman" w:hAnsi="Times New Roman" w:cs="Times New Roman"/>
          <w:b/>
          <w:sz w:val="24"/>
          <w:szCs w:val="24"/>
        </w:rPr>
        <w:t xml:space="preserve">Запущен проект «РЕПО с клиринговыми сертификатами участия» </w:t>
      </w:r>
    </w:p>
    <w:p w14:paraId="79110707"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1D4780E5" w14:textId="77777777" w:rsidR="00631204" w:rsidRPr="00EA2597" w:rsidRDefault="005B45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631204" w:rsidRPr="00EA2597">
        <w:rPr>
          <w:rFonts w:ascii="Times New Roman" w:hAnsi="Times New Roman" w:cs="Times New Roman"/>
          <w:bCs/>
          <w:sz w:val="24"/>
          <w:szCs w:val="24"/>
        </w:rPr>
        <w:t>Проект предусматривает создание и использование принципиально новых инструментов – клиринговых сертификатов участия (далее – КСУ). КСУ является неэмиссионной документарной ценной бумагой на предъявителя с обязательным централизованным хранением. Функции клиринговой организации и центрального контрагента по сделкам осуществляет Банк. Клиринговые сертификаты участия выдаются в обмен на активы, внесенные в пул участником имущественного пула. КСУ, полученные в обмен на эти активы, могут использоваться участниками пула, а также участниками клиринга для совершения сделок РЕПО с ЦК.</w:t>
      </w:r>
    </w:p>
    <w:p w14:paraId="5B2893A7"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noProof/>
          <w:sz w:val="24"/>
          <w:szCs w:val="24"/>
          <w:lang w:eastAsia="ru-RU"/>
        </w:rPr>
      </w:pPr>
    </w:p>
    <w:p w14:paraId="3EB54BEE" w14:textId="77777777" w:rsidR="00631204" w:rsidRDefault="00631204" w:rsidP="00631204">
      <w:pPr>
        <w:tabs>
          <w:tab w:val="right" w:pos="9356"/>
        </w:tabs>
        <w:autoSpaceDE w:val="0"/>
        <w:autoSpaceDN w:val="0"/>
        <w:spacing w:after="0" w:line="240" w:lineRule="auto"/>
        <w:ind w:firstLine="709"/>
        <w:jc w:val="both"/>
        <w:rPr>
          <w:rFonts w:ascii="Times New Roman" w:eastAsia="Calibri" w:hAnsi="Times New Roman"/>
          <w:b/>
          <w:i/>
          <w:noProof/>
          <w:sz w:val="24"/>
          <w:szCs w:val="24"/>
          <w:lang w:eastAsia="ru-RU"/>
        </w:rPr>
      </w:pPr>
      <w:r w:rsidRPr="00631204">
        <w:rPr>
          <w:rFonts w:ascii="Times New Roman" w:eastAsia="Calibri" w:hAnsi="Times New Roman"/>
          <w:b/>
          <w:i/>
          <w:noProof/>
          <w:sz w:val="24"/>
          <w:szCs w:val="24"/>
          <w:lang w:eastAsia="ru-RU"/>
        </w:rPr>
        <w:t>Преимущества заключения сделок РЕПО с КСУ:</w:t>
      </w:r>
    </w:p>
    <w:p w14:paraId="4C2EB045" w14:textId="77777777" w:rsid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прав собственности на активы, внесенные в пул: право на получение доходов и право голоса при заключении сделок РЕПО с КСУ;</w:t>
      </w:r>
    </w:p>
    <w:p w14:paraId="362D137F" w14:textId="77777777" w:rsidR="00B074B0" w:rsidRP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sidRPr="00B074B0">
        <w:rPr>
          <w:rFonts w:ascii="Times New Roman" w:eastAsia="Times New Roman" w:hAnsi="Times New Roman"/>
          <w:sz w:val="24"/>
          <w:szCs w:val="24"/>
          <w:lang w:eastAsia="ru-RU"/>
        </w:rPr>
        <w:t>эффективное управление активами в обеспечении за счет:</w:t>
      </w:r>
    </w:p>
    <w:p w14:paraId="7A51AD19" w14:textId="77777777" w:rsidR="00B074B0" w:rsidRPr="00B074B0" w:rsidRDefault="00B074B0" w:rsidP="00441380">
      <w:pPr>
        <w:numPr>
          <w:ilvl w:val="1"/>
          <w:numId w:val="67"/>
        </w:numPr>
        <w:spacing w:before="60" w:after="0" w:line="240" w:lineRule="auto"/>
        <w:contextualSpacing/>
        <w:jc w:val="both"/>
        <w:rPr>
          <w:rFonts w:ascii="Times New Roman" w:eastAsia="Times New Roman" w:hAnsi="Times New Roman"/>
          <w:sz w:val="24"/>
          <w:szCs w:val="24"/>
          <w:lang w:eastAsia="ru-RU"/>
        </w:rPr>
      </w:pPr>
      <w:r w:rsidRPr="00B074B0">
        <w:rPr>
          <w:rFonts w:ascii="Times New Roman" w:eastAsia="Times New Roman" w:hAnsi="Times New Roman"/>
          <w:sz w:val="24"/>
          <w:szCs w:val="24"/>
          <w:lang w:eastAsia="ru-RU"/>
        </w:rPr>
        <w:lastRenderedPageBreak/>
        <w:t>использования ценных бумаг, внесенных в пул, для исполнения обязательств по сделкам РЕПО с ЦК и Т+;</w:t>
      </w:r>
    </w:p>
    <w:p w14:paraId="2A6AA09A" w14:textId="77777777" w:rsidR="00B074B0" w:rsidRPr="00B074B0" w:rsidRDefault="00B074B0" w:rsidP="00441380">
      <w:pPr>
        <w:numPr>
          <w:ilvl w:val="1"/>
          <w:numId w:val="67"/>
        </w:numPr>
        <w:spacing w:before="60" w:after="0" w:line="240" w:lineRule="auto"/>
        <w:contextualSpacing/>
        <w:jc w:val="both"/>
        <w:rPr>
          <w:rFonts w:ascii="Times New Roman" w:eastAsia="Times New Roman" w:hAnsi="Times New Roman"/>
          <w:sz w:val="24"/>
          <w:szCs w:val="24"/>
          <w:lang w:eastAsia="ru-RU"/>
        </w:rPr>
      </w:pPr>
      <w:r w:rsidRPr="00B074B0">
        <w:rPr>
          <w:rFonts w:ascii="Times New Roman" w:eastAsia="Times New Roman" w:hAnsi="Times New Roman"/>
          <w:sz w:val="24"/>
          <w:szCs w:val="24"/>
          <w:lang w:eastAsia="ru-RU"/>
        </w:rPr>
        <w:t>подбора активов в пул;</w:t>
      </w:r>
    </w:p>
    <w:p w14:paraId="57A00BFC" w14:textId="77777777" w:rsidR="00B074B0" w:rsidRPr="00B074B0" w:rsidRDefault="00B074B0" w:rsidP="00441380">
      <w:pPr>
        <w:numPr>
          <w:ilvl w:val="1"/>
          <w:numId w:val="67"/>
        </w:numPr>
        <w:spacing w:before="60" w:after="0" w:line="240" w:lineRule="auto"/>
        <w:contextualSpacing/>
        <w:jc w:val="both"/>
        <w:rPr>
          <w:rFonts w:ascii="Times New Roman" w:eastAsia="Times New Roman" w:hAnsi="Times New Roman"/>
          <w:sz w:val="24"/>
          <w:szCs w:val="24"/>
          <w:lang w:eastAsia="ru-RU"/>
        </w:rPr>
      </w:pPr>
      <w:r w:rsidRPr="00B074B0">
        <w:rPr>
          <w:rFonts w:ascii="Times New Roman" w:eastAsia="Times New Roman" w:hAnsi="Times New Roman"/>
          <w:sz w:val="24"/>
          <w:szCs w:val="24"/>
          <w:lang w:eastAsia="ru-RU"/>
        </w:rPr>
        <w:t>замены активов в пуле;</w:t>
      </w:r>
    </w:p>
    <w:p w14:paraId="31F8ACCC" w14:textId="77777777" w:rsid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ликвидность денежного рынка сконцентрирована в одном «стакане»;</w:t>
      </w:r>
    </w:p>
    <w:p w14:paraId="2C09D751" w14:textId="77777777" w:rsid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w:t>
      </w:r>
      <w:r w:rsidR="000D533C">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сделок на длинные сроки;</w:t>
      </w:r>
    </w:p>
    <w:p w14:paraId="109603AA" w14:textId="77777777" w:rsid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портфельное маржирование активов, переданных в пул с использованием системы риск-менеджмента НКЦ;</w:t>
      </w:r>
    </w:p>
    <w:p w14:paraId="66173DF0" w14:textId="77777777" w:rsidR="00B074B0" w:rsidRDefault="00B074B0" w:rsidP="00441380">
      <w:pPr>
        <w:numPr>
          <w:ilvl w:val="0"/>
          <w:numId w:val="67"/>
        </w:numPr>
        <w:spacing w:before="6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неттирование разнонаправленных позиций.</w:t>
      </w:r>
    </w:p>
    <w:p w14:paraId="24B00E56"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1122AD2C"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Перечень имущества, принимаемого в имущественный пул, определяется решением Банка. Выпущенные Банком клиринговые сертификаты относятся к определенному имущественному пулу. </w:t>
      </w:r>
    </w:p>
    <w:p w14:paraId="7A5A1FBD"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настоящее время в НКЦ существуют следующие имущественные пулы:</w:t>
      </w:r>
    </w:p>
    <w:p w14:paraId="6E807CAF"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tbl>
      <w:tblPr>
        <w:tblStyle w:val="af"/>
        <w:tblW w:w="0" w:type="auto"/>
        <w:tblInd w:w="108" w:type="dxa"/>
        <w:tblLook w:val="04A0" w:firstRow="1" w:lastRow="0" w:firstColumn="1" w:lastColumn="0" w:noHBand="0" w:noVBand="1"/>
      </w:tblPr>
      <w:tblGrid>
        <w:gridCol w:w="2999"/>
        <w:gridCol w:w="6238"/>
      </w:tblGrid>
      <w:tr w:rsidR="00631204" w:rsidRPr="00631204" w14:paraId="6F0BD68C" w14:textId="77777777" w:rsidTr="00631204">
        <w:tc>
          <w:tcPr>
            <w:tcW w:w="3119" w:type="dxa"/>
          </w:tcPr>
          <w:p w14:paraId="523C3C7C" w14:textId="77777777" w:rsidR="00631204" w:rsidRPr="003222A7" w:rsidRDefault="00631204" w:rsidP="00631204">
            <w:pPr>
              <w:spacing w:line="240" w:lineRule="auto"/>
              <w:jc w:val="center"/>
              <w:rPr>
                <w:rFonts w:ascii="Times New Roman" w:hAnsi="Times New Roman"/>
                <w:b/>
              </w:rPr>
            </w:pPr>
            <w:r w:rsidRPr="003222A7">
              <w:rPr>
                <w:rFonts w:ascii="Times New Roman" w:hAnsi="Times New Roman"/>
                <w:b/>
              </w:rPr>
              <w:t>Наименование пула</w:t>
            </w:r>
          </w:p>
        </w:tc>
        <w:tc>
          <w:tcPr>
            <w:tcW w:w="6628" w:type="dxa"/>
          </w:tcPr>
          <w:p w14:paraId="6BE94513" w14:textId="77777777" w:rsidR="00631204" w:rsidRPr="003222A7" w:rsidRDefault="00631204" w:rsidP="00631204">
            <w:pPr>
              <w:spacing w:line="240" w:lineRule="auto"/>
              <w:jc w:val="center"/>
              <w:rPr>
                <w:rFonts w:ascii="Times New Roman" w:hAnsi="Times New Roman"/>
                <w:b/>
              </w:rPr>
            </w:pPr>
            <w:r w:rsidRPr="003222A7">
              <w:rPr>
                <w:rFonts w:ascii="Times New Roman" w:hAnsi="Times New Roman"/>
                <w:b/>
              </w:rPr>
              <w:t>Принимаемые в пул активы</w:t>
            </w:r>
          </w:p>
        </w:tc>
      </w:tr>
      <w:tr w:rsidR="00631204" w:rsidRPr="00631204" w14:paraId="0850D4DC" w14:textId="77777777" w:rsidTr="00631204">
        <w:tc>
          <w:tcPr>
            <w:tcW w:w="3119" w:type="dxa"/>
          </w:tcPr>
          <w:p w14:paraId="3432A163" w14:textId="77777777" w:rsidR="00631204" w:rsidRPr="00BF7AB5" w:rsidRDefault="00631204" w:rsidP="00631204">
            <w:pPr>
              <w:spacing w:line="240" w:lineRule="auto"/>
              <w:rPr>
                <w:rFonts w:ascii="Times New Roman" w:hAnsi="Times New Roman"/>
                <w:b/>
              </w:rPr>
            </w:pPr>
            <w:r w:rsidRPr="00BF7AB5">
              <w:rPr>
                <w:rFonts w:ascii="Times New Roman" w:hAnsi="Times New Roman"/>
                <w:color w:val="000000"/>
              </w:rPr>
              <w:t>Sovereign</w:t>
            </w:r>
          </w:p>
        </w:tc>
        <w:tc>
          <w:tcPr>
            <w:tcW w:w="6628" w:type="dxa"/>
          </w:tcPr>
          <w:p w14:paraId="1566156E" w14:textId="77777777" w:rsidR="00631204" w:rsidRPr="003222A7" w:rsidRDefault="00631204" w:rsidP="00631204">
            <w:pPr>
              <w:spacing w:line="240" w:lineRule="auto"/>
              <w:jc w:val="both"/>
              <w:rPr>
                <w:rFonts w:ascii="Times New Roman" w:hAnsi="Times New Roman"/>
                <w:b/>
              </w:rPr>
            </w:pPr>
            <w:r w:rsidRPr="003222A7">
              <w:rPr>
                <w:rFonts w:ascii="Times New Roman" w:hAnsi="Times New Roman"/>
                <w:color w:val="000000"/>
              </w:rPr>
              <w:t>ценные бумаги, одновременно включенные в Ломбардный список Банка России и принимаемые НКЦ в обеспечение</w:t>
            </w:r>
          </w:p>
        </w:tc>
      </w:tr>
      <w:tr w:rsidR="00631204" w:rsidRPr="00631204" w14:paraId="717F49C0" w14:textId="77777777" w:rsidTr="00631204">
        <w:tc>
          <w:tcPr>
            <w:tcW w:w="3119" w:type="dxa"/>
          </w:tcPr>
          <w:p w14:paraId="2002C2BB" w14:textId="77777777" w:rsidR="00631204" w:rsidRPr="00BF7AB5" w:rsidRDefault="00631204" w:rsidP="00631204">
            <w:pPr>
              <w:spacing w:line="240" w:lineRule="auto"/>
              <w:rPr>
                <w:rFonts w:ascii="Times New Roman" w:hAnsi="Times New Roman"/>
                <w:color w:val="000000"/>
              </w:rPr>
            </w:pPr>
            <w:r w:rsidRPr="00BF7AB5">
              <w:rPr>
                <w:rFonts w:ascii="Times New Roman" w:hAnsi="Times New Roman"/>
                <w:color w:val="000000"/>
              </w:rPr>
              <w:t>GC Bonds</w:t>
            </w:r>
          </w:p>
        </w:tc>
        <w:tc>
          <w:tcPr>
            <w:tcW w:w="6628" w:type="dxa"/>
          </w:tcPr>
          <w:p w14:paraId="24F54C5D" w14:textId="77777777" w:rsidR="00631204" w:rsidRPr="003222A7" w:rsidRDefault="00631204" w:rsidP="00631204">
            <w:pPr>
              <w:spacing w:line="240" w:lineRule="auto"/>
              <w:rPr>
                <w:rFonts w:ascii="Times New Roman" w:hAnsi="Times New Roman"/>
                <w:color w:val="000000"/>
              </w:rPr>
            </w:pPr>
            <w:r w:rsidRPr="003222A7">
              <w:rPr>
                <w:rFonts w:ascii="Times New Roman" w:hAnsi="Times New Roman"/>
                <w:color w:val="000000"/>
              </w:rPr>
              <w:t>облигации, принимаемые НКЦ в обеспечение по сделкам Т+</w:t>
            </w:r>
          </w:p>
        </w:tc>
      </w:tr>
      <w:tr w:rsidR="00631204" w:rsidRPr="00631204" w14:paraId="0D106C0A" w14:textId="77777777" w:rsidTr="00631204">
        <w:tc>
          <w:tcPr>
            <w:tcW w:w="3119" w:type="dxa"/>
          </w:tcPr>
          <w:p w14:paraId="3B3D2CE8" w14:textId="77777777" w:rsidR="00631204" w:rsidRPr="00BF7AB5" w:rsidRDefault="00631204" w:rsidP="00631204">
            <w:pPr>
              <w:spacing w:line="240" w:lineRule="auto"/>
              <w:rPr>
                <w:rFonts w:ascii="Times New Roman" w:hAnsi="Times New Roman"/>
                <w:color w:val="000000"/>
              </w:rPr>
            </w:pPr>
            <w:r w:rsidRPr="00BF7AB5">
              <w:rPr>
                <w:rFonts w:ascii="Times New Roman" w:hAnsi="Times New Roman"/>
                <w:color w:val="000000"/>
              </w:rPr>
              <w:t>GC Shares</w:t>
            </w:r>
          </w:p>
        </w:tc>
        <w:tc>
          <w:tcPr>
            <w:tcW w:w="6628" w:type="dxa"/>
          </w:tcPr>
          <w:p w14:paraId="34F09853" w14:textId="77777777" w:rsidR="00631204" w:rsidRPr="003222A7" w:rsidRDefault="00631204" w:rsidP="00631204">
            <w:pPr>
              <w:spacing w:line="240" w:lineRule="auto"/>
              <w:rPr>
                <w:rFonts w:ascii="Times New Roman" w:hAnsi="Times New Roman"/>
                <w:color w:val="000000"/>
              </w:rPr>
            </w:pPr>
            <w:r w:rsidRPr="003222A7">
              <w:rPr>
                <w:rFonts w:ascii="Times New Roman" w:hAnsi="Times New Roman"/>
                <w:color w:val="000000"/>
              </w:rPr>
              <w:t>акции, принимаемые НКЦ в обеспечение по сделкам Т+</w:t>
            </w:r>
          </w:p>
        </w:tc>
      </w:tr>
    </w:tbl>
    <w:p w14:paraId="4A0D84D6"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3ADF158"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Помимо ценных бумаг</w:t>
      </w:r>
      <w:r w:rsidR="003222A7" w:rsidRPr="00EA2597">
        <w:rPr>
          <w:rFonts w:ascii="Times New Roman" w:hAnsi="Times New Roman" w:cs="Times New Roman"/>
          <w:bCs/>
          <w:sz w:val="24"/>
          <w:szCs w:val="24"/>
        </w:rPr>
        <w:t>,</w:t>
      </w:r>
      <w:r w:rsidRPr="00EA2597">
        <w:rPr>
          <w:rFonts w:ascii="Times New Roman" w:hAnsi="Times New Roman" w:cs="Times New Roman"/>
          <w:bCs/>
          <w:sz w:val="24"/>
          <w:szCs w:val="24"/>
        </w:rPr>
        <w:t xml:space="preserve"> в каждый из имущественных пулов можно вносить иностранную валюту (доллары США, евро) и российские рубли. Всем КСУ, выданным в рамках одного имущественного пула, НРД присваивает один ISIN. Номинальная стоимость одного КСУ составляет 1 (один) российский рубль. Ценные бумаги, эмитентом которых является участник пула или связанное с ним лицо, не учитываются в качестве имущества, внесенного в соответствующий имущественный пул таким участником пула.</w:t>
      </w:r>
    </w:p>
    <w:p w14:paraId="43106A27" w14:textId="77777777" w:rsidR="00631204" w:rsidRPr="00631204" w:rsidRDefault="00631204" w:rsidP="00631204">
      <w:pPr>
        <w:spacing w:after="0" w:line="240" w:lineRule="auto"/>
        <w:ind w:left="4472" w:hanging="360"/>
        <w:jc w:val="both"/>
        <w:rPr>
          <w:rFonts w:ascii="Times New Roman" w:eastAsia="Times New Roman" w:hAnsi="Times New Roman" w:cs="Arial"/>
          <w:sz w:val="24"/>
          <w:szCs w:val="20"/>
        </w:rPr>
      </w:pPr>
    </w:p>
    <w:p w14:paraId="67C521F2" w14:textId="77777777" w:rsidR="00631204" w:rsidRPr="00631204"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631204">
        <w:rPr>
          <w:rFonts w:ascii="Times New Roman" w:eastAsia="Calibri" w:hAnsi="Times New Roman" w:cs="Times New Roman"/>
          <w:b/>
          <w:sz w:val="24"/>
          <w:szCs w:val="24"/>
        </w:rPr>
        <w:t>Проведен комплекс подготовительных мероприятий для запуска в 2017 году проекта</w:t>
      </w:r>
      <w:r w:rsidRPr="00631204">
        <w:rPr>
          <w:rFonts w:ascii="Times New Roman" w:eastAsia="Calibri" w:hAnsi="Times New Roman" w:cs="Times New Roman"/>
          <w:sz w:val="24"/>
          <w:szCs w:val="24"/>
        </w:rPr>
        <w:t xml:space="preserve"> </w:t>
      </w:r>
      <w:r w:rsidRPr="00631204">
        <w:rPr>
          <w:rFonts w:ascii="Times New Roman" w:eastAsia="Calibri" w:hAnsi="Times New Roman" w:cs="Times New Roman"/>
          <w:b/>
          <w:sz w:val="24"/>
          <w:szCs w:val="24"/>
        </w:rPr>
        <w:t>«Размещение депозитов с центральным контрагентом».</w:t>
      </w:r>
    </w:p>
    <w:p w14:paraId="10B44192" w14:textId="77777777" w:rsidR="00631204" w:rsidRPr="00631204" w:rsidRDefault="00631204" w:rsidP="00631204">
      <w:pPr>
        <w:spacing w:after="240" w:line="240" w:lineRule="auto"/>
        <w:ind w:firstLine="567"/>
        <w:jc w:val="both"/>
        <w:rPr>
          <w:rFonts w:ascii="Times New Roman" w:hAnsi="Times New Roman" w:cs="Times New Roman"/>
          <w:sz w:val="24"/>
          <w:szCs w:val="24"/>
        </w:rPr>
      </w:pPr>
    </w:p>
    <w:p w14:paraId="6E442CCB"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 xml:space="preserve">Проект реализуется для расширения инструментария денежного рынка и в целях предоставления прямого доступа корпоратов (юридические лица без лицензии профессионального участника рынка ценных бумаг) к заключению депозитных договоров с центральным контрагентом. За отчетный период: </w:t>
      </w:r>
    </w:p>
    <w:p w14:paraId="48774EC6" w14:textId="77777777" w:rsidR="00631204" w:rsidRPr="00631204" w:rsidRDefault="00631204" w:rsidP="00441380">
      <w:pPr>
        <w:numPr>
          <w:ilvl w:val="0"/>
          <w:numId w:val="21"/>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разработан проект поправок в Федеральный закон №325-ФЗ от 21.11.2011 «Об организованных торгах», Федеральный закон №</w:t>
      </w:r>
      <w:r w:rsidRPr="00631204">
        <w:rPr>
          <w:rFonts w:ascii="Times New Roman" w:hAnsi="Times New Roman" w:cs="Times New Roman"/>
          <w:bCs/>
          <w:sz w:val="24"/>
          <w:szCs w:val="24"/>
        </w:rPr>
        <w:t>7-ФЗ</w:t>
      </w:r>
      <w:r w:rsidRPr="00631204">
        <w:rPr>
          <w:rFonts w:ascii="Times New Roman" w:eastAsia="Calibri" w:hAnsi="Times New Roman" w:cs="Times New Roman"/>
          <w:bCs/>
          <w:sz w:val="24"/>
          <w:szCs w:val="24"/>
        </w:rPr>
        <w:t xml:space="preserve"> </w:t>
      </w:r>
      <w:r w:rsidRPr="00631204">
        <w:rPr>
          <w:rFonts w:ascii="Times New Roman" w:hAnsi="Times New Roman" w:cs="Times New Roman"/>
          <w:bCs/>
          <w:sz w:val="24"/>
          <w:szCs w:val="24"/>
        </w:rPr>
        <w:t>от 07.02.2011</w:t>
      </w:r>
      <w:r w:rsidRPr="00631204">
        <w:rPr>
          <w:rFonts w:ascii="Times New Roman" w:hAnsi="Times New Roman" w:cs="Times New Roman"/>
          <w:b/>
          <w:bCs/>
          <w:sz w:val="24"/>
          <w:szCs w:val="24"/>
        </w:rPr>
        <w:t xml:space="preserve"> </w:t>
      </w:r>
      <w:r w:rsidRPr="00631204">
        <w:rPr>
          <w:rFonts w:ascii="Times New Roman" w:eastAsia="Calibri" w:hAnsi="Times New Roman" w:cs="Times New Roman"/>
          <w:sz w:val="24"/>
          <w:szCs w:val="24"/>
        </w:rPr>
        <w:t>«О клиринге, клиринговой деятельности и центральном контрагенте» и ряд других нормативных актов, касающихся совершенствования механизма заключения на организованных торгах сделок по размещению денежных средств (депозитных договоров) и минимизации рисков, связанных с отсутствием специального регулирования;</w:t>
      </w:r>
    </w:p>
    <w:p w14:paraId="2415D27B" w14:textId="77777777" w:rsidR="00631204" w:rsidRPr="00631204" w:rsidRDefault="00631204" w:rsidP="00441380">
      <w:pPr>
        <w:numPr>
          <w:ilvl w:val="0"/>
          <w:numId w:val="21"/>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 xml:space="preserve">разработана, утверждена и представлена на регистрацию в Банк России редакция Правил клиринга Банка «Национальный Клиринговый Центр» (Акционерное общество), содержащая порядок заключения и исполнения </w:t>
      </w:r>
      <w:r w:rsidRPr="00631204">
        <w:rPr>
          <w:rFonts w:ascii="Times New Roman" w:eastAsia="Calibri" w:hAnsi="Times New Roman" w:cs="Times New Roman"/>
          <w:sz w:val="24"/>
          <w:szCs w:val="24"/>
        </w:rPr>
        <w:lastRenderedPageBreak/>
        <w:t>депозитных договоров как на условиях полного обеспечения, так и на условиях частичного обеспечения;</w:t>
      </w:r>
    </w:p>
    <w:p w14:paraId="74387646" w14:textId="77777777" w:rsidR="00631204" w:rsidRPr="00631204" w:rsidRDefault="00631204" w:rsidP="00441380">
      <w:pPr>
        <w:numPr>
          <w:ilvl w:val="0"/>
          <w:numId w:val="21"/>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произведены доработки программного обеспечения, необходимые для реализации проекта.</w:t>
      </w:r>
    </w:p>
    <w:p w14:paraId="351E411C" w14:textId="77777777" w:rsidR="00631204" w:rsidRPr="00631204" w:rsidRDefault="00631204" w:rsidP="00631204">
      <w:pPr>
        <w:spacing w:after="0" w:line="240" w:lineRule="auto"/>
        <w:ind w:left="4472" w:hanging="360"/>
        <w:jc w:val="both"/>
        <w:rPr>
          <w:rFonts w:ascii="Times New Roman" w:eastAsia="Times New Roman" w:hAnsi="Times New Roman" w:cs="Arial"/>
          <w:sz w:val="24"/>
          <w:szCs w:val="20"/>
        </w:rPr>
      </w:pPr>
    </w:p>
    <w:p w14:paraId="64B49561" w14:textId="77777777" w:rsidR="00631204" w:rsidRPr="00457C0B"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457C0B">
        <w:rPr>
          <w:rFonts w:ascii="Times New Roman" w:eastAsia="Calibri" w:hAnsi="Times New Roman" w:cs="Times New Roman"/>
          <w:b/>
          <w:sz w:val="24"/>
          <w:szCs w:val="24"/>
        </w:rPr>
        <w:t>Осуществлена стандартизация внутренней нормативной базы, позволяющая осуществлять клиринговое обслуживание на рынке стандартизированных ПФИ на основании Общих правил клиринга Банка НКЦ (АО)</w:t>
      </w:r>
    </w:p>
    <w:p w14:paraId="7ED38BA4" w14:textId="77777777" w:rsidR="00BF7AB5" w:rsidRDefault="00BF7AB5" w:rsidP="00BF7AB5">
      <w:pPr>
        <w:spacing w:before="120" w:after="0" w:line="240" w:lineRule="auto"/>
        <w:ind w:left="1069"/>
        <w:jc w:val="both"/>
        <w:rPr>
          <w:rFonts w:ascii="Times New Roman" w:eastAsia="Times New Roman" w:hAnsi="Times New Roman" w:cs="Times New Roman"/>
          <w:bCs/>
          <w:sz w:val="24"/>
          <w:szCs w:val="24"/>
        </w:rPr>
      </w:pPr>
    </w:p>
    <w:p w14:paraId="14A117E1" w14:textId="77777777" w:rsidR="00631204" w:rsidRPr="00EA2597" w:rsidRDefault="00BF7AB5"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00631204" w:rsidRPr="00EA2597">
        <w:rPr>
          <w:rFonts w:ascii="Times New Roman" w:hAnsi="Times New Roman" w:cs="Times New Roman"/>
          <w:bCs/>
          <w:sz w:val="24"/>
          <w:szCs w:val="24"/>
        </w:rPr>
        <w:t>В отчетный период разработаны, согласованы, утверждены, зарегистрированы Банком России и размещены на сайте НКЦ правила клиринга на рынке СПФИ, а также документы, описывающие изменения в программном обеспечении, необходимые для реализации проекта.</w:t>
      </w:r>
    </w:p>
    <w:p w14:paraId="031DCB9D"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Times New Roman" w:hAnsi="Times New Roman" w:cs="Times New Roman"/>
          <w:bCs/>
          <w:sz w:val="24"/>
          <w:szCs w:val="24"/>
        </w:rPr>
        <w:t xml:space="preserve">     </w:t>
      </w:r>
      <w:r w:rsidRPr="00EA2597">
        <w:rPr>
          <w:rFonts w:ascii="Times New Roman" w:hAnsi="Times New Roman" w:cs="Times New Roman"/>
          <w:bCs/>
          <w:sz w:val="24"/>
          <w:szCs w:val="24"/>
        </w:rPr>
        <w:t>Правила клиринга на рынке СПФИ включены в состав единых Правил клиринга, что позволяет распространить положения Общей части Правил клиринга на рынок СПФИ, включая положения о:</w:t>
      </w:r>
    </w:p>
    <w:p w14:paraId="2918F458" w14:textId="77777777" w:rsidR="00631204" w:rsidRP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едином ликвидационном неттинге;</w:t>
      </w:r>
    </w:p>
    <w:p w14:paraId="3D629130" w14:textId="77777777" w:rsidR="00631204" w:rsidRP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раздельном учете собственных средств участников клиринга и их клиентов (сегрегации);</w:t>
      </w:r>
    </w:p>
    <w:p w14:paraId="0968B848" w14:textId="77777777" w:rsidR="00631204" w:rsidRP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переводе обеспечения и обязательств от одного участника клиринга другому участнику клиринга (портабилити);</w:t>
      </w:r>
    </w:p>
    <w:p w14:paraId="11724D78" w14:textId="77777777" w:rsidR="00631204" w:rsidRP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theme="minorHAnsi"/>
          <w:bCs/>
          <w:sz w:val="24"/>
          <w:szCs w:val="24"/>
        </w:rPr>
        <w:t xml:space="preserve">процедурах, дающих в случае дефолта участника клиринга на одном из рынков возможность первоочередного использования для погашения задолженности участника клиринга перед НКЦ от </w:t>
      </w:r>
      <w:r w:rsidRPr="00631204">
        <w:rPr>
          <w:rFonts w:ascii="Times New Roman" w:eastAsia="Times New Roman" w:hAnsi="Times New Roman" w:cs="Arial"/>
          <w:sz w:val="24"/>
          <w:szCs w:val="24"/>
        </w:rPr>
        <w:t>индивидуального и коллективного клирингового обеспечения, а также иного обеспечения недобросовестного участника клиринга, учитываемого на других рынках, до использования средств НКЦ и коллективного клирингового обеспечения добросовестных участников клиринга. При этом коллективное клиринговое обеспечение должно использоваться после применения к участнику клиринга – дефолтеру процедуры принудительного закрытия позиций (</w:t>
      </w:r>
      <w:r w:rsidRPr="00631204">
        <w:rPr>
          <w:rFonts w:ascii="Times New Roman" w:eastAsia="Times New Roman" w:hAnsi="Times New Roman" w:cs="Arial"/>
          <w:sz w:val="24"/>
          <w:szCs w:val="20"/>
        </w:rPr>
        <w:t>процедура кросс-дефолта);</w:t>
      </w:r>
    </w:p>
    <w:p w14:paraId="6912A79E" w14:textId="77777777" w:rsidR="00631204" w:rsidRP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использовании и учете средств Гарантийного фонда;</w:t>
      </w:r>
    </w:p>
    <w:p w14:paraId="0BB54CFE" w14:textId="77777777" w:rsidR="00631204" w:rsidRDefault="00631204" w:rsidP="00441380">
      <w:pPr>
        <w:numPr>
          <w:ilvl w:val="0"/>
          <w:numId w:val="44"/>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структуре уровней защиты в случае дефолтов участников клиринга (</w:t>
      </w:r>
      <w:r w:rsidRPr="00631204">
        <w:rPr>
          <w:rFonts w:ascii="Times New Roman" w:eastAsia="Times New Roman" w:hAnsi="Times New Roman" w:cs="Arial"/>
          <w:sz w:val="24"/>
          <w:szCs w:val="20"/>
          <w:lang w:val="en-US"/>
        </w:rPr>
        <w:t>default</w:t>
      </w:r>
      <w:r w:rsidRPr="00631204">
        <w:rPr>
          <w:rFonts w:ascii="Times New Roman" w:eastAsia="Times New Roman" w:hAnsi="Times New Roman" w:cs="Arial"/>
          <w:sz w:val="24"/>
          <w:szCs w:val="20"/>
        </w:rPr>
        <w:t xml:space="preserve"> </w:t>
      </w:r>
      <w:r w:rsidRPr="00631204">
        <w:rPr>
          <w:rFonts w:ascii="Times New Roman" w:eastAsia="Times New Roman" w:hAnsi="Times New Roman" w:cs="Arial"/>
          <w:sz w:val="24"/>
          <w:szCs w:val="20"/>
          <w:lang w:val="en-US"/>
        </w:rPr>
        <w:t>waterfall</w:t>
      </w:r>
      <w:r w:rsidRPr="00631204">
        <w:rPr>
          <w:rFonts w:ascii="Times New Roman" w:eastAsia="Times New Roman" w:hAnsi="Times New Roman" w:cs="Arial"/>
          <w:sz w:val="24"/>
          <w:szCs w:val="20"/>
        </w:rPr>
        <w:t>), сочетающей все основные методы защиты.</w:t>
      </w:r>
    </w:p>
    <w:p w14:paraId="455751AA" w14:textId="77777777" w:rsidR="00457C0B" w:rsidRPr="00631204" w:rsidRDefault="00457C0B" w:rsidP="00457C0B">
      <w:pPr>
        <w:spacing w:after="0" w:line="240" w:lineRule="auto"/>
        <w:ind w:left="1571"/>
        <w:contextualSpacing/>
        <w:jc w:val="both"/>
        <w:rPr>
          <w:rFonts w:ascii="Times New Roman" w:eastAsia="Times New Roman" w:hAnsi="Times New Roman" w:cs="Arial"/>
          <w:sz w:val="24"/>
          <w:szCs w:val="20"/>
        </w:rPr>
      </w:pPr>
    </w:p>
    <w:p w14:paraId="41E4B2BC" w14:textId="77777777" w:rsidR="00631204" w:rsidRPr="00457C0B" w:rsidRDefault="00631204" w:rsidP="00441380">
      <w:pPr>
        <w:numPr>
          <w:ilvl w:val="0"/>
          <w:numId w:val="20"/>
        </w:numPr>
        <w:spacing w:after="160" w:line="259" w:lineRule="auto"/>
        <w:contextualSpacing/>
        <w:jc w:val="center"/>
        <w:rPr>
          <w:rFonts w:ascii="Times New Roman" w:eastAsia="Calibri" w:hAnsi="Times New Roman" w:cs="Times New Roman"/>
          <w:b/>
          <w:sz w:val="24"/>
          <w:szCs w:val="24"/>
        </w:rPr>
      </w:pPr>
      <w:r w:rsidRPr="00457C0B">
        <w:rPr>
          <w:rFonts w:ascii="Times New Roman" w:eastAsia="Calibri" w:hAnsi="Times New Roman" w:cs="Times New Roman"/>
          <w:b/>
          <w:sz w:val="24"/>
          <w:szCs w:val="24"/>
        </w:rPr>
        <w:t>Завершен проект по созданию возможности проведения процедур кросс-дефолта между всеми рынками</w:t>
      </w:r>
    </w:p>
    <w:p w14:paraId="7DA9B72D" w14:textId="77777777" w:rsidR="00BF7AB5" w:rsidRDefault="00BF7AB5" w:rsidP="00BF7AB5">
      <w:pPr>
        <w:spacing w:before="120" w:after="0" w:line="240" w:lineRule="auto"/>
        <w:ind w:left="1069"/>
        <w:jc w:val="both"/>
        <w:rPr>
          <w:rFonts w:ascii="Times New Roman" w:eastAsia="Times New Roman" w:hAnsi="Times New Roman" w:cs="Times New Roman"/>
          <w:bCs/>
          <w:sz w:val="24"/>
          <w:szCs w:val="24"/>
        </w:rPr>
      </w:pPr>
    </w:p>
    <w:p w14:paraId="72E5343A" w14:textId="77777777" w:rsidR="00631204" w:rsidRPr="00EA2597" w:rsidRDefault="008A6421"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00631204" w:rsidRPr="00EA2597">
        <w:rPr>
          <w:rFonts w:ascii="Times New Roman" w:hAnsi="Times New Roman" w:cs="Times New Roman"/>
          <w:bCs/>
          <w:sz w:val="24"/>
          <w:szCs w:val="24"/>
        </w:rPr>
        <w:t>В декабре 2016 года завершен проект по созданию возможности проведения процедур кросс-дефолта между рынками – реализована задача по доработке программного обеспечения на срочном рынке. В результате участникам клиринга предоставлена возможность прямого перевода денежных средств, внесенных ими в качестве индивидуального клирингового обеспечения, между срочным и другими рынками.</w:t>
      </w:r>
    </w:p>
    <w:p w14:paraId="5E119113"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Times New Roman" w:hAnsi="Times New Roman" w:cs="Times New Roman"/>
          <w:bCs/>
          <w:sz w:val="24"/>
          <w:szCs w:val="24"/>
        </w:rPr>
        <w:t xml:space="preserve">     </w:t>
      </w:r>
      <w:r w:rsidRPr="00EA2597">
        <w:rPr>
          <w:rFonts w:ascii="Times New Roman" w:hAnsi="Times New Roman" w:cs="Times New Roman"/>
          <w:bCs/>
          <w:sz w:val="24"/>
          <w:szCs w:val="24"/>
        </w:rPr>
        <w:t>Таким образом, на всех сегментах биржевого рынка (за исключением рынка стандартизированных ПФИ) упрощен процесс перевода денежных средств участников клиринга между этими рынками, что повышает эффективность их использования.</w:t>
      </w:r>
    </w:p>
    <w:p w14:paraId="62F7776B" w14:textId="77777777" w:rsidR="00631204" w:rsidRPr="00631204" w:rsidRDefault="00631204" w:rsidP="00631204">
      <w:pPr>
        <w:spacing w:after="0" w:line="240" w:lineRule="auto"/>
        <w:ind w:left="4472" w:hanging="360"/>
        <w:jc w:val="both"/>
        <w:rPr>
          <w:rFonts w:ascii="Times New Roman" w:eastAsia="Times New Roman" w:hAnsi="Times New Roman" w:cs="Arial"/>
          <w:sz w:val="24"/>
          <w:szCs w:val="20"/>
        </w:rPr>
      </w:pPr>
    </w:p>
    <w:p w14:paraId="309AC4C7" w14:textId="77777777" w:rsidR="00125F67" w:rsidRDefault="00125F67" w:rsidP="00125F67">
      <w:pPr>
        <w:spacing w:after="160" w:line="259" w:lineRule="auto"/>
        <w:ind w:left="927"/>
        <w:contextualSpacing/>
        <w:rPr>
          <w:rFonts w:ascii="Times New Roman" w:eastAsia="Calibri" w:hAnsi="Times New Roman" w:cs="Times New Roman"/>
          <w:b/>
          <w:sz w:val="24"/>
          <w:szCs w:val="24"/>
        </w:rPr>
      </w:pPr>
    </w:p>
    <w:p w14:paraId="4AAD24D4" w14:textId="77777777" w:rsidR="00631204" w:rsidRPr="00457C0B" w:rsidRDefault="00631204" w:rsidP="00441380">
      <w:pPr>
        <w:numPr>
          <w:ilvl w:val="0"/>
          <w:numId w:val="20"/>
        </w:numPr>
        <w:spacing w:after="160" w:line="259" w:lineRule="auto"/>
        <w:contextualSpacing/>
        <w:jc w:val="center"/>
        <w:rPr>
          <w:rFonts w:ascii="Times New Roman" w:eastAsia="Calibri" w:hAnsi="Times New Roman" w:cs="Times New Roman"/>
          <w:b/>
          <w:sz w:val="24"/>
          <w:szCs w:val="24"/>
        </w:rPr>
      </w:pPr>
      <w:r w:rsidRPr="00457C0B">
        <w:rPr>
          <w:rFonts w:ascii="Times New Roman" w:eastAsia="Calibri" w:hAnsi="Times New Roman" w:cs="Times New Roman"/>
          <w:b/>
          <w:sz w:val="24"/>
          <w:szCs w:val="24"/>
        </w:rPr>
        <w:lastRenderedPageBreak/>
        <w:t>Проведена оптимизация учетной платформы НКЦ</w:t>
      </w:r>
    </w:p>
    <w:p w14:paraId="6F6AB480" w14:textId="77777777" w:rsidR="00BF7AB5" w:rsidRDefault="00BF7AB5" w:rsidP="00BF7AB5">
      <w:pPr>
        <w:spacing w:before="120" w:after="0" w:line="240" w:lineRule="auto"/>
        <w:ind w:left="1069"/>
        <w:jc w:val="both"/>
        <w:rPr>
          <w:rFonts w:ascii="Times New Roman" w:eastAsia="Times New Roman" w:hAnsi="Times New Roman" w:cs="Times New Roman"/>
          <w:bCs/>
          <w:sz w:val="24"/>
          <w:szCs w:val="24"/>
        </w:rPr>
      </w:pPr>
    </w:p>
    <w:p w14:paraId="6B9B8A62" w14:textId="77777777" w:rsidR="00631204" w:rsidRPr="00EA2597" w:rsidRDefault="00292D03"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r w:rsidR="00631204" w:rsidRPr="00EA2597">
        <w:rPr>
          <w:rFonts w:ascii="Times New Roman" w:hAnsi="Times New Roman" w:cs="Times New Roman"/>
          <w:bCs/>
          <w:sz w:val="24"/>
          <w:szCs w:val="24"/>
        </w:rPr>
        <w:t>Осуществлен переход на использование единой учетной системы центрального контрагента, построенной на базе СЦК, с одновременным отказом от использования двух учетных систем НКЦ.</w:t>
      </w:r>
    </w:p>
    <w:p w14:paraId="4918C36B"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Times New Roman" w:hAnsi="Times New Roman" w:cs="Times New Roman"/>
          <w:bCs/>
          <w:sz w:val="24"/>
          <w:szCs w:val="24"/>
        </w:rPr>
        <w:t xml:space="preserve">     </w:t>
      </w:r>
      <w:r w:rsidRPr="00EA2597">
        <w:rPr>
          <w:rFonts w:ascii="Times New Roman" w:hAnsi="Times New Roman" w:cs="Times New Roman"/>
          <w:bCs/>
          <w:sz w:val="24"/>
          <w:szCs w:val="24"/>
        </w:rPr>
        <w:t>Введение в действие единой учетной системы для всех биржевых рынков способствует:</w:t>
      </w:r>
    </w:p>
    <w:p w14:paraId="560DB66A" w14:textId="77777777" w:rsidR="00631204" w:rsidRPr="00631204" w:rsidRDefault="00631204" w:rsidP="00441380">
      <w:pPr>
        <w:numPr>
          <w:ilvl w:val="0"/>
          <w:numId w:val="38"/>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сокращению операционных рисков НКЦ, связанных с осуществлением клиринга на рынках Группы «Московская биржа»;</w:t>
      </w:r>
    </w:p>
    <w:p w14:paraId="671BD27A" w14:textId="77777777" w:rsidR="00631204" w:rsidRPr="00631204" w:rsidRDefault="00631204" w:rsidP="00441380">
      <w:pPr>
        <w:numPr>
          <w:ilvl w:val="0"/>
          <w:numId w:val="38"/>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снижению затрат на поддержку и разработку учетных систем НКЦ;</w:t>
      </w:r>
    </w:p>
    <w:p w14:paraId="31668796" w14:textId="77777777" w:rsidR="00631204" w:rsidRPr="00631204" w:rsidRDefault="00631204" w:rsidP="00441380">
      <w:pPr>
        <w:numPr>
          <w:ilvl w:val="0"/>
          <w:numId w:val="38"/>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уменьшению сроков внедрения новых продуктов и проектов;</w:t>
      </w:r>
    </w:p>
    <w:p w14:paraId="456C433C" w14:textId="77777777" w:rsidR="00631204" w:rsidRPr="00631204" w:rsidRDefault="00631204" w:rsidP="00441380">
      <w:pPr>
        <w:numPr>
          <w:ilvl w:val="0"/>
          <w:numId w:val="38"/>
        </w:numPr>
        <w:spacing w:after="0" w:line="240" w:lineRule="auto"/>
        <w:contextualSpacing/>
        <w:jc w:val="both"/>
        <w:rPr>
          <w:rFonts w:ascii="Times New Roman" w:eastAsia="Times New Roman" w:hAnsi="Times New Roman" w:cs="Arial"/>
          <w:sz w:val="24"/>
          <w:szCs w:val="20"/>
        </w:rPr>
      </w:pPr>
      <w:r w:rsidRPr="00631204">
        <w:rPr>
          <w:rFonts w:ascii="Times New Roman" w:eastAsia="Times New Roman" w:hAnsi="Times New Roman" w:cs="Arial"/>
          <w:sz w:val="24"/>
          <w:szCs w:val="20"/>
        </w:rPr>
        <w:t>унификации списка сервисов и услуг, предоставляемых НКЦ участникам клиринга, работающим на разных рынках Группы «Московская биржа».</w:t>
      </w:r>
    </w:p>
    <w:p w14:paraId="655C220C"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Times New Roman" w:hAnsi="Times New Roman" w:cs="Arial"/>
          <w:sz w:val="24"/>
          <w:szCs w:val="20"/>
        </w:rPr>
        <w:t xml:space="preserve">     </w:t>
      </w:r>
      <w:r w:rsidRPr="00EA2597">
        <w:rPr>
          <w:rFonts w:ascii="Times New Roman" w:hAnsi="Times New Roman" w:cs="Times New Roman"/>
          <w:bCs/>
          <w:sz w:val="24"/>
          <w:szCs w:val="24"/>
        </w:rPr>
        <w:t>Реализация этого проект</w:t>
      </w:r>
      <w:r w:rsidR="00CD3058">
        <w:rPr>
          <w:rFonts w:ascii="Times New Roman" w:hAnsi="Times New Roman" w:cs="Times New Roman"/>
          <w:bCs/>
          <w:sz w:val="24"/>
          <w:szCs w:val="24"/>
        </w:rPr>
        <w:t>а</w:t>
      </w:r>
      <w:r w:rsidRPr="00EA2597">
        <w:rPr>
          <w:rFonts w:ascii="Times New Roman" w:hAnsi="Times New Roman" w:cs="Times New Roman"/>
          <w:bCs/>
          <w:sz w:val="24"/>
          <w:szCs w:val="24"/>
        </w:rPr>
        <w:t xml:space="preserve"> позволила повысить надежность IT-инфраструктуры НКЦ, снизить операционные риски, оптимизировать бизнес-процессы на всех биржевых рынках.</w:t>
      </w:r>
    </w:p>
    <w:p w14:paraId="1A930A9E" w14:textId="77777777" w:rsidR="00631204" w:rsidRPr="00631204" w:rsidRDefault="00631204" w:rsidP="00631204">
      <w:pPr>
        <w:spacing w:after="0" w:line="240" w:lineRule="auto"/>
        <w:ind w:left="1680"/>
        <w:contextualSpacing/>
        <w:jc w:val="both"/>
        <w:rPr>
          <w:rFonts w:ascii="Times New Roman" w:eastAsia="Calibri" w:hAnsi="Times New Roman" w:cs="Times New Roman"/>
          <w:sz w:val="24"/>
          <w:szCs w:val="24"/>
        </w:rPr>
      </w:pPr>
    </w:p>
    <w:p w14:paraId="160B043A" w14:textId="77777777" w:rsidR="00631204" w:rsidRPr="00631204" w:rsidRDefault="00631204" w:rsidP="00441380">
      <w:pPr>
        <w:numPr>
          <w:ilvl w:val="0"/>
          <w:numId w:val="20"/>
        </w:numPr>
        <w:spacing w:after="160" w:line="259" w:lineRule="auto"/>
        <w:contextualSpacing/>
        <w:jc w:val="center"/>
        <w:rPr>
          <w:rFonts w:ascii="Times New Roman" w:eastAsia="Calibri" w:hAnsi="Times New Roman" w:cs="Times New Roman"/>
          <w:b/>
          <w:sz w:val="24"/>
          <w:szCs w:val="24"/>
        </w:rPr>
      </w:pPr>
      <w:r w:rsidRPr="00631204">
        <w:rPr>
          <w:rFonts w:ascii="Times New Roman" w:eastAsia="Calibri" w:hAnsi="Times New Roman" w:cs="Times New Roman"/>
          <w:b/>
          <w:sz w:val="24"/>
          <w:szCs w:val="24"/>
        </w:rPr>
        <w:t>Развитие проекта «Рынок зерна»</w:t>
      </w:r>
    </w:p>
    <w:p w14:paraId="3FADDAB8" w14:textId="77777777" w:rsidR="00BF7AB5" w:rsidRDefault="00BF7AB5" w:rsidP="00631204">
      <w:pPr>
        <w:spacing w:after="240" w:line="240" w:lineRule="auto"/>
        <w:ind w:firstLine="567"/>
        <w:jc w:val="both"/>
        <w:rPr>
          <w:rFonts w:ascii="Times New Roman" w:hAnsi="Times New Roman" w:cs="Times New Roman"/>
          <w:sz w:val="24"/>
          <w:szCs w:val="24"/>
        </w:rPr>
      </w:pPr>
    </w:p>
    <w:p w14:paraId="0BACA0C9"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В рамках развития товарного рынка по состоянию на конец 2016 года разработаны, согласованы, утверждены, зарегистрированы Банком России и размещены на сайте НКЦ Правила клиринга на товарном рынке, а также документы, описывающие изменения в программном обеспечении, необходимые для реализации проекта.</w:t>
      </w:r>
    </w:p>
    <w:p w14:paraId="78A0ED9F"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Правила клиринга на товарном рынке были внесены следующие изменения</w:t>
      </w:r>
      <w:r w:rsidR="00E36E60" w:rsidRPr="00EA2597">
        <w:rPr>
          <w:rFonts w:ascii="Times New Roman" w:hAnsi="Times New Roman" w:cs="Times New Roman"/>
          <w:bCs/>
          <w:sz w:val="24"/>
          <w:szCs w:val="24"/>
        </w:rPr>
        <w:t>/дополнения</w:t>
      </w:r>
      <w:r w:rsidRPr="00EA2597">
        <w:rPr>
          <w:rFonts w:ascii="Times New Roman" w:hAnsi="Times New Roman" w:cs="Times New Roman"/>
          <w:bCs/>
          <w:sz w:val="24"/>
          <w:szCs w:val="24"/>
        </w:rPr>
        <w:t>:</w:t>
      </w:r>
    </w:p>
    <w:p w14:paraId="50C8EC37"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изменена модель исполнения договоров на товарном рынке - исполнение происходит с участием центрального контрагента без заключения спот договора между участниками клиринга;</w:t>
      </w:r>
    </w:p>
    <w:p w14:paraId="471AD2C5"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изменен порядок клиринга по своп договорам: для участников клиринга категории «Б» по первой части своп договора будет осуществляться клиринг с полным обеспечением по товарам и клиринг с частичным обеспечением по денежным средствам;</w:t>
      </w:r>
    </w:p>
    <w:p w14:paraId="6B14B2C5" w14:textId="77777777" w:rsidR="00DD479B" w:rsidRPr="00CD3058" w:rsidRDefault="00FA36E6"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CD3058">
        <w:rPr>
          <w:rFonts w:ascii="Times New Roman" w:eastAsia="Times New Roman" w:hAnsi="Times New Roman" w:cs="Times New Roman"/>
          <w:bCs/>
          <w:noProof/>
          <w:sz w:val="24"/>
          <w:szCs w:val="24"/>
          <w:lang w:eastAsia="ru-RU"/>
        </w:rPr>
        <w:t>введен порядок проверки возможности регистрации комбинированных заявок – заявок, подаваемых участником торгов с целью заключения форвардного договора, являющихся одновременно заявками на заключение договора своп</w:t>
      </w:r>
      <w:r w:rsidR="00DD1F9B" w:rsidRPr="00CD3058">
        <w:rPr>
          <w:rFonts w:ascii="Times New Roman" w:eastAsia="Times New Roman" w:hAnsi="Times New Roman" w:cs="Times New Roman"/>
          <w:bCs/>
          <w:noProof/>
          <w:sz w:val="24"/>
          <w:szCs w:val="24"/>
          <w:lang w:eastAsia="ru-RU"/>
        </w:rPr>
        <w:t>;</w:t>
      </w:r>
    </w:p>
    <w:p w14:paraId="141B1C4A" w14:textId="77777777" w:rsidR="00631204" w:rsidRPr="00DD479B" w:rsidRDefault="00631204" w:rsidP="00441380">
      <w:pPr>
        <w:pStyle w:val="a3"/>
        <w:numPr>
          <w:ilvl w:val="0"/>
          <w:numId w:val="7"/>
        </w:numPr>
        <w:spacing w:before="60" w:after="0" w:line="240" w:lineRule="auto"/>
        <w:jc w:val="both"/>
        <w:rPr>
          <w:rFonts w:ascii="Times New Roman" w:eastAsia="Times New Roman" w:hAnsi="Times New Roman"/>
          <w:bCs/>
          <w:noProof/>
          <w:sz w:val="24"/>
          <w:szCs w:val="24"/>
          <w:lang w:eastAsia="ru-RU"/>
        </w:rPr>
      </w:pPr>
      <w:r w:rsidRPr="00DD479B">
        <w:rPr>
          <w:rFonts w:ascii="Times New Roman" w:eastAsia="Times New Roman" w:hAnsi="Times New Roman"/>
          <w:bCs/>
          <w:noProof/>
          <w:sz w:val="24"/>
          <w:szCs w:val="24"/>
          <w:lang w:eastAsia="ru-RU"/>
        </w:rPr>
        <w:t>положения о начислении платы за право использования денежных средств, составляющих индивидуальное и/или коллективное клиринговое обеспечение, приведены в соответствии с изменениями, внесенными в Налоговый кодекс РФ.</w:t>
      </w:r>
    </w:p>
    <w:p w14:paraId="6F190BEF" w14:textId="77777777" w:rsidR="00631204" w:rsidRPr="00631204" w:rsidRDefault="00631204" w:rsidP="00631204">
      <w:pPr>
        <w:spacing w:line="240" w:lineRule="auto"/>
        <w:ind w:left="567"/>
        <w:jc w:val="both"/>
        <w:rPr>
          <w:rFonts w:ascii="Times New Roman" w:hAnsi="Times New Roman"/>
          <w:sz w:val="24"/>
          <w:szCs w:val="24"/>
        </w:rPr>
      </w:pPr>
    </w:p>
    <w:p w14:paraId="2EEBD3D9" w14:textId="77777777" w:rsidR="00631204" w:rsidRPr="00631204" w:rsidRDefault="00631204" w:rsidP="00631204">
      <w:pPr>
        <w:spacing w:after="0" w:line="240" w:lineRule="auto"/>
        <w:ind w:left="1211"/>
        <w:contextualSpacing/>
        <w:jc w:val="both"/>
        <w:rPr>
          <w:rFonts w:ascii="Times New Roman" w:eastAsia="Calibri" w:hAnsi="Times New Roman" w:cs="Times New Roman"/>
          <w:sz w:val="24"/>
          <w:szCs w:val="24"/>
        </w:rPr>
      </w:pPr>
    </w:p>
    <w:p w14:paraId="282B07C5" w14:textId="77777777" w:rsidR="00631204" w:rsidRPr="00631204" w:rsidRDefault="00631204" w:rsidP="00631204">
      <w:pPr>
        <w:spacing w:line="240" w:lineRule="auto"/>
        <w:ind w:left="1211"/>
        <w:contextualSpacing/>
        <w:jc w:val="both"/>
        <w:rPr>
          <w:rFonts w:ascii="Times New Roman" w:eastAsia="Calibri" w:hAnsi="Times New Roman" w:cs="Times New Roman"/>
          <w:sz w:val="24"/>
          <w:szCs w:val="24"/>
        </w:rPr>
      </w:pPr>
    </w:p>
    <w:p w14:paraId="15D5E58A" w14:textId="77777777" w:rsidR="00631204" w:rsidRPr="00631204"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631204">
        <w:rPr>
          <w:rFonts w:ascii="Times New Roman" w:eastAsia="Calibri" w:hAnsi="Times New Roman" w:cs="Times New Roman"/>
          <w:b/>
          <w:sz w:val="24"/>
          <w:szCs w:val="24"/>
        </w:rPr>
        <w:t>Проект «Единый пул обеспечения»</w:t>
      </w:r>
      <w:r w:rsidR="00AF5410">
        <w:rPr>
          <w:rFonts w:ascii="Times New Roman" w:eastAsia="Calibri" w:hAnsi="Times New Roman" w:cs="Times New Roman"/>
          <w:b/>
          <w:sz w:val="24"/>
          <w:szCs w:val="24"/>
        </w:rPr>
        <w:t xml:space="preserve"> (реализация отдельных этапов проекта)</w:t>
      </w:r>
    </w:p>
    <w:p w14:paraId="49D391DC"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noProof/>
          <w:sz w:val="24"/>
          <w:szCs w:val="24"/>
          <w:lang w:eastAsia="ru-RU"/>
        </w:rPr>
      </w:pPr>
    </w:p>
    <w:p w14:paraId="548F7DA3"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Calibri" w:hAnsi="Times New Roman"/>
          <w:noProof/>
          <w:sz w:val="24"/>
          <w:szCs w:val="24"/>
          <w:lang w:eastAsia="ru-RU"/>
        </w:rPr>
        <w:t xml:space="preserve">     </w:t>
      </w:r>
      <w:r w:rsidRPr="00EA2597">
        <w:rPr>
          <w:rFonts w:ascii="Times New Roman" w:hAnsi="Times New Roman" w:cs="Times New Roman"/>
          <w:bCs/>
          <w:sz w:val="24"/>
          <w:szCs w:val="24"/>
        </w:rPr>
        <w:t>Проект «Единый пул обеспечения» является стратегическим направлением развития клиринговой деятельности НКЦ. Основные цели проекта:</w:t>
      </w:r>
    </w:p>
    <w:p w14:paraId="1FD3B274" w14:textId="77777777" w:rsidR="00631204" w:rsidRPr="00631204" w:rsidRDefault="00631204" w:rsidP="00441380">
      <w:pPr>
        <w:numPr>
          <w:ilvl w:val="0"/>
          <w:numId w:val="45"/>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lastRenderedPageBreak/>
        <w:t>снижение издержек на фондирование операций на срочном, валютном рынке и рынке драгоценных металлов за счет использования широкого спектра активов, учитываемых на счетах фондового рынка, а также за счет снятия существующих ограничений на прием активов (доли активов) в качестве индивидуального клирингового обеспечения;</w:t>
      </w:r>
    </w:p>
    <w:p w14:paraId="1771D69F" w14:textId="77777777" w:rsidR="00631204" w:rsidRPr="00631204" w:rsidRDefault="00631204" w:rsidP="00441380">
      <w:pPr>
        <w:numPr>
          <w:ilvl w:val="0"/>
          <w:numId w:val="45"/>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обеспечение легкости и удобства доступа к проведению кросс-рыночных операций за счет унификации процедур внесения индивидуального клирингового обеспечения и исполнения обязательств;</w:t>
      </w:r>
    </w:p>
    <w:p w14:paraId="05435A5F" w14:textId="77777777" w:rsidR="00631204" w:rsidRPr="00631204" w:rsidRDefault="00631204" w:rsidP="00441380">
      <w:pPr>
        <w:numPr>
          <w:ilvl w:val="0"/>
          <w:numId w:val="45"/>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снижение издержек на проведение операций в инфраструктуре Группы «Московская Биржа» за счет унификации процедур клиринга.</w:t>
      </w:r>
    </w:p>
    <w:p w14:paraId="03EEA25E" w14:textId="77777777" w:rsidR="00631204" w:rsidRPr="00631204" w:rsidRDefault="00631204" w:rsidP="00631204">
      <w:pPr>
        <w:tabs>
          <w:tab w:val="right" w:pos="9356"/>
        </w:tabs>
        <w:autoSpaceDE w:val="0"/>
        <w:autoSpaceDN w:val="0"/>
        <w:spacing w:after="0" w:line="240" w:lineRule="auto"/>
        <w:ind w:firstLine="709"/>
        <w:jc w:val="both"/>
        <w:rPr>
          <w:rFonts w:ascii="Times New Roman" w:eastAsia="Calibri" w:hAnsi="Times New Roman"/>
          <w:noProof/>
          <w:sz w:val="24"/>
          <w:szCs w:val="24"/>
          <w:lang w:eastAsia="ru-RU"/>
        </w:rPr>
      </w:pPr>
    </w:p>
    <w:p w14:paraId="74D797EF"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Calibri" w:hAnsi="Times New Roman"/>
          <w:noProof/>
          <w:sz w:val="24"/>
          <w:szCs w:val="24"/>
          <w:lang w:eastAsia="ru-RU"/>
        </w:rPr>
        <w:t xml:space="preserve">     </w:t>
      </w:r>
      <w:r w:rsidRPr="00EA2597">
        <w:rPr>
          <w:rFonts w:ascii="Times New Roman" w:hAnsi="Times New Roman" w:cs="Times New Roman"/>
          <w:bCs/>
          <w:sz w:val="24"/>
          <w:szCs w:val="24"/>
        </w:rPr>
        <w:t>В отчетный период были осуществлены следующие мероприятия, необходимые для  запуска</w:t>
      </w:r>
      <w:r w:rsidR="00AF5410" w:rsidRPr="00EA2597">
        <w:rPr>
          <w:rFonts w:ascii="Times New Roman" w:hAnsi="Times New Roman" w:cs="Times New Roman"/>
          <w:bCs/>
          <w:sz w:val="24"/>
          <w:szCs w:val="24"/>
        </w:rPr>
        <w:t xml:space="preserve"> в 2017 году</w:t>
      </w:r>
      <w:r w:rsidRPr="00EA2597">
        <w:rPr>
          <w:rFonts w:ascii="Times New Roman" w:hAnsi="Times New Roman" w:cs="Times New Roman"/>
          <w:bCs/>
          <w:sz w:val="24"/>
          <w:szCs w:val="24"/>
        </w:rPr>
        <w:t xml:space="preserve"> проекта:</w:t>
      </w:r>
    </w:p>
    <w:p w14:paraId="0DEC96FA" w14:textId="77777777" w:rsidR="00631204" w:rsidRPr="00631204" w:rsidRDefault="00631204" w:rsidP="00441380">
      <w:pPr>
        <w:numPr>
          <w:ilvl w:val="0"/>
          <w:numId w:val="46"/>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разработана и согласована модель унификации клирингового функционала для всех биржевых рынков;</w:t>
      </w:r>
    </w:p>
    <w:p w14:paraId="48689EB4" w14:textId="31693A5C" w:rsidR="00631204" w:rsidRPr="00631204" w:rsidRDefault="00631204" w:rsidP="00441380">
      <w:pPr>
        <w:numPr>
          <w:ilvl w:val="0"/>
          <w:numId w:val="46"/>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разработана и находится на стадии согласования редакция Правил клиринга Банка «Национальный Клиринговый Центр» (Акционерное общество), содержащая изменения, касающиеся</w:t>
      </w:r>
      <w:r w:rsidR="00125F67">
        <w:rPr>
          <w:rFonts w:ascii="Times New Roman" w:eastAsia="Calibri" w:hAnsi="Times New Roman" w:cs="Times New Roman"/>
          <w:sz w:val="24"/>
          <w:szCs w:val="24"/>
        </w:rPr>
        <w:t>,</w:t>
      </w:r>
      <w:r w:rsidRPr="00631204">
        <w:rPr>
          <w:rFonts w:ascii="Times New Roman" w:eastAsia="Calibri" w:hAnsi="Times New Roman" w:cs="Times New Roman"/>
          <w:sz w:val="24"/>
          <w:szCs w:val="24"/>
        </w:rPr>
        <w:t xml:space="preserve"> в том числе:</w:t>
      </w:r>
    </w:p>
    <w:p w14:paraId="709D4DD5" w14:textId="77777777" w:rsidR="00631204" w:rsidRPr="00125F67" w:rsidRDefault="00631204" w:rsidP="00441380">
      <w:pPr>
        <w:pStyle w:val="a3"/>
        <w:numPr>
          <w:ilvl w:val="2"/>
          <w:numId w:val="69"/>
        </w:numPr>
        <w:spacing w:before="60" w:after="0" w:line="240" w:lineRule="auto"/>
        <w:jc w:val="both"/>
        <w:rPr>
          <w:rFonts w:ascii="Times New Roman" w:eastAsia="Times New Roman" w:hAnsi="Times New Roman"/>
          <w:bCs/>
          <w:noProof/>
          <w:sz w:val="24"/>
          <w:szCs w:val="24"/>
          <w:lang w:eastAsia="ru-RU"/>
        </w:rPr>
      </w:pPr>
      <w:r w:rsidRPr="00125F67">
        <w:rPr>
          <w:rFonts w:ascii="Times New Roman" w:eastAsia="Times New Roman" w:hAnsi="Times New Roman"/>
          <w:bCs/>
          <w:noProof/>
          <w:sz w:val="24"/>
          <w:szCs w:val="24"/>
          <w:lang w:eastAsia="ru-RU"/>
        </w:rPr>
        <w:t>унификации перечня активов, принимаемых в качестве коллективного клирингового обеспечения на фондовом, валютном и срочном рынках (включая прием ОФЗ на всех рынках);</w:t>
      </w:r>
    </w:p>
    <w:p w14:paraId="5DBFDA8A" w14:textId="77777777" w:rsidR="00631204" w:rsidRPr="00125F67" w:rsidRDefault="00631204" w:rsidP="00441380">
      <w:pPr>
        <w:pStyle w:val="a3"/>
        <w:numPr>
          <w:ilvl w:val="2"/>
          <w:numId w:val="69"/>
        </w:numPr>
        <w:spacing w:before="60" w:after="0" w:line="240" w:lineRule="auto"/>
        <w:jc w:val="both"/>
        <w:rPr>
          <w:rFonts w:ascii="Times New Roman" w:eastAsia="Times New Roman" w:hAnsi="Times New Roman"/>
          <w:bCs/>
          <w:noProof/>
          <w:sz w:val="24"/>
          <w:szCs w:val="24"/>
          <w:lang w:eastAsia="ru-RU"/>
        </w:rPr>
      </w:pPr>
      <w:r w:rsidRPr="00125F67">
        <w:rPr>
          <w:rFonts w:ascii="Times New Roman" w:eastAsia="Times New Roman" w:hAnsi="Times New Roman"/>
          <w:bCs/>
          <w:noProof/>
          <w:sz w:val="24"/>
          <w:szCs w:val="24"/>
          <w:lang w:eastAsia="ru-RU"/>
        </w:rPr>
        <w:t>создания единого торгово-клирингового счета для учета обеспечения (при сохранении возможности ведения раздельных ТКС по разным рынкам);</w:t>
      </w:r>
    </w:p>
    <w:p w14:paraId="242FCB35" w14:textId="77777777" w:rsidR="00631204" w:rsidRPr="00125F67" w:rsidRDefault="00631204" w:rsidP="00441380">
      <w:pPr>
        <w:pStyle w:val="a3"/>
        <w:numPr>
          <w:ilvl w:val="2"/>
          <w:numId w:val="69"/>
        </w:numPr>
        <w:spacing w:before="60" w:after="0" w:line="240" w:lineRule="auto"/>
        <w:jc w:val="both"/>
        <w:rPr>
          <w:rFonts w:ascii="Times New Roman" w:eastAsia="Times New Roman" w:hAnsi="Times New Roman"/>
          <w:bCs/>
          <w:noProof/>
          <w:sz w:val="24"/>
          <w:szCs w:val="24"/>
          <w:lang w:eastAsia="ru-RU"/>
        </w:rPr>
      </w:pPr>
      <w:r w:rsidRPr="00125F67">
        <w:rPr>
          <w:rFonts w:ascii="Times New Roman" w:eastAsia="Times New Roman" w:hAnsi="Times New Roman"/>
          <w:bCs/>
          <w:noProof/>
          <w:sz w:val="24"/>
          <w:szCs w:val="24"/>
          <w:lang w:eastAsia="ru-RU"/>
        </w:rPr>
        <w:t>расчетов на нетто-основе по обязательствам и требованиям из сделок, заключенных на фондовом, валютном и срочном рынках за счет активов, учитываемых на едином торгово-клиринговом счете;</w:t>
      </w:r>
    </w:p>
    <w:p w14:paraId="58937962" w14:textId="3F465080" w:rsidR="00631204" w:rsidRPr="00125F67" w:rsidRDefault="00631204" w:rsidP="00441380">
      <w:pPr>
        <w:pStyle w:val="a3"/>
        <w:numPr>
          <w:ilvl w:val="2"/>
          <w:numId w:val="69"/>
        </w:numPr>
        <w:spacing w:before="60" w:after="0" w:line="240" w:lineRule="auto"/>
        <w:jc w:val="both"/>
        <w:rPr>
          <w:rFonts w:ascii="Times New Roman" w:eastAsia="Times New Roman" w:hAnsi="Times New Roman"/>
          <w:bCs/>
          <w:noProof/>
          <w:sz w:val="24"/>
          <w:szCs w:val="24"/>
          <w:lang w:eastAsia="ru-RU"/>
        </w:rPr>
      </w:pPr>
      <w:r w:rsidRPr="00125F67">
        <w:rPr>
          <w:rFonts w:ascii="Times New Roman" w:eastAsia="Times New Roman" w:hAnsi="Times New Roman"/>
          <w:bCs/>
          <w:noProof/>
          <w:sz w:val="24"/>
          <w:szCs w:val="24"/>
          <w:lang w:eastAsia="ru-RU"/>
        </w:rPr>
        <w:t>реализации кросс-маржирования, а именно:</w:t>
      </w:r>
    </w:p>
    <w:p w14:paraId="2CA4893B" w14:textId="77777777" w:rsidR="00631204" w:rsidRPr="00631204" w:rsidRDefault="00631204" w:rsidP="00631204">
      <w:pPr>
        <w:spacing w:before="60" w:after="0" w:line="240" w:lineRule="auto"/>
        <w:ind w:left="1701"/>
        <w:contextualSpacing/>
        <w:jc w:val="both"/>
        <w:rPr>
          <w:rFonts w:ascii="Times New Roman" w:eastAsia="Times New Roman" w:hAnsi="Times New Roman" w:cs="Times New Roman"/>
          <w:bCs/>
          <w:i/>
          <w:noProof/>
          <w:sz w:val="24"/>
          <w:szCs w:val="24"/>
          <w:lang w:eastAsia="ru-RU"/>
        </w:rPr>
      </w:pPr>
      <w:r w:rsidRPr="00631204">
        <w:rPr>
          <w:rFonts w:ascii="Times New Roman" w:eastAsia="Times New Roman" w:hAnsi="Times New Roman" w:cs="Times New Roman"/>
          <w:bCs/>
          <w:i/>
          <w:noProof/>
          <w:sz w:val="24"/>
          <w:szCs w:val="24"/>
          <w:lang w:eastAsia="ru-RU"/>
        </w:rPr>
        <w:t>на валютном рынке:</w:t>
      </w:r>
    </w:p>
    <w:p w14:paraId="3F31741A" w14:textId="77777777" w:rsidR="00631204" w:rsidRPr="00631204" w:rsidRDefault="00631204" w:rsidP="00441380">
      <w:pPr>
        <w:numPr>
          <w:ilvl w:val="2"/>
          <w:numId w:val="8"/>
        </w:numPr>
        <w:spacing w:before="60" w:after="0" w:line="240" w:lineRule="auto"/>
        <w:ind w:left="2484"/>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учет межпродуктовых спредов по позициям, сформированным по сделкам EUR/USD, USD/RUB и EUR/RUB,</w:t>
      </w:r>
    </w:p>
    <w:p w14:paraId="673FD0DA" w14:textId="77777777" w:rsidR="00631204" w:rsidRPr="00631204" w:rsidRDefault="00631204" w:rsidP="00125F67">
      <w:pPr>
        <w:spacing w:before="60" w:after="0" w:line="240" w:lineRule="auto"/>
        <w:ind w:left="2025"/>
        <w:contextualSpacing/>
        <w:jc w:val="both"/>
        <w:rPr>
          <w:rFonts w:ascii="Times New Roman" w:eastAsia="Times New Roman" w:hAnsi="Times New Roman" w:cs="Times New Roman"/>
          <w:bCs/>
          <w:i/>
          <w:noProof/>
          <w:sz w:val="24"/>
          <w:szCs w:val="24"/>
          <w:lang w:eastAsia="ru-RU"/>
        </w:rPr>
      </w:pPr>
      <w:r w:rsidRPr="00631204">
        <w:rPr>
          <w:rFonts w:ascii="Times New Roman" w:eastAsia="Times New Roman" w:hAnsi="Times New Roman" w:cs="Times New Roman"/>
          <w:bCs/>
          <w:i/>
          <w:noProof/>
          <w:sz w:val="24"/>
          <w:szCs w:val="24"/>
          <w:lang w:eastAsia="ru-RU"/>
        </w:rPr>
        <w:t>на фондовом рынке:</w:t>
      </w:r>
    </w:p>
    <w:p w14:paraId="163C1902" w14:textId="77777777" w:rsidR="00631204" w:rsidRPr="00631204" w:rsidRDefault="00631204" w:rsidP="00441380">
      <w:pPr>
        <w:numPr>
          <w:ilvl w:val="2"/>
          <w:numId w:val="8"/>
        </w:numPr>
        <w:spacing w:before="60" w:after="0" w:line="240" w:lineRule="auto"/>
        <w:ind w:left="2484"/>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учет межпродуктовых спредов для группы ценных бумаг: на первом этапе будет применяться к позициям в ОФЗ,</w:t>
      </w:r>
    </w:p>
    <w:p w14:paraId="1A982517" w14:textId="77777777" w:rsidR="00631204" w:rsidRPr="00631204" w:rsidRDefault="00631204" w:rsidP="00125F67">
      <w:pPr>
        <w:spacing w:before="60" w:after="0" w:line="240" w:lineRule="auto"/>
        <w:ind w:left="2025"/>
        <w:contextualSpacing/>
        <w:jc w:val="both"/>
        <w:rPr>
          <w:rFonts w:ascii="Times New Roman" w:eastAsia="Times New Roman" w:hAnsi="Times New Roman" w:cs="Times New Roman"/>
          <w:bCs/>
          <w:i/>
          <w:noProof/>
          <w:sz w:val="24"/>
          <w:szCs w:val="24"/>
          <w:lang w:eastAsia="ru-RU"/>
        </w:rPr>
      </w:pPr>
      <w:r w:rsidRPr="00631204">
        <w:rPr>
          <w:rFonts w:ascii="Times New Roman" w:eastAsia="Times New Roman" w:hAnsi="Times New Roman" w:cs="Times New Roman"/>
          <w:bCs/>
          <w:i/>
          <w:noProof/>
          <w:sz w:val="24"/>
          <w:szCs w:val="24"/>
          <w:lang w:eastAsia="ru-RU"/>
        </w:rPr>
        <w:t>на срочном рынке:</w:t>
      </w:r>
    </w:p>
    <w:p w14:paraId="59D3A225" w14:textId="77777777" w:rsidR="00631204" w:rsidRPr="00631204" w:rsidRDefault="00631204" w:rsidP="00441380">
      <w:pPr>
        <w:numPr>
          <w:ilvl w:val="2"/>
          <w:numId w:val="8"/>
        </w:numPr>
        <w:spacing w:before="60" w:after="0" w:line="240" w:lineRule="auto"/>
        <w:ind w:left="2484"/>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реализация технологии покрытых продаж,</w:t>
      </w:r>
    </w:p>
    <w:p w14:paraId="27004786" w14:textId="77777777" w:rsidR="00631204" w:rsidRPr="00631204" w:rsidRDefault="00631204" w:rsidP="00441380">
      <w:pPr>
        <w:numPr>
          <w:ilvl w:val="2"/>
          <w:numId w:val="8"/>
        </w:numPr>
        <w:spacing w:before="60" w:after="0" w:line="240" w:lineRule="auto"/>
        <w:ind w:left="2484"/>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оптимизация учета календарных спредов,</w:t>
      </w:r>
    </w:p>
    <w:p w14:paraId="50C4B09A" w14:textId="77777777" w:rsidR="00631204" w:rsidRPr="00631204" w:rsidRDefault="00631204" w:rsidP="00441380">
      <w:pPr>
        <w:numPr>
          <w:ilvl w:val="2"/>
          <w:numId w:val="8"/>
        </w:numPr>
        <w:spacing w:before="60" w:after="0" w:line="240" w:lineRule="auto"/>
        <w:ind w:left="2484"/>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модернизация поставки;</w:t>
      </w:r>
    </w:p>
    <w:p w14:paraId="405AC8FA" w14:textId="77777777" w:rsidR="00125F67" w:rsidRDefault="00125F67" w:rsidP="00125F67">
      <w:pPr>
        <w:spacing w:before="60" w:after="0" w:line="240" w:lineRule="auto"/>
        <w:ind w:left="2160"/>
        <w:contextualSpacing/>
        <w:jc w:val="both"/>
        <w:rPr>
          <w:rFonts w:ascii="Times New Roman" w:eastAsia="Times New Roman" w:hAnsi="Times New Roman" w:cs="Times New Roman"/>
          <w:bCs/>
          <w:noProof/>
          <w:sz w:val="24"/>
          <w:szCs w:val="24"/>
          <w:lang w:eastAsia="ru-RU"/>
        </w:rPr>
      </w:pPr>
    </w:p>
    <w:p w14:paraId="24B7E461" w14:textId="77777777" w:rsidR="00631204" w:rsidRPr="00631204" w:rsidRDefault="00631204" w:rsidP="00441380">
      <w:pPr>
        <w:numPr>
          <w:ilvl w:val="2"/>
          <w:numId w:val="48"/>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«ранних расчетов» на фондовом рынке в части денежных средств, а именно:</w:t>
      </w:r>
    </w:p>
    <w:p w14:paraId="3DC12E50" w14:textId="6D800D90" w:rsidR="00631204" w:rsidRPr="006F65F1" w:rsidRDefault="00631204" w:rsidP="00441380">
      <w:pPr>
        <w:pStyle w:val="a3"/>
        <w:numPr>
          <w:ilvl w:val="0"/>
          <w:numId w:val="70"/>
        </w:numPr>
        <w:spacing w:before="60" w:after="0" w:line="240" w:lineRule="auto"/>
        <w:jc w:val="both"/>
        <w:rPr>
          <w:rFonts w:ascii="Times New Roman" w:eastAsia="Times New Roman" w:hAnsi="Times New Roman"/>
          <w:bCs/>
          <w:noProof/>
          <w:sz w:val="24"/>
          <w:szCs w:val="24"/>
          <w:lang w:eastAsia="ru-RU"/>
        </w:rPr>
      </w:pPr>
      <w:r w:rsidRPr="006F65F1">
        <w:rPr>
          <w:rFonts w:ascii="Times New Roman" w:eastAsia="Times New Roman" w:hAnsi="Times New Roman"/>
          <w:bCs/>
          <w:noProof/>
          <w:sz w:val="24"/>
          <w:szCs w:val="24"/>
          <w:lang w:eastAsia="ru-RU"/>
        </w:rPr>
        <w:t xml:space="preserve">возврат российских рублей и иностранной валюты для расчетного кода единого пула в ходе торгового дня становится возможен в размере расчетной позиции (текущая позиция + требование по </w:t>
      </w:r>
      <w:r w:rsidR="00125F67" w:rsidRPr="006F65F1">
        <w:rPr>
          <w:rFonts w:ascii="Times New Roman" w:eastAsia="Times New Roman" w:hAnsi="Times New Roman"/>
          <w:bCs/>
          <w:noProof/>
          <w:sz w:val="24"/>
          <w:szCs w:val="24"/>
          <w:lang w:eastAsia="ru-RU"/>
        </w:rPr>
        <w:t xml:space="preserve"> </w:t>
      </w:r>
      <w:r w:rsidRPr="006F65F1">
        <w:rPr>
          <w:rFonts w:ascii="Times New Roman" w:eastAsia="Times New Roman" w:hAnsi="Times New Roman"/>
          <w:bCs/>
          <w:noProof/>
          <w:sz w:val="24"/>
          <w:szCs w:val="24"/>
          <w:lang w:eastAsia="ru-RU"/>
        </w:rPr>
        <w:t>сделкам с наступившей датой исполнения),</w:t>
      </w:r>
    </w:p>
    <w:p w14:paraId="371A7B12" w14:textId="7DB7D637" w:rsidR="00631204" w:rsidRPr="006F65F1" w:rsidRDefault="00631204" w:rsidP="00441380">
      <w:pPr>
        <w:pStyle w:val="a3"/>
        <w:numPr>
          <w:ilvl w:val="0"/>
          <w:numId w:val="70"/>
        </w:numPr>
        <w:spacing w:before="60" w:after="0" w:line="240" w:lineRule="auto"/>
        <w:jc w:val="both"/>
        <w:rPr>
          <w:rFonts w:ascii="Times New Roman" w:eastAsia="Times New Roman" w:hAnsi="Times New Roman"/>
          <w:bCs/>
          <w:noProof/>
          <w:sz w:val="24"/>
          <w:szCs w:val="24"/>
          <w:lang w:eastAsia="ru-RU"/>
        </w:rPr>
      </w:pPr>
      <w:r w:rsidRPr="006F65F1">
        <w:rPr>
          <w:rFonts w:ascii="Times New Roman" w:eastAsia="Times New Roman" w:hAnsi="Times New Roman"/>
          <w:bCs/>
          <w:noProof/>
          <w:sz w:val="24"/>
          <w:szCs w:val="24"/>
          <w:lang w:eastAsia="ru-RU"/>
        </w:rPr>
        <w:t>порядок исполнения запросов на возврат ценных бумаг не изменяется.</w:t>
      </w:r>
    </w:p>
    <w:p w14:paraId="0DF02A5F" w14:textId="77777777" w:rsidR="00631204" w:rsidRPr="00631204" w:rsidRDefault="00631204" w:rsidP="00631204">
      <w:pPr>
        <w:spacing w:after="0" w:line="240" w:lineRule="auto"/>
        <w:jc w:val="both"/>
        <w:rPr>
          <w:rFonts w:ascii="Times New Roman" w:eastAsia="Calibri" w:hAnsi="Times New Roman" w:cs="Times New Roman"/>
          <w:sz w:val="24"/>
          <w:szCs w:val="24"/>
        </w:rPr>
      </w:pPr>
    </w:p>
    <w:p w14:paraId="51964744" w14:textId="77777777" w:rsidR="00631204" w:rsidRPr="00631204" w:rsidRDefault="00631204" w:rsidP="00441380">
      <w:pPr>
        <w:numPr>
          <w:ilvl w:val="0"/>
          <w:numId w:val="47"/>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разработаны и согласованы документы, описывающие изменения в программном обеспечении, необходимые для реализации проекта.</w:t>
      </w:r>
    </w:p>
    <w:p w14:paraId="0D38E3DB" w14:textId="77777777" w:rsidR="00631204" w:rsidRPr="00631204" w:rsidRDefault="00631204" w:rsidP="00631204">
      <w:pPr>
        <w:spacing w:after="0" w:line="240" w:lineRule="auto"/>
        <w:contextualSpacing/>
        <w:jc w:val="both"/>
        <w:rPr>
          <w:rFonts w:ascii="Times New Roman" w:eastAsia="Calibri" w:hAnsi="Times New Roman" w:cs="Times New Roman"/>
          <w:sz w:val="24"/>
          <w:szCs w:val="24"/>
        </w:rPr>
      </w:pPr>
    </w:p>
    <w:p w14:paraId="5A8A0E77" w14:textId="77777777" w:rsidR="00631204"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457C0B">
        <w:rPr>
          <w:rFonts w:ascii="Times New Roman" w:eastAsia="Calibri" w:hAnsi="Times New Roman" w:cs="Times New Roman"/>
          <w:b/>
          <w:sz w:val="24"/>
          <w:szCs w:val="24"/>
        </w:rPr>
        <w:t>Реализован клиентский уровень доступа в рамках проекта разделения статусов участников торгов и участников клиринга на валютном рынке (2-й и 3-й этапы)</w:t>
      </w:r>
    </w:p>
    <w:p w14:paraId="7D59D720" w14:textId="77777777" w:rsidR="00457C0B" w:rsidRPr="00457C0B" w:rsidRDefault="00457C0B" w:rsidP="00DD479B">
      <w:pPr>
        <w:keepNext/>
        <w:tabs>
          <w:tab w:val="left" w:pos="851"/>
        </w:tabs>
        <w:spacing w:before="240" w:after="0" w:line="240" w:lineRule="auto"/>
        <w:jc w:val="center"/>
        <w:rPr>
          <w:rFonts w:ascii="Times New Roman" w:eastAsia="Calibri" w:hAnsi="Times New Roman" w:cs="Times New Roman"/>
          <w:b/>
          <w:sz w:val="24"/>
          <w:szCs w:val="24"/>
        </w:rPr>
      </w:pPr>
    </w:p>
    <w:p w14:paraId="7A9ED60A"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631204">
        <w:rPr>
          <w:rFonts w:ascii="Times New Roman" w:eastAsia="Times New Roman" w:hAnsi="Times New Roman" w:cs="Times New Roman"/>
          <w:bCs/>
          <w:sz w:val="24"/>
          <w:szCs w:val="24"/>
        </w:rPr>
        <w:t xml:space="preserve">     </w:t>
      </w:r>
      <w:r w:rsidRPr="00EA2597">
        <w:rPr>
          <w:rFonts w:ascii="Times New Roman" w:hAnsi="Times New Roman" w:cs="Times New Roman"/>
          <w:bCs/>
          <w:sz w:val="24"/>
          <w:szCs w:val="24"/>
        </w:rPr>
        <w:t>С июля 2016 г. для участников клиринга создана возможность использовать разные юридические модели разделения статусов участников торгов и участника клиринга - модель клирингового брокера и модель договора поручения.</w:t>
      </w:r>
    </w:p>
    <w:p w14:paraId="3A8641BB" w14:textId="77777777" w:rsidR="00631204" w:rsidRPr="00631204" w:rsidRDefault="00631204" w:rsidP="00EA2597">
      <w:pPr>
        <w:spacing w:line="240" w:lineRule="auto"/>
        <w:ind w:firstLine="567"/>
        <w:jc w:val="both"/>
        <w:rPr>
          <w:rFonts w:ascii="Times New Roman" w:eastAsia="Times New Roman" w:hAnsi="Times New Roman" w:cs="Times New Roman"/>
          <w:bCs/>
          <w:sz w:val="24"/>
          <w:szCs w:val="24"/>
        </w:rPr>
      </w:pPr>
      <w:r w:rsidRPr="00631204">
        <w:rPr>
          <w:rFonts w:ascii="Times New Roman" w:eastAsia="Times New Roman" w:hAnsi="Times New Roman" w:cs="Times New Roman"/>
          <w:bCs/>
          <w:sz w:val="24"/>
          <w:szCs w:val="24"/>
        </w:rPr>
        <w:t xml:space="preserve">  </w:t>
      </w:r>
      <w:r w:rsidRPr="00EA2597">
        <w:rPr>
          <w:rFonts w:ascii="Times New Roman" w:hAnsi="Times New Roman" w:cs="Times New Roman"/>
          <w:bCs/>
          <w:sz w:val="24"/>
          <w:szCs w:val="24"/>
        </w:rPr>
        <w:t>Первая из названных моделей предусматривает вступление участника клиринга в качестве клирингового брокера в сделку с НКЦ на основании заявки, поданной участником торгов, действующим в своих интересах или в интересах своих клиентов (но не в интересах данного участника клиринга). В частности, участники торгов, не являющиеся участниками клиринга, смогут регистрировать для целей осуществления клиринга и расчетов на валютном рынке своих клиентов - юридических и физических лиц, в том числе нерезидентов. Вторая модель -  договор поручения применяется в соответствии с Правилами клиринга для тех случаев, когда участник торгов подает заявку в интересах непосредственно самого участника клиринга, который является стороной по сделке с ЦК.</w:t>
      </w:r>
      <w:r w:rsidRPr="00631204">
        <w:rPr>
          <w:rFonts w:ascii="Times New Roman" w:eastAsia="Times New Roman" w:hAnsi="Times New Roman" w:cs="Times New Roman"/>
          <w:bCs/>
          <w:sz w:val="24"/>
          <w:szCs w:val="24"/>
        </w:rPr>
        <w:t xml:space="preserve"> </w:t>
      </w:r>
    </w:p>
    <w:p w14:paraId="4B9485C3" w14:textId="77777777" w:rsidR="00631204" w:rsidRPr="00EA2597" w:rsidRDefault="00631204"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Для использования указанных юридических моделей участник клиринга при открытии расчетного кода будет указывать, какая из моделей будет использована с его участием при подаче заявок на заключения сделок, обязательства по которым будут учитываться и исполняться по такому расчетному коду. Реализация проекта позволит достичь более гибкого управления клиентскими позициями, а также использования биржевого риск-менеджмента по клиентским операциям.</w:t>
      </w:r>
    </w:p>
    <w:p w14:paraId="1BDC7A16" w14:textId="77777777" w:rsidR="00631204" w:rsidRPr="00631204"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631204">
        <w:rPr>
          <w:rFonts w:ascii="Times New Roman" w:eastAsia="Calibri" w:hAnsi="Times New Roman" w:cs="Times New Roman"/>
          <w:b/>
          <w:sz w:val="24"/>
          <w:szCs w:val="24"/>
        </w:rPr>
        <w:t>Проект «Клиринговый терминал»</w:t>
      </w:r>
      <w:r w:rsidR="0094395B">
        <w:rPr>
          <w:rFonts w:ascii="Times New Roman" w:eastAsia="Calibri" w:hAnsi="Times New Roman" w:cs="Times New Roman"/>
          <w:b/>
          <w:sz w:val="24"/>
          <w:szCs w:val="24"/>
        </w:rPr>
        <w:t xml:space="preserve"> (реализованы отдельные этапы)</w:t>
      </w:r>
    </w:p>
    <w:p w14:paraId="74445536" w14:textId="77777777" w:rsidR="00631204" w:rsidRPr="00631204" w:rsidRDefault="00631204" w:rsidP="00631204">
      <w:pPr>
        <w:spacing w:after="160" w:line="259" w:lineRule="auto"/>
        <w:contextualSpacing/>
        <w:rPr>
          <w:rFonts w:ascii="Times New Roman" w:eastAsia="Calibri" w:hAnsi="Times New Roman" w:cs="Times New Roman"/>
          <w:b/>
          <w:sz w:val="28"/>
          <w:szCs w:val="28"/>
        </w:rPr>
      </w:pPr>
    </w:p>
    <w:p w14:paraId="7C85F3CC"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Проект «Клиринговый терминал» реализовывается как веб-приложение, предоставляющее участникам следующие возможности:</w:t>
      </w:r>
    </w:p>
    <w:p w14:paraId="39E6CAA0"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наблюдать консолидированную по всем рынкам Московской Биржи информацию о своих и клиентских позициях, денежных средствах, обеспечении;</w:t>
      </w:r>
    </w:p>
    <w:p w14:paraId="65F83D28"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удаленно, безопасно, авторизовано в электронном виде подавать в НКЦ запросы, осуществлять неторговые транзакции, контролировать их исполнение и получать от биржи юридически значимые ответы.</w:t>
      </w:r>
    </w:p>
    <w:p w14:paraId="7F4F09FC" w14:textId="77777777" w:rsidR="00631204" w:rsidRPr="00631204" w:rsidRDefault="00631204" w:rsidP="00631204">
      <w:pPr>
        <w:spacing w:after="240" w:line="240" w:lineRule="auto"/>
        <w:ind w:firstLine="567"/>
        <w:jc w:val="both"/>
        <w:rPr>
          <w:rFonts w:ascii="Times New Roman" w:hAnsi="Times New Roman" w:cs="Times New Roman"/>
          <w:sz w:val="24"/>
          <w:szCs w:val="24"/>
        </w:rPr>
      </w:pPr>
    </w:p>
    <w:p w14:paraId="163EFC50"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Целью проекта является:</w:t>
      </w:r>
    </w:p>
    <w:p w14:paraId="096254F8"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повышение качества сервиса, предоставляемого участникам клиринга и участникам торгов:</w:t>
      </w:r>
    </w:p>
    <w:p w14:paraId="1C6261A6"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создание единой информационной системы «Клиринговый терминал», позволяющей участнику клиринга осуществлять мониторинг и операции со своими клиринговыми данными на всех рынках, по которым НКЦ выступает клиринговой организацией: фондовом, денежном, валютном, срочном (включая рынок СПФИ) и товарном рынках;</w:t>
      </w:r>
    </w:p>
    <w:p w14:paraId="0548CF96"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создание программного интерфейса (WEB-API) Клирингового терминала, позволяющего использовать функционал Клирингового терминала как участниками клиринга при разработке собственного ПО, так и для реализации операций единого пула в торговых терминалах, входящих в контур проекта «Единый пул обеспечения»;</w:t>
      </w:r>
    </w:p>
    <w:p w14:paraId="55505C65"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lastRenderedPageBreak/>
        <w:t>предоставление участникам торгов, не совпадающим в одном лице с участниками клиринга, возможности управления клиринговыми данными в соответствии с Правилами клиринга;</w:t>
      </w:r>
    </w:p>
    <w:p w14:paraId="06F583A9"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автоматизация ряда процессов за счет отказа от бумажного документооборота между участником клиринга и НКЦ;</w:t>
      </w:r>
    </w:p>
    <w:p w14:paraId="13C88C44"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сокращение времени обработки запросов участников клиринга;</w:t>
      </w:r>
    </w:p>
    <w:p w14:paraId="0FB9C414"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устранение прочих выявленных недостатков текущих систем;</w:t>
      </w:r>
    </w:p>
    <w:p w14:paraId="64A3EFA8" w14:textId="77777777" w:rsidR="00631204" w:rsidRPr="00631204" w:rsidRDefault="00631204" w:rsidP="00441380">
      <w:pPr>
        <w:numPr>
          <w:ilvl w:val="1"/>
          <w:numId w:val="8"/>
        </w:numPr>
        <w:spacing w:before="60" w:after="0" w:line="240" w:lineRule="auto"/>
        <w:ind w:left="709" w:firstLine="425"/>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сокращение издержек Группы «Московская биржа» на сопровождение ПО, предоставляемого участникам клиринга - поддержка и сопровождение нового ПО  будет осуществляться специалистами Группы удаленно со своих рабочих мест без выезда  на территорию участника клиринга.</w:t>
      </w:r>
    </w:p>
    <w:p w14:paraId="002DE94F" w14:textId="77777777" w:rsidR="00631204" w:rsidRPr="00631204" w:rsidRDefault="00631204" w:rsidP="00631204">
      <w:pPr>
        <w:spacing w:after="160" w:line="240" w:lineRule="auto"/>
        <w:contextualSpacing/>
        <w:rPr>
          <w:rFonts w:ascii="Times New Roman" w:eastAsia="Calibri" w:hAnsi="Times New Roman" w:cs="Times New Roman"/>
          <w:b/>
          <w:sz w:val="28"/>
          <w:szCs w:val="28"/>
        </w:rPr>
      </w:pPr>
    </w:p>
    <w:p w14:paraId="7C5C370A" w14:textId="77777777" w:rsidR="00631204" w:rsidRPr="007801F8" w:rsidRDefault="00631204" w:rsidP="00EA2597">
      <w:pPr>
        <w:spacing w:line="240" w:lineRule="auto"/>
        <w:ind w:firstLine="567"/>
        <w:jc w:val="both"/>
        <w:rPr>
          <w:rFonts w:ascii="Times New Roman" w:hAnsi="Times New Roman" w:cs="Times New Roman"/>
          <w:bCs/>
          <w:sz w:val="24"/>
          <w:szCs w:val="24"/>
        </w:rPr>
      </w:pPr>
      <w:r w:rsidRPr="00631204">
        <w:rPr>
          <w:rFonts w:ascii="Times New Roman" w:hAnsi="Times New Roman" w:cs="Times New Roman"/>
          <w:sz w:val="24"/>
          <w:szCs w:val="24"/>
        </w:rPr>
        <w:t xml:space="preserve">     </w:t>
      </w:r>
      <w:r w:rsidRPr="007801F8">
        <w:rPr>
          <w:rFonts w:ascii="Times New Roman" w:hAnsi="Times New Roman" w:cs="Times New Roman"/>
          <w:bCs/>
          <w:sz w:val="24"/>
          <w:szCs w:val="24"/>
        </w:rPr>
        <w:t>В отчетный период для реализации проекта проведены следующие мероприятия:</w:t>
      </w:r>
    </w:p>
    <w:p w14:paraId="78B87570"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реализована система W</w:t>
      </w:r>
      <w:r w:rsidRPr="00631204">
        <w:rPr>
          <w:rFonts w:ascii="Times New Roman" w:eastAsia="Times New Roman" w:hAnsi="Times New Roman" w:cs="Times New Roman"/>
          <w:bCs/>
          <w:noProof/>
          <w:sz w:val="24"/>
          <w:szCs w:val="24"/>
          <w:lang w:val="en-US" w:eastAsia="ru-RU"/>
        </w:rPr>
        <w:t>eb</w:t>
      </w:r>
      <w:r w:rsidRPr="00631204">
        <w:rPr>
          <w:rFonts w:ascii="Times New Roman" w:eastAsia="Times New Roman" w:hAnsi="Times New Roman" w:cs="Times New Roman"/>
          <w:bCs/>
          <w:noProof/>
          <w:sz w:val="24"/>
          <w:szCs w:val="24"/>
          <w:lang w:eastAsia="ru-RU"/>
        </w:rPr>
        <w:t xml:space="preserve">-клиринг – </w:t>
      </w:r>
      <w:r w:rsidR="000C6921">
        <w:rPr>
          <w:rFonts w:ascii="Times New Roman" w:eastAsia="Times New Roman" w:hAnsi="Times New Roman" w:cs="Times New Roman"/>
          <w:bCs/>
          <w:noProof/>
          <w:sz w:val="24"/>
          <w:szCs w:val="24"/>
          <w:lang w:eastAsia="ru-RU"/>
        </w:rPr>
        <w:t>программное обеспечение</w:t>
      </w:r>
      <w:r w:rsidR="00D85C20">
        <w:rPr>
          <w:rFonts w:ascii="Times New Roman" w:eastAsia="Times New Roman" w:hAnsi="Times New Roman" w:cs="Times New Roman"/>
          <w:bCs/>
          <w:noProof/>
          <w:sz w:val="24"/>
          <w:szCs w:val="24"/>
          <w:lang w:eastAsia="ru-RU"/>
        </w:rPr>
        <w:t xml:space="preserve">, </w:t>
      </w:r>
      <w:r w:rsidR="000C6921">
        <w:rPr>
          <w:rFonts w:ascii="Times New Roman" w:eastAsia="Times New Roman" w:hAnsi="Times New Roman" w:cs="Times New Roman"/>
          <w:bCs/>
          <w:noProof/>
          <w:sz w:val="24"/>
          <w:szCs w:val="24"/>
          <w:lang w:eastAsia="ru-RU"/>
        </w:rPr>
        <w:t>являющееся промежуточным звеном между УКРМ и</w:t>
      </w:r>
      <w:r w:rsidRPr="00631204">
        <w:rPr>
          <w:rFonts w:ascii="Times New Roman" w:eastAsia="Times New Roman" w:hAnsi="Times New Roman" w:cs="Times New Roman"/>
          <w:bCs/>
          <w:noProof/>
          <w:sz w:val="24"/>
          <w:szCs w:val="24"/>
          <w:lang w:eastAsia="ru-RU"/>
        </w:rPr>
        <w:t xml:space="preserve"> Клирингов</w:t>
      </w:r>
      <w:r w:rsidR="000C6921">
        <w:rPr>
          <w:rFonts w:ascii="Times New Roman" w:eastAsia="Times New Roman" w:hAnsi="Times New Roman" w:cs="Times New Roman"/>
          <w:bCs/>
          <w:noProof/>
          <w:sz w:val="24"/>
          <w:szCs w:val="24"/>
          <w:lang w:eastAsia="ru-RU"/>
        </w:rPr>
        <w:t>ым</w:t>
      </w:r>
      <w:r w:rsidRPr="00631204">
        <w:rPr>
          <w:rFonts w:ascii="Times New Roman" w:eastAsia="Times New Roman" w:hAnsi="Times New Roman" w:cs="Times New Roman"/>
          <w:bCs/>
          <w:noProof/>
          <w:sz w:val="24"/>
          <w:szCs w:val="24"/>
          <w:lang w:eastAsia="ru-RU"/>
        </w:rPr>
        <w:t xml:space="preserve"> терминал</w:t>
      </w:r>
      <w:r w:rsidR="000C6921">
        <w:rPr>
          <w:rFonts w:ascii="Times New Roman" w:eastAsia="Times New Roman" w:hAnsi="Times New Roman" w:cs="Times New Roman"/>
          <w:bCs/>
          <w:noProof/>
          <w:sz w:val="24"/>
          <w:szCs w:val="24"/>
          <w:lang w:eastAsia="ru-RU"/>
        </w:rPr>
        <w:t>ом.</w:t>
      </w:r>
      <w:r w:rsidRPr="00631204">
        <w:rPr>
          <w:rFonts w:ascii="Times New Roman" w:eastAsia="Times New Roman" w:hAnsi="Times New Roman" w:cs="Times New Roman"/>
          <w:bCs/>
          <w:noProof/>
          <w:sz w:val="24"/>
          <w:szCs w:val="24"/>
          <w:lang w:eastAsia="ru-RU"/>
        </w:rPr>
        <w:t xml:space="preserve"> </w:t>
      </w:r>
      <w:r w:rsidR="000C6921">
        <w:rPr>
          <w:rFonts w:ascii="Times New Roman" w:eastAsia="Times New Roman" w:hAnsi="Times New Roman" w:cs="Times New Roman"/>
          <w:bCs/>
          <w:noProof/>
          <w:sz w:val="24"/>
          <w:szCs w:val="24"/>
          <w:lang w:eastAsia="ru-RU"/>
        </w:rPr>
        <w:t>Реализованное ПО</w:t>
      </w:r>
      <w:r w:rsidRPr="00631204">
        <w:rPr>
          <w:rFonts w:ascii="Times New Roman" w:eastAsia="Times New Roman" w:hAnsi="Times New Roman" w:cs="Times New Roman"/>
          <w:bCs/>
          <w:noProof/>
          <w:sz w:val="24"/>
          <w:szCs w:val="24"/>
          <w:lang w:eastAsia="ru-RU"/>
        </w:rPr>
        <w:t xml:space="preserve"> обеспечивает</w:t>
      </w:r>
      <w:r w:rsidR="000C6921">
        <w:rPr>
          <w:rFonts w:ascii="Times New Roman" w:eastAsia="Times New Roman" w:hAnsi="Times New Roman" w:cs="Times New Roman"/>
          <w:bCs/>
          <w:noProof/>
          <w:sz w:val="24"/>
          <w:szCs w:val="24"/>
          <w:lang w:eastAsia="ru-RU"/>
        </w:rPr>
        <w:t xml:space="preserve"> следующие функции</w:t>
      </w:r>
      <w:r w:rsidRPr="00631204">
        <w:rPr>
          <w:rFonts w:ascii="Times New Roman" w:eastAsia="Times New Roman" w:hAnsi="Times New Roman" w:cs="Times New Roman"/>
          <w:bCs/>
          <w:noProof/>
          <w:sz w:val="24"/>
          <w:szCs w:val="24"/>
          <w:lang w:eastAsia="ru-RU"/>
        </w:rPr>
        <w:t>:</w:t>
      </w:r>
    </w:p>
    <w:p w14:paraId="577E4D30"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удобный web-интерфейс (ориентирован на работу с операциями),</w:t>
      </w:r>
    </w:p>
    <w:p w14:paraId="2363FBE3"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приемлемаую скорость ответа системы ,</w:t>
      </w:r>
    </w:p>
    <w:p w14:paraId="4DC2F7F3"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 xml:space="preserve">аутентификацию: сертификат ключа ЭДО, </w:t>
      </w:r>
    </w:p>
    <w:p w14:paraId="4BAEFFDE"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возможность подготовки шаблонов документов для стандартных запросов (можно сохранять с мнемоническим именем),</w:t>
      </w:r>
    </w:p>
    <w:p w14:paraId="139AB248"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возможность двух подписей документов (опция задается при подключении к Web-клирингу),</w:t>
      </w:r>
    </w:p>
    <w:p w14:paraId="30B62456"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единый интерфейс для фондового и валютного рынков,</w:t>
      </w:r>
    </w:p>
    <w:p w14:paraId="569CC936" w14:textId="77777777" w:rsidR="00631204" w:rsidRPr="00631204" w:rsidRDefault="00631204"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наличие всех заявления, имеющиеся на текущий момент в УКРМ.</w:t>
      </w:r>
    </w:p>
    <w:p w14:paraId="57E011E1"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 xml:space="preserve">разработаны и согласованы документы, описывающие изменения в программном обеспечении, необходимые для реализации проекта (отказ от </w:t>
      </w:r>
      <w:r w:rsidRPr="00631204">
        <w:rPr>
          <w:rFonts w:ascii="Times New Roman" w:eastAsia="Times New Roman" w:hAnsi="Times New Roman" w:cs="Times New Roman"/>
          <w:bCs/>
          <w:noProof/>
          <w:sz w:val="24"/>
          <w:szCs w:val="24"/>
          <w:lang w:val="en-US" w:eastAsia="ru-RU"/>
        </w:rPr>
        <w:t>Web</w:t>
      </w:r>
      <w:r w:rsidRPr="00631204">
        <w:rPr>
          <w:rFonts w:ascii="Times New Roman" w:eastAsia="Times New Roman" w:hAnsi="Times New Roman" w:cs="Times New Roman"/>
          <w:bCs/>
          <w:noProof/>
          <w:sz w:val="24"/>
          <w:szCs w:val="24"/>
          <w:lang w:eastAsia="ru-RU"/>
        </w:rPr>
        <w:t>-клиринга и УКРМ и переход на Клиринговый терминал);</w:t>
      </w:r>
    </w:p>
    <w:p w14:paraId="4A1AC8D8" w14:textId="77777777" w:rsidR="00631204" w:rsidRPr="00631204" w:rsidRDefault="00631204"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631204">
        <w:rPr>
          <w:rFonts w:ascii="Times New Roman" w:eastAsia="Times New Roman" w:hAnsi="Times New Roman" w:cs="Times New Roman"/>
          <w:bCs/>
          <w:noProof/>
          <w:sz w:val="24"/>
          <w:szCs w:val="24"/>
          <w:lang w:eastAsia="ru-RU"/>
        </w:rPr>
        <w:t>осуществляется разработка программного обеспечения, необходимого для запуска проекта.</w:t>
      </w:r>
    </w:p>
    <w:p w14:paraId="0097D3B9" w14:textId="77777777" w:rsidR="00631204" w:rsidRPr="00631204" w:rsidRDefault="00631204" w:rsidP="00631204">
      <w:pPr>
        <w:spacing w:after="160" w:line="240" w:lineRule="auto"/>
        <w:contextualSpacing/>
        <w:rPr>
          <w:rFonts w:ascii="Times New Roman" w:eastAsia="Calibri" w:hAnsi="Times New Roman" w:cs="Times New Roman"/>
          <w:b/>
          <w:sz w:val="28"/>
          <w:szCs w:val="28"/>
        </w:rPr>
      </w:pPr>
    </w:p>
    <w:p w14:paraId="5BA21E19" w14:textId="77777777" w:rsidR="00631204" w:rsidRPr="00457C0B" w:rsidRDefault="00631204" w:rsidP="00441380">
      <w:pPr>
        <w:numPr>
          <w:ilvl w:val="0"/>
          <w:numId w:val="20"/>
        </w:numPr>
        <w:spacing w:after="160" w:line="259" w:lineRule="auto"/>
        <w:contextualSpacing/>
        <w:jc w:val="center"/>
        <w:rPr>
          <w:rFonts w:ascii="Times New Roman" w:eastAsia="Calibri" w:hAnsi="Times New Roman" w:cs="Times New Roman"/>
          <w:b/>
          <w:sz w:val="24"/>
          <w:szCs w:val="24"/>
        </w:rPr>
      </w:pPr>
      <w:r w:rsidRPr="00457C0B">
        <w:rPr>
          <w:rFonts w:ascii="Times New Roman" w:eastAsia="Calibri" w:hAnsi="Times New Roman" w:cs="Times New Roman"/>
          <w:b/>
          <w:sz w:val="24"/>
          <w:szCs w:val="24"/>
        </w:rPr>
        <w:t>Создана возможность для участников рынка стандартизированных ПФИ заключать через ЦК внебиржевые сделки с деривативами</w:t>
      </w:r>
    </w:p>
    <w:p w14:paraId="75698045" w14:textId="0DE37F8E" w:rsidR="00982F15" w:rsidRDefault="00982F15" w:rsidP="00916EF5">
      <w:pPr>
        <w:spacing w:line="240" w:lineRule="auto"/>
        <w:contextualSpacing/>
        <w:jc w:val="center"/>
        <w:rPr>
          <w:rFonts w:ascii="Times New Roman" w:eastAsia="Calibri" w:hAnsi="Times New Roman" w:cs="Times New Roman"/>
          <w:sz w:val="24"/>
          <w:szCs w:val="24"/>
        </w:rPr>
      </w:pPr>
    </w:p>
    <w:p w14:paraId="6B6ABE8A" w14:textId="77777777" w:rsidR="00631204" w:rsidRPr="00EA2597" w:rsidRDefault="00982F15"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631204" w:rsidRPr="00EA2597">
        <w:rPr>
          <w:rFonts w:ascii="Times New Roman" w:hAnsi="Times New Roman" w:cs="Times New Roman"/>
          <w:bCs/>
          <w:sz w:val="24"/>
          <w:szCs w:val="24"/>
        </w:rPr>
        <w:t>Проект реализован для валютных и процентных свопов, валютных форвардных сделок. Это позволило участникам рынка минимизировать свои риски.  ЦК также взял на себя функцию репортинга заключенных через него внебиржевых сделок в репозитарий, что упростило участникам предоставление отчетности по этому виду сделок.</w:t>
      </w:r>
    </w:p>
    <w:p w14:paraId="791CAE7D" w14:textId="77777777" w:rsidR="00631204" w:rsidRPr="00631204" w:rsidRDefault="00631204" w:rsidP="00631204">
      <w:pPr>
        <w:spacing w:line="240" w:lineRule="auto"/>
        <w:contextualSpacing/>
        <w:jc w:val="both"/>
        <w:rPr>
          <w:rFonts w:ascii="Times New Roman" w:eastAsia="Calibri" w:hAnsi="Times New Roman" w:cs="Times New Roman"/>
          <w:sz w:val="24"/>
          <w:szCs w:val="24"/>
        </w:rPr>
      </w:pPr>
    </w:p>
    <w:p w14:paraId="5C5EE313" w14:textId="77777777" w:rsidR="00631204" w:rsidRDefault="00631204" w:rsidP="00441380">
      <w:pPr>
        <w:numPr>
          <w:ilvl w:val="0"/>
          <w:numId w:val="20"/>
        </w:numPr>
        <w:spacing w:after="160" w:line="259" w:lineRule="auto"/>
        <w:contextualSpacing/>
        <w:rPr>
          <w:rFonts w:ascii="Times New Roman" w:eastAsia="Calibri" w:hAnsi="Times New Roman" w:cs="Times New Roman"/>
          <w:b/>
          <w:sz w:val="24"/>
          <w:szCs w:val="24"/>
        </w:rPr>
      </w:pPr>
      <w:r w:rsidRPr="00457C0B">
        <w:rPr>
          <w:rFonts w:ascii="Times New Roman" w:eastAsia="Calibri" w:hAnsi="Times New Roman" w:cs="Times New Roman"/>
          <w:b/>
          <w:sz w:val="24"/>
          <w:szCs w:val="24"/>
        </w:rPr>
        <w:t xml:space="preserve">Введено маржирование по расчетным кодам на срочном рынке, внедрение межпродуктовых спредов </w:t>
      </w:r>
      <w:r w:rsidR="001C1178" w:rsidRPr="00457C0B">
        <w:rPr>
          <w:rFonts w:ascii="Times New Roman" w:eastAsia="Calibri" w:hAnsi="Times New Roman" w:cs="Times New Roman"/>
          <w:b/>
          <w:sz w:val="24"/>
          <w:szCs w:val="24"/>
        </w:rPr>
        <w:t xml:space="preserve">по EUR и USD </w:t>
      </w:r>
      <w:r w:rsidRPr="00457C0B">
        <w:rPr>
          <w:rFonts w:ascii="Times New Roman" w:eastAsia="Calibri" w:hAnsi="Times New Roman" w:cs="Times New Roman"/>
          <w:b/>
          <w:sz w:val="24"/>
          <w:szCs w:val="24"/>
        </w:rPr>
        <w:t>на валютном рынке в рамках унификации подходов к системе маржирования на всех рынках Московской Биржи.</w:t>
      </w:r>
    </w:p>
    <w:p w14:paraId="3F3A3EDF" w14:textId="77777777" w:rsidR="00457C0B" w:rsidRPr="00457C0B" w:rsidRDefault="00457C0B" w:rsidP="00457C0B">
      <w:pPr>
        <w:spacing w:after="160" w:line="259" w:lineRule="auto"/>
        <w:ind w:left="1069"/>
        <w:contextualSpacing/>
        <w:rPr>
          <w:rFonts w:ascii="Times New Roman" w:eastAsia="Calibri" w:hAnsi="Times New Roman" w:cs="Times New Roman"/>
          <w:b/>
          <w:sz w:val="24"/>
          <w:szCs w:val="24"/>
        </w:rPr>
      </w:pPr>
    </w:p>
    <w:p w14:paraId="388ACB3A" w14:textId="77777777" w:rsidR="003A4FE5" w:rsidRPr="00631204" w:rsidRDefault="003A4FE5" w:rsidP="00441380">
      <w:pPr>
        <w:numPr>
          <w:ilvl w:val="0"/>
          <w:numId w:val="24"/>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В рамках развития системы управления всеми видами рисков Банка НКЦ (АО) у</w:t>
      </w:r>
      <w:r>
        <w:rPr>
          <w:rFonts w:ascii="Times New Roman" w:eastAsia="Calibri" w:hAnsi="Times New Roman" w:cs="Times New Roman"/>
          <w:sz w:val="24"/>
          <w:szCs w:val="24"/>
        </w:rPr>
        <w:t>совершенствована</w:t>
      </w:r>
      <w:r w:rsidRPr="00631204">
        <w:rPr>
          <w:rFonts w:ascii="Times New Roman" w:eastAsia="Calibri" w:hAnsi="Times New Roman" w:cs="Times New Roman"/>
          <w:b/>
          <w:sz w:val="24"/>
          <w:szCs w:val="24"/>
        </w:rPr>
        <w:t xml:space="preserve"> </w:t>
      </w:r>
      <w:r w:rsidRPr="00631204">
        <w:rPr>
          <w:rFonts w:ascii="Times New Roman" w:eastAsia="Calibri" w:hAnsi="Times New Roman" w:cs="Times New Roman"/>
          <w:sz w:val="24"/>
          <w:szCs w:val="24"/>
        </w:rPr>
        <w:t>структура уровней защиты ЦК за счет внедрения следующих изменений:</w:t>
      </w:r>
    </w:p>
    <w:p w14:paraId="3FA33E39" w14:textId="77777777" w:rsidR="003A4FE5" w:rsidRPr="00631204" w:rsidRDefault="003A4FE5" w:rsidP="003A4FE5">
      <w:pPr>
        <w:spacing w:after="0" w:line="240" w:lineRule="auto"/>
        <w:ind w:left="360"/>
        <w:contextualSpacing/>
        <w:jc w:val="both"/>
        <w:rPr>
          <w:rFonts w:ascii="Times New Roman" w:eastAsia="Calibri" w:hAnsi="Times New Roman" w:cs="Times New Roman"/>
          <w:sz w:val="24"/>
          <w:szCs w:val="24"/>
        </w:rPr>
      </w:pPr>
    </w:p>
    <w:p w14:paraId="7496D57D" w14:textId="77777777" w:rsidR="003A4FE5" w:rsidRPr="00631204" w:rsidRDefault="003A4FE5" w:rsidP="00441380">
      <w:pPr>
        <w:numPr>
          <w:ilvl w:val="0"/>
          <w:numId w:val="26"/>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lastRenderedPageBreak/>
        <w:t>на валютном, фондовом и срочном рынках Московской Биржи внедрено обеспечение под стресс, которое является дополнительным уровнем защиты от риска дефолта контрагентов ЦК. Обеспечение под стресс имеет статус индивидуального клирингового обеспечения и служит дополнительным покрытием рисков по концентрированным позициям участников в случае реализации стрессовых рыночных сценариев. Его размер определяется исходя из уровня риска по позициям участников клиринга, не покрытого их индивидуальным клиринговым обеспечением, а также существующими коллективными фондами и выделенным капиталом ЦК;</w:t>
      </w:r>
    </w:p>
    <w:p w14:paraId="598912DF" w14:textId="77777777" w:rsidR="003A4FE5" w:rsidRPr="00631204" w:rsidRDefault="003A4FE5" w:rsidP="00441380">
      <w:pPr>
        <w:numPr>
          <w:ilvl w:val="0"/>
          <w:numId w:val="26"/>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Банк увеличил размер выделенного капитала ЦК на 3 млрд рублей до 9,5 млрд рублей, введя дополнительный выделенный капитал для всех биржевых рынков. Эти дополнительные средства – вклад Банка в повышение надежности биржевых рынков;</w:t>
      </w:r>
    </w:p>
    <w:p w14:paraId="7AA5D597" w14:textId="77777777" w:rsidR="003A4FE5" w:rsidRPr="00631204" w:rsidRDefault="003A4FE5" w:rsidP="00441380">
      <w:pPr>
        <w:numPr>
          <w:ilvl w:val="0"/>
          <w:numId w:val="26"/>
        </w:numPr>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sz w:val="24"/>
          <w:szCs w:val="24"/>
        </w:rPr>
        <w:t>НКЦ и ПАО Московская Биржа заключили соглашение, в соответствии с которым ПАО Московская Биржа вносит денежные средства в гарантийный фонд одного или нескольких биржевых рынков по требованию НКЦ в размере до 5 млрд руб.</w:t>
      </w:r>
    </w:p>
    <w:p w14:paraId="4700073A" w14:textId="77777777" w:rsidR="003A4FE5" w:rsidRPr="00631204" w:rsidRDefault="003A4FE5" w:rsidP="003A4FE5">
      <w:pPr>
        <w:spacing w:after="120" w:line="240" w:lineRule="auto"/>
        <w:ind w:left="717"/>
        <w:jc w:val="both"/>
        <w:rPr>
          <w:rFonts w:ascii="Times New Roman" w:hAnsi="Times New Roman"/>
          <w:bCs/>
          <w:kern w:val="24"/>
          <w:sz w:val="24"/>
          <w:szCs w:val="24"/>
          <w:lang w:val="en-US"/>
        </w:rPr>
      </w:pPr>
    </w:p>
    <w:p w14:paraId="67222232" w14:textId="77777777" w:rsidR="003A4FE5" w:rsidRPr="00631204" w:rsidRDefault="003A4FE5" w:rsidP="00441380">
      <w:pPr>
        <w:numPr>
          <w:ilvl w:val="0"/>
          <w:numId w:val="24"/>
        </w:numPr>
        <w:spacing w:after="120" w:line="240" w:lineRule="auto"/>
        <w:contextualSpacing/>
        <w:jc w:val="both"/>
        <w:rPr>
          <w:rFonts w:ascii="Times New Roman" w:eastAsia="Calibri" w:hAnsi="Times New Roman" w:cs="Times New Roman"/>
          <w:bCs/>
          <w:kern w:val="24"/>
          <w:sz w:val="24"/>
          <w:szCs w:val="24"/>
        </w:rPr>
      </w:pPr>
      <w:r w:rsidRPr="00631204">
        <w:rPr>
          <w:rFonts w:ascii="Times New Roman" w:eastAsia="Calibri" w:hAnsi="Times New Roman" w:cs="Times New Roman"/>
          <w:b/>
          <w:bCs/>
          <w:kern w:val="24"/>
          <w:sz w:val="24"/>
          <w:szCs w:val="24"/>
          <w:lang w:val="en-US"/>
        </w:rPr>
        <w:t>C</w:t>
      </w:r>
      <w:r w:rsidRPr="00631204">
        <w:rPr>
          <w:rFonts w:ascii="Times New Roman" w:eastAsia="Calibri" w:hAnsi="Times New Roman" w:cs="Times New Roman"/>
          <w:b/>
          <w:bCs/>
          <w:kern w:val="24"/>
          <w:sz w:val="24"/>
          <w:szCs w:val="24"/>
        </w:rPr>
        <w:t>оздан новый сервис по расчету индикативных ставок риска на фондовом рынке</w:t>
      </w:r>
      <w:r w:rsidRPr="00631204">
        <w:rPr>
          <w:rFonts w:ascii="Times New Roman" w:eastAsia="Calibri" w:hAnsi="Times New Roman" w:cs="Times New Roman"/>
          <w:bCs/>
          <w:kern w:val="24"/>
          <w:sz w:val="24"/>
          <w:szCs w:val="24"/>
        </w:rPr>
        <w:t>, которые могут быть использованы брокерами - участниками торгов на Московской Бирже для расчета ставок риска по клиентским операциям. Для клиентов подобный сервис позволит снизить операционные издержки на поддержку брокерской деятельности. Для Банка такой сервис представляет собой еще один, дополнительный, уровень рискозащищенности.</w:t>
      </w:r>
    </w:p>
    <w:p w14:paraId="2386C81C" w14:textId="77777777" w:rsidR="003A4FE5" w:rsidRPr="00631204" w:rsidRDefault="003A4FE5" w:rsidP="003A4FE5">
      <w:pPr>
        <w:spacing w:after="0" w:line="240" w:lineRule="auto"/>
        <w:ind w:left="1077"/>
        <w:contextualSpacing/>
        <w:jc w:val="both"/>
        <w:rPr>
          <w:rFonts w:ascii="Times New Roman" w:eastAsia="Calibri" w:hAnsi="Times New Roman" w:cs="Times New Roman"/>
          <w:sz w:val="24"/>
          <w:szCs w:val="24"/>
        </w:rPr>
      </w:pPr>
    </w:p>
    <w:p w14:paraId="04B79BE3" w14:textId="77777777" w:rsidR="003A4FE5" w:rsidRPr="00631204" w:rsidRDefault="003A4FE5" w:rsidP="00441380">
      <w:pPr>
        <w:numPr>
          <w:ilvl w:val="0"/>
          <w:numId w:val="24"/>
        </w:numPr>
        <w:spacing w:after="160" w:line="240" w:lineRule="auto"/>
        <w:contextualSpacing/>
        <w:jc w:val="both"/>
        <w:rPr>
          <w:rFonts w:ascii="Times New Roman" w:eastAsia="Calibri" w:hAnsi="Times New Roman" w:cs="Times New Roman"/>
          <w:b/>
          <w:sz w:val="24"/>
          <w:szCs w:val="24"/>
        </w:rPr>
      </w:pPr>
      <w:r w:rsidRPr="00631204">
        <w:rPr>
          <w:rFonts w:ascii="Times New Roman" w:eastAsia="Calibri" w:hAnsi="Times New Roman" w:cs="Times New Roman"/>
          <w:b/>
          <w:color w:val="000000"/>
          <w:sz w:val="24"/>
          <w:szCs w:val="24"/>
        </w:rPr>
        <w:t xml:space="preserve">Международное рейтинговое агентство Fitch Ratings подтвердило долгосрочный рейтинг </w:t>
      </w:r>
      <w:r w:rsidRPr="00631204">
        <w:rPr>
          <w:rFonts w:ascii="Times New Roman" w:eastAsia="Calibri" w:hAnsi="Times New Roman" w:cs="Times New Roman"/>
          <w:color w:val="000000"/>
          <w:sz w:val="24"/>
          <w:szCs w:val="24"/>
        </w:rPr>
        <w:t>дефолта эмитента (РДЭ) в национальной валюте Банка НКЦ (АО) на уровне "ВВВ" и рейтинг устойчивости – "</w:t>
      </w:r>
      <w:r w:rsidRPr="00631204">
        <w:rPr>
          <w:rFonts w:ascii="Times New Roman" w:eastAsia="Calibri" w:hAnsi="Times New Roman" w:cs="Times New Roman"/>
          <w:color w:val="000000"/>
          <w:sz w:val="24"/>
          <w:szCs w:val="24"/>
          <w:lang w:val="en-US"/>
        </w:rPr>
        <w:t>bbb</w:t>
      </w:r>
      <w:r w:rsidRPr="00631204">
        <w:rPr>
          <w:rFonts w:ascii="Times New Roman" w:eastAsia="Calibri" w:hAnsi="Times New Roman" w:cs="Times New Roman"/>
          <w:color w:val="000000"/>
          <w:sz w:val="24"/>
          <w:szCs w:val="24"/>
        </w:rPr>
        <w:t xml:space="preserve">", на один пункт выше суверенного рейтинга Российской Федерации – "ВВВ-". В октябре 2016 г. рейтинговое агентство Fitch </w:t>
      </w:r>
      <w:r w:rsidRPr="00631204">
        <w:rPr>
          <w:rFonts w:ascii="Times New Roman" w:eastAsia="Calibri" w:hAnsi="Times New Roman" w:cs="Times New Roman"/>
          <w:color w:val="000000"/>
          <w:sz w:val="24"/>
          <w:szCs w:val="24"/>
          <w:lang w:val="en-US"/>
        </w:rPr>
        <w:t>Ratings</w:t>
      </w:r>
      <w:r w:rsidRPr="00631204">
        <w:rPr>
          <w:rFonts w:ascii="Times New Roman" w:eastAsia="Calibri" w:hAnsi="Times New Roman" w:cs="Times New Roman"/>
          <w:color w:val="000000"/>
          <w:sz w:val="24"/>
          <w:szCs w:val="24"/>
        </w:rPr>
        <w:t xml:space="preserve"> подтвердило рейтинг дефолта эмитента (РДЭ) и рейтинг долговых обязательств НКЦ, а также пересмотрело прогноз по рейтингам Банка на «стабильный» вслед за изменением прогноза по суверенному рейтингу РФ.</w:t>
      </w:r>
    </w:p>
    <w:p w14:paraId="12E41268" w14:textId="77777777" w:rsidR="003A4FE5" w:rsidRPr="00631204" w:rsidRDefault="003A4FE5" w:rsidP="003A4FE5">
      <w:pPr>
        <w:spacing w:line="240" w:lineRule="auto"/>
        <w:ind w:left="360"/>
        <w:contextualSpacing/>
        <w:jc w:val="both"/>
        <w:rPr>
          <w:rFonts w:ascii="Times New Roman" w:eastAsia="Calibri" w:hAnsi="Times New Roman" w:cs="Times New Roman"/>
          <w:b/>
          <w:sz w:val="24"/>
          <w:szCs w:val="24"/>
        </w:rPr>
      </w:pPr>
    </w:p>
    <w:p w14:paraId="52A2E96F" w14:textId="77777777" w:rsidR="003A4FE5" w:rsidRPr="00631204" w:rsidRDefault="003A4FE5" w:rsidP="00441380">
      <w:pPr>
        <w:numPr>
          <w:ilvl w:val="0"/>
          <w:numId w:val="24"/>
        </w:numPr>
        <w:spacing w:after="12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b/>
          <w:sz w:val="24"/>
          <w:szCs w:val="24"/>
        </w:rPr>
        <w:t>Подтверждено соответствие внедренной в НКЦ Системы менеджмента качества требованиям Стандарта ISO 9001:2015</w:t>
      </w:r>
      <w:r w:rsidRPr="00631204">
        <w:rPr>
          <w:rFonts w:ascii="Times New Roman" w:eastAsia="Calibri" w:hAnsi="Times New Roman" w:cs="Times New Roman"/>
          <w:sz w:val="24"/>
          <w:szCs w:val="24"/>
        </w:rPr>
        <w:t>, что является важным дополнительным элементом системы управления рисками, нацеленным на повышение зрелости и качества управления центрального контрагента.</w:t>
      </w:r>
    </w:p>
    <w:p w14:paraId="4EE2365E" w14:textId="77777777" w:rsidR="003A4FE5" w:rsidRPr="00631204" w:rsidRDefault="003A4FE5" w:rsidP="003A4FE5">
      <w:pPr>
        <w:spacing w:line="240" w:lineRule="auto"/>
        <w:ind w:left="720"/>
        <w:contextualSpacing/>
        <w:jc w:val="both"/>
        <w:rPr>
          <w:rFonts w:ascii="Times New Roman" w:eastAsia="Calibri" w:hAnsi="Times New Roman" w:cs="Times New Roman"/>
          <w:bCs/>
          <w:kern w:val="24"/>
          <w:sz w:val="24"/>
          <w:szCs w:val="24"/>
        </w:rPr>
      </w:pPr>
    </w:p>
    <w:p w14:paraId="574C9554" w14:textId="77777777" w:rsidR="003A4FE5" w:rsidRPr="00631204" w:rsidRDefault="003A4FE5" w:rsidP="00441380">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31204">
        <w:rPr>
          <w:rFonts w:ascii="Times New Roman" w:eastAsia="Calibri" w:hAnsi="Times New Roman" w:cs="Times New Roman"/>
          <w:b/>
          <w:sz w:val="24"/>
          <w:szCs w:val="24"/>
        </w:rPr>
        <w:t xml:space="preserve">Введена в действие новая редакция Правил внутреннего контроля Банка НКЦ (АО) в области противодействия легализации (отмыванию) доходов, полученных преступным путем, и финансированию терроризма. </w:t>
      </w:r>
    </w:p>
    <w:p w14:paraId="3009A7E9" w14:textId="77777777" w:rsidR="003A4FE5" w:rsidRPr="00631204" w:rsidRDefault="003A4FE5" w:rsidP="003A4FE5">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631204">
        <w:rPr>
          <w:rFonts w:ascii="Times New Roman" w:eastAsia="Calibri" w:hAnsi="Times New Roman" w:cs="Times New Roman"/>
          <w:b/>
          <w:sz w:val="24"/>
          <w:szCs w:val="24"/>
        </w:rPr>
        <w:t xml:space="preserve">     </w:t>
      </w:r>
      <w:r w:rsidRPr="00631204">
        <w:rPr>
          <w:rFonts w:ascii="Times New Roman" w:eastAsia="Calibri" w:hAnsi="Times New Roman" w:cs="Times New Roman"/>
          <w:sz w:val="24"/>
          <w:szCs w:val="24"/>
        </w:rPr>
        <w:t>В новых правилах, учтены изменения законодательства в области ПОД/ФТ, включая установление новых требований по идентификации клиентов, представителей клиента, выгодоприобретателей и бенефициарных владельцев, а также требования открытия банковского счета клиенту-юридическому лицу только в случае личного присутствия представителя такого клиента.</w:t>
      </w:r>
    </w:p>
    <w:p w14:paraId="7D7B5ACD" w14:textId="77777777" w:rsidR="00631204" w:rsidRPr="00631204" w:rsidRDefault="00631204" w:rsidP="00631204">
      <w:pPr>
        <w:spacing w:line="240" w:lineRule="auto"/>
        <w:contextualSpacing/>
        <w:jc w:val="both"/>
        <w:rPr>
          <w:rFonts w:ascii="Times New Roman" w:eastAsia="Calibri" w:hAnsi="Times New Roman" w:cs="Times New Roman"/>
          <w:sz w:val="24"/>
          <w:szCs w:val="24"/>
        </w:rPr>
      </w:pPr>
    </w:p>
    <w:p w14:paraId="00575D6B" w14:textId="77777777" w:rsidR="00631204" w:rsidRPr="00631204" w:rsidRDefault="00631204" w:rsidP="00631204">
      <w:pPr>
        <w:ind w:left="708"/>
        <w:rPr>
          <w:rFonts w:ascii="Calibri" w:eastAsia="Calibri" w:hAnsi="Calibri" w:cs="Times New Roman"/>
        </w:rPr>
      </w:pPr>
    </w:p>
    <w:p w14:paraId="32A77790" w14:textId="77777777" w:rsidR="00631204" w:rsidRPr="00631204" w:rsidRDefault="00631204" w:rsidP="00631204">
      <w:pPr>
        <w:contextualSpacing/>
        <w:jc w:val="both"/>
        <w:rPr>
          <w:rFonts w:ascii="Calibri" w:eastAsia="Calibri" w:hAnsi="Calibri" w:cs="Times New Roman"/>
          <w:b/>
          <w:i/>
        </w:rPr>
      </w:pPr>
      <w:r w:rsidRPr="00631204">
        <w:rPr>
          <w:rFonts w:ascii="Times New Roman" w:eastAsia="Calibri" w:hAnsi="Times New Roman" w:cs="Times New Roman"/>
          <w:b/>
          <w:i/>
          <w:sz w:val="24"/>
          <w:szCs w:val="24"/>
        </w:rPr>
        <w:t xml:space="preserve">Надежное исполнение своих обязательств перед участниками клиринга и успешная реализация бизнес проектов по развитию клиентоориентированных клиринговых услуг </w:t>
      </w:r>
      <w:r w:rsidRPr="00631204">
        <w:rPr>
          <w:rFonts w:ascii="Times New Roman" w:eastAsia="Calibri" w:hAnsi="Times New Roman" w:cs="Times New Roman"/>
          <w:b/>
          <w:i/>
          <w:sz w:val="24"/>
          <w:szCs w:val="24"/>
        </w:rPr>
        <w:lastRenderedPageBreak/>
        <w:t>позволили обеспечить существенное увеличение объемов</w:t>
      </w:r>
      <w:r w:rsidR="008969BC">
        <w:rPr>
          <w:rFonts w:ascii="Times New Roman" w:eastAsia="Calibri" w:hAnsi="Times New Roman" w:cs="Times New Roman"/>
          <w:b/>
          <w:i/>
          <w:sz w:val="24"/>
          <w:szCs w:val="24"/>
        </w:rPr>
        <w:t>,</w:t>
      </w:r>
      <w:r w:rsidRPr="00631204">
        <w:rPr>
          <w:rFonts w:ascii="Times New Roman" w:eastAsia="Calibri" w:hAnsi="Times New Roman" w:cs="Times New Roman"/>
          <w:b/>
          <w:i/>
          <w:sz w:val="24"/>
          <w:szCs w:val="24"/>
        </w:rPr>
        <w:t xml:space="preserve"> оказанных участникам клиринга услуг.</w:t>
      </w:r>
      <w:r w:rsidRPr="00631204">
        <w:rPr>
          <w:rFonts w:ascii="Calibri" w:eastAsia="Calibri" w:hAnsi="Calibri" w:cs="Times New Roman"/>
          <w:b/>
          <w:i/>
        </w:rPr>
        <w:t xml:space="preserve"> </w:t>
      </w:r>
    </w:p>
    <w:p w14:paraId="5DA290CD" w14:textId="77777777" w:rsidR="00631204" w:rsidRPr="00631204" w:rsidRDefault="00631204" w:rsidP="00631204">
      <w:pPr>
        <w:autoSpaceDE w:val="0"/>
        <w:autoSpaceDN w:val="0"/>
        <w:adjustRightInd w:val="0"/>
        <w:spacing w:after="0" w:line="240" w:lineRule="auto"/>
        <w:ind w:left="360"/>
        <w:jc w:val="both"/>
        <w:rPr>
          <w:rFonts w:ascii="Times New Roman" w:hAnsi="Times New Roman" w:cs="Times New Roman"/>
          <w:bCs/>
          <w:sz w:val="24"/>
          <w:szCs w:val="24"/>
        </w:rPr>
      </w:pPr>
    </w:p>
    <w:p w14:paraId="4099E742" w14:textId="77777777" w:rsidR="00631204" w:rsidRPr="00631204" w:rsidRDefault="00631204" w:rsidP="00631204">
      <w:pPr>
        <w:tabs>
          <w:tab w:val="right" w:pos="9356"/>
        </w:tabs>
        <w:autoSpaceDE w:val="0"/>
        <w:autoSpaceDN w:val="0"/>
        <w:spacing w:after="0" w:line="360" w:lineRule="auto"/>
        <w:ind w:firstLine="709"/>
        <w:jc w:val="center"/>
        <w:rPr>
          <w:rFonts w:ascii="Times New Roman" w:eastAsia="Calibri" w:hAnsi="Times New Roman" w:cs="Arial"/>
          <w:b/>
          <w:i/>
          <w:noProof/>
          <w:sz w:val="24"/>
          <w:szCs w:val="24"/>
          <w:lang w:eastAsia="ru-RU"/>
        </w:rPr>
      </w:pPr>
      <w:r w:rsidRPr="00631204">
        <w:rPr>
          <w:rFonts w:ascii="Times New Roman" w:eastAsia="Calibri" w:hAnsi="Times New Roman" w:cs="Arial"/>
          <w:b/>
          <w:i/>
          <w:noProof/>
          <w:sz w:val="24"/>
          <w:szCs w:val="24"/>
          <w:lang w:eastAsia="ru-RU"/>
        </w:rPr>
        <w:t>По состоянию на 31 декабря 2016 года:</w:t>
      </w:r>
    </w:p>
    <w:p w14:paraId="6B49A032" w14:textId="77777777" w:rsidR="00631204" w:rsidRPr="00631204" w:rsidRDefault="00631204" w:rsidP="00441380">
      <w:pPr>
        <w:widowControl w:val="0"/>
        <w:numPr>
          <w:ilvl w:val="0"/>
          <w:numId w:val="17"/>
        </w:numPr>
        <w:tabs>
          <w:tab w:val="right" w:pos="9356"/>
        </w:tabs>
        <w:overflowPunct w:val="0"/>
        <w:autoSpaceDE w:val="0"/>
        <w:autoSpaceDN w:val="0"/>
        <w:adjustRightInd w:val="0"/>
        <w:spacing w:after="0" w:line="360" w:lineRule="auto"/>
        <w:contextualSpacing/>
        <w:jc w:val="both"/>
        <w:textAlignment w:val="baseline"/>
        <w:rPr>
          <w:rFonts w:ascii="Times New Roman" w:eastAsia="Calibri" w:hAnsi="Times New Roman" w:cs="Times New Roman"/>
          <w:noProof/>
          <w:sz w:val="24"/>
          <w:szCs w:val="24"/>
          <w:lang w:eastAsia="ru-RU"/>
        </w:rPr>
      </w:pPr>
      <w:r w:rsidRPr="00631204">
        <w:rPr>
          <w:rFonts w:ascii="Times New Roman" w:eastAsia="Calibri" w:hAnsi="Times New Roman" w:cs="Times New Roman"/>
          <w:noProof/>
          <w:sz w:val="24"/>
          <w:szCs w:val="24"/>
          <w:lang w:eastAsia="ru-RU"/>
        </w:rPr>
        <w:t>общее число участников клиринга составило 655 организаций;</w:t>
      </w:r>
    </w:p>
    <w:p w14:paraId="02939A79" w14:textId="77777777" w:rsidR="00631204" w:rsidRPr="00631204" w:rsidRDefault="00631204" w:rsidP="00441380">
      <w:pPr>
        <w:widowControl w:val="0"/>
        <w:numPr>
          <w:ilvl w:val="0"/>
          <w:numId w:val="17"/>
        </w:numPr>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lang w:eastAsia="ru-RU"/>
        </w:rPr>
      </w:pPr>
      <w:r w:rsidRPr="00631204">
        <w:rPr>
          <w:rFonts w:ascii="Times New Roman" w:eastAsia="Calibri" w:hAnsi="Times New Roman" w:cs="Times New Roman"/>
          <w:noProof/>
          <w:sz w:val="24"/>
          <w:szCs w:val="24"/>
          <w:lang w:eastAsia="ru-RU"/>
        </w:rPr>
        <w:t>объем определенных по итогам клиринга обязательств участников клиринга за 2016 год превысил 1 531 трлн руб., что в 1,3 раза больше аналогичного показателя за 2015 год (1 212 трлн рублей);</w:t>
      </w:r>
    </w:p>
    <w:p w14:paraId="7399D49E" w14:textId="77777777" w:rsidR="00631204" w:rsidRPr="00631204" w:rsidRDefault="00631204" w:rsidP="00441380">
      <w:pPr>
        <w:widowControl w:val="0"/>
        <w:numPr>
          <w:ilvl w:val="0"/>
          <w:numId w:val="17"/>
        </w:numPr>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lang w:eastAsia="ru-RU"/>
        </w:rPr>
      </w:pPr>
      <w:r w:rsidRPr="00631204">
        <w:rPr>
          <w:rFonts w:ascii="Times New Roman" w:eastAsia="Calibri" w:hAnsi="Times New Roman" w:cs="Times New Roman"/>
          <w:noProof/>
          <w:sz w:val="24"/>
          <w:szCs w:val="24"/>
          <w:lang w:eastAsia="ru-RU"/>
        </w:rPr>
        <w:t>размер полученного комиссионного вознаграждения составил 6 435 млн руб., что в 1,14 раза больше аналогичного показателя за 2015 год (5 630  млн руб.).</w:t>
      </w:r>
    </w:p>
    <w:p w14:paraId="6F7EA83C" w14:textId="77777777" w:rsidR="00631204" w:rsidRPr="00631204" w:rsidRDefault="00631204" w:rsidP="00631204">
      <w:pPr>
        <w:widowControl w:val="0"/>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lang w:eastAsia="ru-RU"/>
        </w:rPr>
      </w:pPr>
    </w:p>
    <w:p w14:paraId="6908F9DC" w14:textId="77777777" w:rsidR="00631204" w:rsidRPr="00631204" w:rsidRDefault="00631204" w:rsidP="00631204">
      <w:pPr>
        <w:widowControl w:val="0"/>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lang w:eastAsia="ru-RU"/>
        </w:rPr>
      </w:pPr>
      <w:r w:rsidRPr="00631204">
        <w:rPr>
          <w:noProof/>
          <w:lang w:eastAsia="ru-RU"/>
        </w:rPr>
        <w:drawing>
          <wp:inline distT="0" distB="0" distL="0" distR="0" wp14:anchorId="32CCB421" wp14:editId="2BE646AB">
            <wp:extent cx="5542554" cy="2990228"/>
            <wp:effectExtent l="0" t="0" r="1270" b="635"/>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654B3" w14:textId="77777777" w:rsidR="00631204" w:rsidRPr="00631204" w:rsidRDefault="00631204" w:rsidP="00631204">
      <w:pPr>
        <w:tabs>
          <w:tab w:val="right" w:pos="9356"/>
        </w:tabs>
        <w:autoSpaceDE w:val="0"/>
        <w:autoSpaceDN w:val="0"/>
        <w:spacing w:after="0" w:line="360" w:lineRule="auto"/>
        <w:ind w:firstLine="709"/>
        <w:jc w:val="both"/>
        <w:rPr>
          <w:rFonts w:ascii="Times New Roman" w:eastAsia="Calibri" w:hAnsi="Times New Roman" w:cs="Arial"/>
          <w:noProof/>
          <w:sz w:val="24"/>
          <w:szCs w:val="24"/>
          <w:lang w:eastAsia="ru-RU"/>
        </w:rPr>
      </w:pPr>
      <w:r w:rsidRPr="00631204">
        <w:rPr>
          <w:rFonts w:ascii="Times New Roman" w:eastAsia="Calibri" w:hAnsi="Times New Roman" w:cs="Arial"/>
          <w:noProof/>
          <w:sz w:val="24"/>
          <w:szCs w:val="24"/>
          <w:lang w:eastAsia="ru-RU"/>
        </w:rPr>
        <w:t xml:space="preserve">  </w:t>
      </w:r>
    </w:p>
    <w:p w14:paraId="28CC2075" w14:textId="77777777" w:rsidR="00631204" w:rsidRPr="00631204" w:rsidRDefault="00631204" w:rsidP="00631204">
      <w:pPr>
        <w:tabs>
          <w:tab w:val="right" w:pos="9356"/>
        </w:tabs>
        <w:autoSpaceDE w:val="0"/>
        <w:autoSpaceDN w:val="0"/>
        <w:spacing w:after="0" w:line="360" w:lineRule="auto"/>
        <w:jc w:val="both"/>
        <w:rPr>
          <w:rFonts w:ascii="Times New Roman" w:eastAsia="Calibri" w:hAnsi="Times New Roman" w:cs="Arial"/>
          <w:b/>
          <w:bCs/>
          <w:noProof/>
          <w:sz w:val="32"/>
          <w:szCs w:val="24"/>
          <w:lang w:eastAsia="ru-RU"/>
        </w:rPr>
      </w:pPr>
      <w:r w:rsidRPr="00631204">
        <w:rPr>
          <w:noProof/>
          <w:lang w:eastAsia="ru-RU"/>
        </w:rPr>
        <w:drawing>
          <wp:inline distT="0" distB="0" distL="0" distR="0" wp14:anchorId="63C490CC" wp14:editId="06F3DE6B">
            <wp:extent cx="5381625" cy="2828925"/>
            <wp:effectExtent l="0" t="0" r="9525" b="9525"/>
            <wp:docPr id="96"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0602A5" w14:textId="77777777" w:rsidR="00631204" w:rsidRPr="00631204" w:rsidRDefault="00631204" w:rsidP="00631204">
      <w:pPr>
        <w:tabs>
          <w:tab w:val="right" w:pos="9356"/>
        </w:tabs>
        <w:autoSpaceDE w:val="0"/>
        <w:autoSpaceDN w:val="0"/>
        <w:spacing w:after="0" w:line="360" w:lineRule="auto"/>
        <w:jc w:val="both"/>
        <w:rPr>
          <w:rFonts w:ascii="Times New Roman" w:eastAsia="Calibri" w:hAnsi="Times New Roman" w:cs="Arial"/>
          <w:b/>
          <w:bCs/>
          <w:noProof/>
          <w:sz w:val="32"/>
          <w:szCs w:val="24"/>
          <w:lang w:eastAsia="ru-RU"/>
        </w:rPr>
      </w:pPr>
      <w:r w:rsidRPr="00631204">
        <w:rPr>
          <w:noProof/>
          <w:lang w:eastAsia="ru-RU"/>
        </w:rPr>
        <w:lastRenderedPageBreak/>
        <w:drawing>
          <wp:inline distT="0" distB="0" distL="0" distR="0" wp14:anchorId="54A86F75" wp14:editId="5CC8CB5F">
            <wp:extent cx="5381625" cy="3114675"/>
            <wp:effectExtent l="0" t="0" r="9525" b="9525"/>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A03B20" w14:textId="77777777" w:rsidR="00631204" w:rsidRPr="00631204" w:rsidRDefault="00631204" w:rsidP="00631204">
      <w:pPr>
        <w:tabs>
          <w:tab w:val="right" w:pos="9356"/>
        </w:tabs>
        <w:autoSpaceDE w:val="0"/>
        <w:autoSpaceDN w:val="0"/>
        <w:spacing w:after="0" w:line="360" w:lineRule="auto"/>
        <w:jc w:val="both"/>
        <w:rPr>
          <w:rFonts w:ascii="Times New Roman" w:eastAsia="Calibri" w:hAnsi="Times New Roman" w:cs="Arial"/>
          <w:b/>
          <w:bCs/>
          <w:noProof/>
          <w:sz w:val="32"/>
          <w:szCs w:val="24"/>
          <w:lang w:eastAsia="ru-RU"/>
        </w:rPr>
      </w:pPr>
    </w:p>
    <w:p w14:paraId="05090389" w14:textId="77777777" w:rsidR="00631204" w:rsidRPr="00631204" w:rsidRDefault="00631204" w:rsidP="00631204">
      <w:pPr>
        <w:tabs>
          <w:tab w:val="right" w:pos="9356"/>
        </w:tabs>
        <w:autoSpaceDE w:val="0"/>
        <w:autoSpaceDN w:val="0"/>
        <w:spacing w:after="0" w:line="360" w:lineRule="auto"/>
        <w:jc w:val="both"/>
        <w:rPr>
          <w:rFonts w:ascii="Times New Roman" w:eastAsia="Calibri" w:hAnsi="Times New Roman" w:cs="Arial"/>
          <w:b/>
          <w:bCs/>
          <w:noProof/>
          <w:sz w:val="32"/>
          <w:szCs w:val="24"/>
          <w:lang w:eastAsia="ru-RU"/>
        </w:rPr>
      </w:pPr>
      <w:r w:rsidRPr="00631204">
        <w:rPr>
          <w:noProof/>
          <w:lang w:eastAsia="ru-RU"/>
        </w:rPr>
        <w:drawing>
          <wp:inline distT="0" distB="0" distL="0" distR="0" wp14:anchorId="1E2EDC9F" wp14:editId="06D282D4">
            <wp:extent cx="5819775" cy="4486275"/>
            <wp:effectExtent l="0" t="0" r="9525" b="9525"/>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D94821" w14:textId="77777777" w:rsidR="00631204" w:rsidRPr="00631204" w:rsidRDefault="00631204" w:rsidP="00631204">
      <w:pPr>
        <w:tabs>
          <w:tab w:val="right" w:pos="9356"/>
        </w:tabs>
        <w:autoSpaceDE w:val="0"/>
        <w:autoSpaceDN w:val="0"/>
        <w:spacing w:after="0" w:line="360" w:lineRule="auto"/>
        <w:jc w:val="both"/>
        <w:rPr>
          <w:rFonts w:ascii="Times New Roman" w:eastAsia="Times New Roman" w:hAnsi="Times New Roman" w:cs="Times New Roman"/>
          <w:b/>
          <w:sz w:val="28"/>
          <w:szCs w:val="28"/>
          <w:lang w:eastAsia="ru-RU"/>
        </w:rPr>
      </w:pPr>
      <w:r w:rsidRPr="00631204">
        <w:rPr>
          <w:noProof/>
          <w:lang w:eastAsia="ru-RU"/>
        </w:rPr>
        <w:lastRenderedPageBreak/>
        <w:drawing>
          <wp:inline distT="0" distB="0" distL="0" distR="0" wp14:anchorId="54F1A1EE" wp14:editId="54DE1A06">
            <wp:extent cx="5819775" cy="4260215"/>
            <wp:effectExtent l="0" t="0" r="9525" b="6985"/>
            <wp:docPr id="99"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31204">
        <w:rPr>
          <w:rFonts w:ascii="Times New Roman" w:eastAsia="Times New Roman" w:hAnsi="Times New Roman" w:cs="Times New Roman"/>
          <w:sz w:val="28"/>
          <w:szCs w:val="28"/>
          <w:lang w:eastAsia="ru-RU"/>
        </w:rPr>
        <w:t xml:space="preserve"> </w:t>
      </w:r>
    </w:p>
    <w:p w14:paraId="3BB0FE05" w14:textId="77777777" w:rsidR="00631204" w:rsidRPr="00631204" w:rsidRDefault="00631204" w:rsidP="00631204">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02CB226A" w14:textId="77777777" w:rsidR="00AC0F68" w:rsidRDefault="00AC0F68" w:rsidP="002C4839">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p>
    <w:p w14:paraId="100DCC1A" w14:textId="77777777" w:rsidR="002C4839" w:rsidRPr="002C4839" w:rsidRDefault="002C4839" w:rsidP="002C4839">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r w:rsidRPr="002C4839">
        <w:rPr>
          <w:rFonts w:ascii="Times New Roman" w:eastAsia="Times New Roman" w:hAnsi="Times New Roman" w:cs="Times New Roman"/>
          <w:b/>
          <w:sz w:val="28"/>
          <w:szCs w:val="28"/>
          <w:lang w:eastAsia="ru-RU"/>
        </w:rPr>
        <w:t>4. Перспективы развития</w:t>
      </w:r>
    </w:p>
    <w:p w14:paraId="7C5BC374" w14:textId="77777777" w:rsidR="002C4839" w:rsidRPr="002C4839" w:rsidRDefault="002C4839" w:rsidP="002C4839">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p>
    <w:p w14:paraId="57D814F5" w14:textId="3196D737" w:rsidR="002C4839" w:rsidRPr="002C4839" w:rsidRDefault="002C4839" w:rsidP="00AC0F68">
      <w:pPr>
        <w:spacing w:line="240" w:lineRule="auto"/>
        <w:ind w:firstLine="567"/>
        <w:jc w:val="both"/>
        <w:rPr>
          <w:rFonts w:ascii="Times New Roman" w:hAnsi="Times New Roman" w:cs="Times New Roman"/>
          <w:sz w:val="24"/>
          <w:szCs w:val="24"/>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 xml:space="preserve">В 2017 году основные усилия НКЦ будут </w:t>
      </w:r>
      <w:r w:rsidR="003A4FE5" w:rsidRPr="00EA2597">
        <w:rPr>
          <w:rFonts w:ascii="Times New Roman" w:hAnsi="Times New Roman" w:cs="Times New Roman"/>
          <w:bCs/>
          <w:sz w:val="24"/>
          <w:szCs w:val="24"/>
        </w:rPr>
        <w:t xml:space="preserve">сосредоточены </w:t>
      </w:r>
      <w:r w:rsidRPr="00EA2597">
        <w:rPr>
          <w:rFonts w:ascii="Times New Roman" w:hAnsi="Times New Roman" w:cs="Times New Roman"/>
          <w:bCs/>
          <w:sz w:val="24"/>
          <w:szCs w:val="24"/>
        </w:rPr>
        <w:t>на реализаци</w:t>
      </w:r>
      <w:r w:rsidR="003A4FE5" w:rsidRPr="00EA2597">
        <w:rPr>
          <w:rFonts w:ascii="Times New Roman" w:hAnsi="Times New Roman" w:cs="Times New Roman"/>
          <w:bCs/>
          <w:sz w:val="24"/>
          <w:szCs w:val="24"/>
        </w:rPr>
        <w:t>и</w:t>
      </w:r>
      <w:r w:rsidRPr="00EA2597">
        <w:rPr>
          <w:rFonts w:ascii="Times New Roman" w:hAnsi="Times New Roman" w:cs="Times New Roman"/>
          <w:bCs/>
          <w:sz w:val="24"/>
          <w:szCs w:val="24"/>
        </w:rPr>
        <w:t xml:space="preserve"> проектов, направленных на достижение целей, которые поставлены перед Банком в Стратегии Группы на 2015-2020 гг., утвержденной Наблюдательным советом Московской Биржи и в Стратегии НКЦ на 2017-2020 гг., утвержденной Наблюдательным советом Банка, </w:t>
      </w:r>
      <w:r w:rsidR="008969BC" w:rsidRPr="00EA2597">
        <w:rPr>
          <w:rFonts w:ascii="Times New Roman" w:hAnsi="Times New Roman" w:cs="Times New Roman"/>
          <w:bCs/>
          <w:sz w:val="24"/>
          <w:szCs w:val="24"/>
        </w:rPr>
        <w:t>а именно</w:t>
      </w:r>
      <w:r w:rsidRPr="00EA2597">
        <w:rPr>
          <w:rFonts w:ascii="Times New Roman" w:hAnsi="Times New Roman" w:cs="Times New Roman"/>
          <w:bCs/>
          <w:sz w:val="24"/>
          <w:szCs w:val="24"/>
        </w:rPr>
        <w:t xml:space="preserve">, на: </w:t>
      </w:r>
    </w:p>
    <w:p w14:paraId="17A8EB8D" w14:textId="77777777" w:rsidR="002C4839" w:rsidRPr="002C4839" w:rsidRDefault="002C4839" w:rsidP="00441380">
      <w:pPr>
        <w:numPr>
          <w:ilvl w:val="0"/>
          <w:numId w:val="50"/>
        </w:numPr>
        <w:spacing w:after="0" w:line="240" w:lineRule="auto"/>
        <w:contextualSpacing/>
        <w:jc w:val="both"/>
        <w:rPr>
          <w:rFonts w:ascii="Times New Roman" w:eastAsia="Calibri" w:hAnsi="Times New Roman" w:cs="Times New Roman"/>
          <w:sz w:val="24"/>
          <w:szCs w:val="24"/>
        </w:rPr>
      </w:pPr>
      <w:r w:rsidRPr="002C4839">
        <w:rPr>
          <w:rFonts w:ascii="Times New Roman" w:eastAsia="Calibri" w:hAnsi="Times New Roman" w:cs="Times New Roman"/>
          <w:sz w:val="24"/>
          <w:szCs w:val="24"/>
        </w:rPr>
        <w:t xml:space="preserve">совершенствование и унификацию системы риск-менеджмента на всех рынках; </w:t>
      </w:r>
    </w:p>
    <w:p w14:paraId="46612CF4" w14:textId="77777777" w:rsidR="002C4839" w:rsidRPr="002C4839" w:rsidRDefault="002C4839" w:rsidP="00441380">
      <w:pPr>
        <w:numPr>
          <w:ilvl w:val="0"/>
          <w:numId w:val="50"/>
        </w:numPr>
        <w:spacing w:after="0" w:line="240" w:lineRule="auto"/>
        <w:contextualSpacing/>
        <w:jc w:val="both"/>
        <w:rPr>
          <w:rFonts w:ascii="Times New Roman" w:eastAsia="Calibri" w:hAnsi="Times New Roman" w:cs="Times New Roman"/>
          <w:sz w:val="24"/>
          <w:szCs w:val="24"/>
        </w:rPr>
      </w:pPr>
      <w:r w:rsidRPr="002C4839">
        <w:rPr>
          <w:rFonts w:ascii="Times New Roman" w:eastAsia="Calibri" w:hAnsi="Times New Roman" w:cs="Times New Roman"/>
          <w:sz w:val="24"/>
          <w:szCs w:val="24"/>
        </w:rPr>
        <w:t xml:space="preserve">создание единого клирингового и расчетного пула для всех рынков Московской Биржи; </w:t>
      </w:r>
    </w:p>
    <w:p w14:paraId="19067757" w14:textId="77777777" w:rsidR="002C4839" w:rsidRPr="002C4839" w:rsidRDefault="002C4839" w:rsidP="00441380">
      <w:pPr>
        <w:numPr>
          <w:ilvl w:val="0"/>
          <w:numId w:val="50"/>
        </w:numPr>
        <w:spacing w:after="0" w:line="240" w:lineRule="auto"/>
        <w:contextualSpacing/>
        <w:jc w:val="both"/>
        <w:rPr>
          <w:rFonts w:ascii="Times New Roman" w:eastAsia="Calibri" w:hAnsi="Times New Roman" w:cs="Times New Roman"/>
          <w:sz w:val="24"/>
          <w:szCs w:val="24"/>
        </w:rPr>
      </w:pPr>
      <w:r w:rsidRPr="002C4839">
        <w:rPr>
          <w:rFonts w:ascii="Times New Roman" w:eastAsia="Calibri" w:hAnsi="Times New Roman" w:cs="Times New Roman"/>
          <w:sz w:val="24"/>
          <w:szCs w:val="24"/>
        </w:rPr>
        <w:t xml:space="preserve">создание единого пула обеспечения; </w:t>
      </w:r>
    </w:p>
    <w:p w14:paraId="281D1142" w14:textId="77777777" w:rsidR="002C4839" w:rsidRPr="002C4839" w:rsidRDefault="002C4839" w:rsidP="00441380">
      <w:pPr>
        <w:numPr>
          <w:ilvl w:val="0"/>
          <w:numId w:val="50"/>
        </w:numPr>
        <w:spacing w:after="0" w:line="240" w:lineRule="auto"/>
        <w:contextualSpacing/>
        <w:jc w:val="both"/>
        <w:rPr>
          <w:rFonts w:ascii="Times New Roman" w:eastAsia="Calibri" w:hAnsi="Times New Roman" w:cs="Times New Roman"/>
          <w:sz w:val="24"/>
          <w:szCs w:val="24"/>
        </w:rPr>
      </w:pPr>
      <w:r w:rsidRPr="002C4839">
        <w:rPr>
          <w:rFonts w:ascii="Times New Roman" w:eastAsia="Calibri" w:hAnsi="Times New Roman" w:cs="Times New Roman"/>
          <w:sz w:val="24"/>
          <w:szCs w:val="24"/>
        </w:rPr>
        <w:t xml:space="preserve">внедрение лучших мировых практик и следование международным стандартам в клиринговой деятельности и при выполнении функций центрального контрагента; </w:t>
      </w:r>
    </w:p>
    <w:p w14:paraId="7E2BE3D8" w14:textId="77777777" w:rsidR="002C4839" w:rsidRPr="002C4839" w:rsidRDefault="002C4839" w:rsidP="00441380">
      <w:pPr>
        <w:numPr>
          <w:ilvl w:val="0"/>
          <w:numId w:val="50"/>
        </w:numPr>
        <w:spacing w:after="0" w:line="240" w:lineRule="auto"/>
        <w:contextualSpacing/>
        <w:jc w:val="both"/>
        <w:rPr>
          <w:rFonts w:ascii="Times New Roman" w:eastAsia="Calibri" w:hAnsi="Times New Roman" w:cs="Times New Roman"/>
          <w:sz w:val="24"/>
          <w:szCs w:val="24"/>
        </w:rPr>
      </w:pPr>
      <w:r w:rsidRPr="002C4839">
        <w:rPr>
          <w:rFonts w:ascii="Times New Roman" w:eastAsia="Calibri" w:hAnsi="Times New Roman" w:cs="Times New Roman"/>
          <w:sz w:val="24"/>
          <w:szCs w:val="24"/>
        </w:rPr>
        <w:t xml:space="preserve">поддержание высокого уровня доходности акционерного капитала.  </w:t>
      </w:r>
    </w:p>
    <w:p w14:paraId="74D0D19F" w14:textId="77777777" w:rsidR="002C4839" w:rsidRPr="002C4839" w:rsidRDefault="002C4839" w:rsidP="002C4839">
      <w:pPr>
        <w:spacing w:after="0" w:line="240" w:lineRule="auto"/>
        <w:jc w:val="both"/>
        <w:rPr>
          <w:rFonts w:ascii="Times New Roman" w:hAnsi="Times New Roman" w:cs="Times New Roman"/>
          <w:sz w:val="24"/>
          <w:szCs w:val="24"/>
        </w:rPr>
      </w:pPr>
      <w:r w:rsidRPr="002C4839">
        <w:rPr>
          <w:rFonts w:ascii="Times New Roman" w:hAnsi="Times New Roman" w:cs="Times New Roman"/>
          <w:sz w:val="24"/>
          <w:szCs w:val="24"/>
        </w:rPr>
        <w:t xml:space="preserve">     </w:t>
      </w:r>
    </w:p>
    <w:p w14:paraId="0A06C038"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hAnsi="Times New Roman" w:cs="Times New Roman"/>
          <w:sz w:val="24"/>
          <w:szCs w:val="24"/>
        </w:rPr>
        <w:t xml:space="preserve">      </w:t>
      </w:r>
      <w:r w:rsidRPr="007801F8">
        <w:rPr>
          <w:rFonts w:ascii="Times New Roman" w:hAnsi="Times New Roman" w:cs="Times New Roman"/>
          <w:bCs/>
          <w:sz w:val="24"/>
          <w:szCs w:val="24"/>
        </w:rPr>
        <w:t xml:space="preserve">Прогнозируя сохранение, а возможно и усиление в 2017 году негативного внешнего фона,  </w:t>
      </w:r>
      <w:r w:rsidR="003A4FE5" w:rsidRPr="007801F8">
        <w:rPr>
          <w:rFonts w:ascii="Times New Roman" w:hAnsi="Times New Roman" w:cs="Times New Roman"/>
          <w:bCs/>
          <w:sz w:val="24"/>
          <w:szCs w:val="24"/>
        </w:rPr>
        <w:t>сохранение</w:t>
      </w:r>
      <w:r w:rsidRPr="007801F8">
        <w:rPr>
          <w:rFonts w:ascii="Times New Roman" w:hAnsi="Times New Roman" w:cs="Times New Roman"/>
          <w:bCs/>
          <w:sz w:val="24"/>
          <w:szCs w:val="24"/>
        </w:rPr>
        <w:t xml:space="preserve"> тенденции к оздоровлению банковского сектора регулятором, Банк будет </w:t>
      </w:r>
      <w:r w:rsidRPr="00EA2597">
        <w:rPr>
          <w:rFonts w:ascii="Times New Roman" w:hAnsi="Times New Roman" w:cs="Times New Roman"/>
          <w:bCs/>
          <w:sz w:val="24"/>
          <w:szCs w:val="24"/>
        </w:rPr>
        <w:t xml:space="preserve">уделять самое серьезное внимание мониторингу ситуации на мировом и российском финансовых </w:t>
      </w:r>
      <w:r w:rsidR="003A4FE5" w:rsidRPr="00EA2597">
        <w:rPr>
          <w:rFonts w:ascii="Times New Roman" w:hAnsi="Times New Roman" w:cs="Times New Roman"/>
          <w:bCs/>
          <w:sz w:val="24"/>
          <w:szCs w:val="24"/>
        </w:rPr>
        <w:t>рынках</w:t>
      </w:r>
      <w:r w:rsidRPr="00EA2597">
        <w:rPr>
          <w:rFonts w:ascii="Times New Roman" w:hAnsi="Times New Roman" w:cs="Times New Roman"/>
          <w:bCs/>
          <w:sz w:val="24"/>
          <w:szCs w:val="24"/>
        </w:rPr>
        <w:t xml:space="preserve">, непосредственно участников клиринга, партнеров и контрагентов для своевременной реакции на внешние и внутренние вызовы, обеспечивая таким образом непрерывность критичных сервисов, осуществляемых НКЦ в области клиринга и при выполнении функции центрального контрагента. </w:t>
      </w:r>
    </w:p>
    <w:p w14:paraId="4008D6C5" w14:textId="77777777" w:rsidR="002C4839" w:rsidRPr="002C4839" w:rsidRDefault="002C4839" w:rsidP="002C4839">
      <w:pPr>
        <w:spacing w:line="240" w:lineRule="auto"/>
        <w:jc w:val="both"/>
        <w:rPr>
          <w:rFonts w:ascii="Times New Roman" w:hAnsi="Times New Roman" w:cs="Times New Roman"/>
          <w:sz w:val="24"/>
          <w:szCs w:val="24"/>
        </w:rPr>
      </w:pPr>
      <w:r w:rsidRPr="002C4839">
        <w:rPr>
          <w:rFonts w:ascii="Times New Roman" w:hAnsi="Times New Roman" w:cs="Times New Roman"/>
          <w:sz w:val="24"/>
          <w:szCs w:val="24"/>
        </w:rPr>
        <w:t xml:space="preserve">      </w:t>
      </w:r>
    </w:p>
    <w:p w14:paraId="2E2426C6"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hAnsi="Times New Roman" w:cs="Times New Roman"/>
          <w:sz w:val="24"/>
          <w:szCs w:val="24"/>
        </w:rPr>
        <w:lastRenderedPageBreak/>
        <w:t xml:space="preserve">     </w:t>
      </w:r>
      <w:r w:rsidRPr="007801F8">
        <w:rPr>
          <w:rFonts w:ascii="Times New Roman" w:hAnsi="Times New Roman" w:cs="Times New Roman"/>
          <w:bCs/>
          <w:sz w:val="24"/>
          <w:szCs w:val="24"/>
        </w:rPr>
        <w:t>Перспективы развития Банка в 2017 году также  связаны с изменением статуса НКЦ с банка на небанковскую кредитную организацию – центральн</w:t>
      </w:r>
      <w:r w:rsidR="003A4FE5" w:rsidRPr="007801F8">
        <w:rPr>
          <w:rFonts w:ascii="Times New Roman" w:hAnsi="Times New Roman" w:cs="Times New Roman"/>
          <w:bCs/>
          <w:sz w:val="24"/>
          <w:szCs w:val="24"/>
        </w:rPr>
        <w:t>ого</w:t>
      </w:r>
      <w:r w:rsidRPr="00EA2597">
        <w:rPr>
          <w:rFonts w:ascii="Times New Roman" w:hAnsi="Times New Roman" w:cs="Times New Roman"/>
          <w:bCs/>
          <w:sz w:val="24"/>
          <w:szCs w:val="24"/>
        </w:rPr>
        <w:t xml:space="preserve"> контрагент</w:t>
      </w:r>
      <w:r w:rsidR="003A4FE5" w:rsidRPr="00EA2597">
        <w:rPr>
          <w:rFonts w:ascii="Times New Roman" w:hAnsi="Times New Roman" w:cs="Times New Roman"/>
          <w:bCs/>
          <w:sz w:val="24"/>
          <w:szCs w:val="24"/>
        </w:rPr>
        <w:t>а</w:t>
      </w:r>
      <w:r w:rsidRPr="00EA2597">
        <w:rPr>
          <w:rFonts w:ascii="Times New Roman" w:hAnsi="Times New Roman" w:cs="Times New Roman"/>
          <w:bCs/>
          <w:sz w:val="24"/>
          <w:szCs w:val="24"/>
        </w:rPr>
        <w:t>, в связи с чем планируется осуществление комплекса корпоративных мероприятий, направленных на решение данной задачи – получение лицензии на осуществление банковских операций для НКО-ЦК, изменение Устава, смена наименования, увеличение количества независимых директоров в составе Наблюдательного совета, автоматизация отчетности центрального контрагента в соответствии с новым статусом и т.д.</w:t>
      </w:r>
    </w:p>
    <w:p w14:paraId="3BF0404A" w14:textId="77777777" w:rsidR="002C4839" w:rsidRPr="002C4839" w:rsidRDefault="002C4839" w:rsidP="002C4839">
      <w:pPr>
        <w:spacing w:after="0" w:line="240" w:lineRule="auto"/>
        <w:jc w:val="both"/>
        <w:rPr>
          <w:rFonts w:ascii="Times New Roman" w:hAnsi="Times New Roman" w:cs="Times New Roman"/>
          <w:sz w:val="24"/>
          <w:szCs w:val="24"/>
        </w:rPr>
      </w:pPr>
    </w:p>
    <w:p w14:paraId="0ADF1FDE" w14:textId="77777777" w:rsidR="002C4839" w:rsidRPr="002C4839" w:rsidRDefault="002C4839" w:rsidP="002C4839">
      <w:pPr>
        <w:spacing w:after="0" w:line="240" w:lineRule="auto"/>
        <w:ind w:left="720" w:right="-1"/>
        <w:contextualSpacing/>
        <w:jc w:val="center"/>
        <w:textAlignment w:val="baseline"/>
        <w:rPr>
          <w:rFonts w:ascii="Times New Roman" w:eastAsia="Times New Roman" w:hAnsi="Times New Roman" w:cs="Times New Roman"/>
          <w:b/>
          <w:bCs/>
          <w:kern w:val="24"/>
          <w:sz w:val="28"/>
          <w:szCs w:val="28"/>
          <w:lang w:eastAsia="ru-RU"/>
        </w:rPr>
      </w:pPr>
    </w:p>
    <w:p w14:paraId="2CD637FB" w14:textId="77777777" w:rsidR="002C4839" w:rsidRPr="002C4839" w:rsidRDefault="002C4839" w:rsidP="002C4839">
      <w:pPr>
        <w:spacing w:after="0" w:line="240" w:lineRule="auto"/>
        <w:ind w:left="720" w:right="-1"/>
        <w:contextualSpacing/>
        <w:jc w:val="center"/>
        <w:textAlignment w:val="baseline"/>
        <w:rPr>
          <w:rFonts w:ascii="Times New Roman" w:eastAsia="Times New Roman" w:hAnsi="Times New Roman" w:cs="Times New Roman"/>
          <w:b/>
          <w:bCs/>
          <w:kern w:val="24"/>
          <w:sz w:val="24"/>
          <w:szCs w:val="24"/>
          <w:lang w:eastAsia="ru-RU"/>
        </w:rPr>
      </w:pPr>
      <w:r w:rsidRPr="002C4839">
        <w:rPr>
          <w:rFonts w:ascii="Times New Roman" w:eastAsia="Times New Roman" w:hAnsi="Times New Roman" w:cs="Times New Roman"/>
          <w:b/>
          <w:bCs/>
          <w:kern w:val="24"/>
          <w:sz w:val="24"/>
          <w:szCs w:val="24"/>
          <w:lang w:val="en-US" w:eastAsia="ru-RU"/>
        </w:rPr>
        <w:t>I</w:t>
      </w:r>
      <w:r w:rsidRPr="002C4839">
        <w:rPr>
          <w:rFonts w:ascii="Times New Roman" w:eastAsia="Times New Roman" w:hAnsi="Times New Roman" w:cs="Times New Roman"/>
          <w:b/>
          <w:bCs/>
          <w:kern w:val="24"/>
          <w:sz w:val="24"/>
          <w:szCs w:val="24"/>
          <w:lang w:eastAsia="ru-RU"/>
        </w:rPr>
        <w:t>.В сфере клиринговой деятельности и риск-менеджмента планируется реализовать следующие проекты:</w:t>
      </w:r>
    </w:p>
    <w:p w14:paraId="312E51BB" w14:textId="77777777" w:rsidR="002C4839" w:rsidRPr="002C4839" w:rsidRDefault="002C4839" w:rsidP="002C48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023997" w14:textId="77777777" w:rsidR="002C4839" w:rsidRPr="002C4839" w:rsidRDefault="002C4839" w:rsidP="009C0C0A">
      <w:pPr>
        <w:keepNext/>
        <w:tabs>
          <w:tab w:val="num" w:pos="851"/>
        </w:tabs>
        <w:spacing w:before="360" w:after="0" w:line="240" w:lineRule="auto"/>
        <w:ind w:left="851" w:hanging="851"/>
        <w:jc w:val="center"/>
        <w:rPr>
          <w:rFonts w:ascii="Times New Roman" w:eastAsia="Times New Roman" w:hAnsi="Times New Roman" w:cs="Times New Roman"/>
          <w:b/>
          <w:i/>
          <w:sz w:val="24"/>
          <w:szCs w:val="24"/>
          <w:lang w:eastAsia="ru-RU"/>
        </w:rPr>
      </w:pPr>
      <w:r w:rsidRPr="002C4839">
        <w:rPr>
          <w:rFonts w:ascii="Times New Roman" w:eastAsia="Times New Roman" w:hAnsi="Times New Roman" w:cs="Times New Roman"/>
          <w:b/>
          <w:sz w:val="28"/>
          <w:szCs w:val="28"/>
          <w:lang w:eastAsia="ru-RU"/>
        </w:rPr>
        <w:t>А</w:t>
      </w:r>
      <w:r w:rsidRPr="002C4839">
        <w:rPr>
          <w:rFonts w:ascii="Times New Roman" w:eastAsia="Times New Roman" w:hAnsi="Times New Roman" w:cs="Times New Roman"/>
          <w:b/>
          <w:i/>
          <w:sz w:val="24"/>
          <w:szCs w:val="24"/>
          <w:lang w:eastAsia="ru-RU"/>
        </w:rPr>
        <w:t>. Проект «Единый пул обеспечения» - стратегическое направление развития клиринговой деятельности НКЦ</w:t>
      </w:r>
    </w:p>
    <w:p w14:paraId="45683AB5" w14:textId="77777777" w:rsidR="002C4839" w:rsidRPr="002C4839" w:rsidRDefault="002C4839" w:rsidP="002C4839">
      <w:pPr>
        <w:spacing w:after="240" w:line="240" w:lineRule="auto"/>
        <w:ind w:firstLine="567"/>
        <w:jc w:val="both"/>
        <w:rPr>
          <w:rFonts w:ascii="Times New Roman" w:hAnsi="Times New Roman" w:cs="Times New Roman"/>
          <w:sz w:val="24"/>
          <w:szCs w:val="24"/>
        </w:rPr>
      </w:pPr>
    </w:p>
    <w:p w14:paraId="4AA11E53"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Проект «Единый пул обеспечения» планируется к запуску во 2-м полугодии 2017 после регистрации Правил клиринга Банком России, а также после проверки готовности программного обеспечения.</w:t>
      </w:r>
    </w:p>
    <w:p w14:paraId="22153790"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При реализации данного проекта усилия будут сосредоточены на выполнении следующих первоочередных задач:</w:t>
      </w:r>
    </w:p>
    <w:p w14:paraId="230147E3" w14:textId="77777777" w:rsidR="002C4839" w:rsidRPr="002C4839" w:rsidRDefault="002C4839" w:rsidP="00441380">
      <w:pPr>
        <w:numPr>
          <w:ilvl w:val="0"/>
          <w:numId w:val="9"/>
        </w:numPr>
        <w:spacing w:after="0" w:line="240" w:lineRule="auto"/>
        <w:ind w:left="1418" w:hanging="567"/>
        <w:jc w:val="both"/>
        <w:rPr>
          <w:rFonts w:ascii="Times New Roman" w:eastAsia="Times New Roman" w:hAnsi="Times New Roman" w:cs="Arial"/>
          <w:color w:val="000000"/>
          <w:sz w:val="24"/>
          <w:szCs w:val="20"/>
        </w:rPr>
      </w:pPr>
      <w:r w:rsidRPr="002C4839">
        <w:rPr>
          <w:rFonts w:ascii="Times New Roman" w:eastAsia="Times New Roman" w:hAnsi="Times New Roman" w:cs="Arial"/>
          <w:color w:val="000000"/>
          <w:sz w:val="24"/>
          <w:szCs w:val="20"/>
        </w:rPr>
        <w:t>создание возможностей для передачи профилей российских рублей, иностранной валюты и драгоценных металлов между Торгово-клиринговой системой фондового рынка и Торгово-клиринговой системой валютного рынка;</w:t>
      </w:r>
    </w:p>
    <w:p w14:paraId="032F8844" w14:textId="77777777" w:rsidR="002C4839" w:rsidRPr="002C4839" w:rsidRDefault="002C4839" w:rsidP="00441380">
      <w:pPr>
        <w:numPr>
          <w:ilvl w:val="0"/>
          <w:numId w:val="9"/>
        </w:numPr>
        <w:spacing w:after="0" w:line="240" w:lineRule="auto"/>
        <w:ind w:left="1418" w:hanging="567"/>
        <w:jc w:val="both"/>
        <w:rPr>
          <w:rFonts w:ascii="Times New Roman" w:eastAsia="Times New Roman" w:hAnsi="Times New Roman" w:cs="Arial"/>
          <w:color w:val="000000"/>
          <w:sz w:val="24"/>
          <w:szCs w:val="20"/>
        </w:rPr>
      </w:pPr>
      <w:r w:rsidRPr="002C4839">
        <w:rPr>
          <w:rFonts w:ascii="Times New Roman" w:eastAsia="Times New Roman" w:hAnsi="Times New Roman" w:cs="Arial"/>
          <w:color w:val="000000"/>
          <w:sz w:val="24"/>
          <w:szCs w:val="20"/>
        </w:rPr>
        <w:t>обеспечение возможностей для передачи профилей российских рублей между торгово-клиринговой системой фондового рынка и Торгово-клиринговой системой срочного рынка;</w:t>
      </w:r>
    </w:p>
    <w:p w14:paraId="518B400A" w14:textId="77777777" w:rsidR="002C4839" w:rsidRPr="002C4839" w:rsidRDefault="002C4839" w:rsidP="00441380">
      <w:pPr>
        <w:numPr>
          <w:ilvl w:val="0"/>
          <w:numId w:val="9"/>
        </w:numPr>
        <w:spacing w:after="0" w:line="240" w:lineRule="auto"/>
        <w:ind w:left="1418" w:hanging="567"/>
        <w:jc w:val="both"/>
        <w:rPr>
          <w:rFonts w:ascii="Times New Roman" w:eastAsia="Times New Roman" w:hAnsi="Times New Roman" w:cs="Arial"/>
          <w:color w:val="000000"/>
          <w:sz w:val="24"/>
          <w:szCs w:val="20"/>
        </w:rPr>
      </w:pPr>
      <w:r w:rsidRPr="002C4839">
        <w:rPr>
          <w:rFonts w:ascii="Times New Roman" w:eastAsia="Times New Roman" w:hAnsi="Times New Roman" w:cs="Arial"/>
          <w:color w:val="000000"/>
          <w:sz w:val="24"/>
          <w:szCs w:val="20"/>
        </w:rPr>
        <w:t>осуществление модернизации технологии поставки в Торгово-клиринговой системе срочного рынка (1-й этап).</w:t>
      </w:r>
    </w:p>
    <w:p w14:paraId="6624A755" w14:textId="77777777" w:rsidR="002C4839" w:rsidRPr="002C4839" w:rsidRDefault="002C4839" w:rsidP="002C4839">
      <w:pPr>
        <w:spacing w:after="240" w:line="240" w:lineRule="auto"/>
        <w:ind w:firstLine="567"/>
        <w:jc w:val="both"/>
        <w:rPr>
          <w:rFonts w:ascii="Times New Roman" w:hAnsi="Times New Roman" w:cs="Times New Roman"/>
          <w:sz w:val="24"/>
          <w:szCs w:val="24"/>
        </w:rPr>
      </w:pPr>
    </w:p>
    <w:p w14:paraId="273467B5"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Возможность использования технологий единого пула предоставляется участникам клиринга как дополнительная услуга исключительно на основании заявления, направляемого в НКЦ. В качестве расчетного кода единого пула обеспечения используются расчетные коды Т+ (новые или существующие).</w:t>
      </w:r>
      <w:r w:rsidR="009C0C0A" w:rsidRPr="00EA2597">
        <w:rPr>
          <w:rFonts w:ascii="Times New Roman" w:hAnsi="Times New Roman" w:cs="Times New Roman"/>
          <w:bCs/>
          <w:sz w:val="24"/>
          <w:szCs w:val="24"/>
        </w:rPr>
        <w:t xml:space="preserve"> </w:t>
      </w:r>
      <w:r w:rsidR="007767E4" w:rsidRPr="00EA2597">
        <w:rPr>
          <w:rFonts w:ascii="Times New Roman" w:hAnsi="Times New Roman" w:cs="Times New Roman"/>
          <w:bCs/>
          <w:sz w:val="24"/>
          <w:szCs w:val="24"/>
        </w:rPr>
        <w:t>Схема з</w:t>
      </w:r>
      <w:r w:rsidR="009C0C0A" w:rsidRPr="00EA2597">
        <w:rPr>
          <w:rFonts w:ascii="Times New Roman" w:hAnsi="Times New Roman" w:cs="Times New Roman"/>
          <w:bCs/>
          <w:sz w:val="24"/>
          <w:szCs w:val="24"/>
        </w:rPr>
        <w:t>амен</w:t>
      </w:r>
      <w:r w:rsidR="007767E4" w:rsidRPr="00EA2597">
        <w:rPr>
          <w:rFonts w:ascii="Times New Roman" w:hAnsi="Times New Roman" w:cs="Times New Roman"/>
          <w:bCs/>
          <w:sz w:val="24"/>
          <w:szCs w:val="24"/>
        </w:rPr>
        <w:t>ы</w:t>
      </w:r>
      <w:r w:rsidR="009C0C0A" w:rsidRPr="00EA2597">
        <w:rPr>
          <w:rFonts w:ascii="Times New Roman" w:hAnsi="Times New Roman" w:cs="Times New Roman"/>
          <w:bCs/>
          <w:sz w:val="24"/>
          <w:szCs w:val="24"/>
        </w:rPr>
        <w:t xml:space="preserve"> расчетного кода Т+ на расчетный код единого пула</w:t>
      </w:r>
      <w:r w:rsidR="007767E4" w:rsidRPr="00EA2597">
        <w:rPr>
          <w:rFonts w:ascii="Times New Roman" w:hAnsi="Times New Roman" w:cs="Times New Roman"/>
          <w:bCs/>
          <w:sz w:val="24"/>
          <w:szCs w:val="24"/>
        </w:rPr>
        <w:t xml:space="preserve"> представлена ниже: </w:t>
      </w:r>
    </w:p>
    <w:p w14:paraId="207B5FF3" w14:textId="77777777" w:rsidR="002C4839" w:rsidRPr="002C4839" w:rsidRDefault="002C4839" w:rsidP="002C4839">
      <w:pPr>
        <w:spacing w:after="240" w:line="240" w:lineRule="auto"/>
        <w:ind w:firstLine="567"/>
        <w:jc w:val="both"/>
        <w:rPr>
          <w:rFonts w:ascii="Times New Roman" w:hAnsi="Times New Roman" w:cs="Times New Roman"/>
          <w:sz w:val="24"/>
          <w:szCs w:val="24"/>
        </w:rPr>
      </w:pPr>
      <w:r w:rsidRPr="002C4839">
        <w:rPr>
          <w:noProof/>
          <w:lang w:eastAsia="ru-RU"/>
        </w:rPr>
        <w:lastRenderedPageBreak/>
        <w:drawing>
          <wp:inline distT="0" distB="0" distL="0" distR="0" wp14:anchorId="67994DF7" wp14:editId="7F50EB3F">
            <wp:extent cx="3933825" cy="2147868"/>
            <wp:effectExtent l="0" t="0" r="0" b="508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3575" cy="2158651"/>
                    </a:xfrm>
                    <a:prstGeom prst="rect">
                      <a:avLst/>
                    </a:prstGeom>
                  </pic:spPr>
                </pic:pic>
              </a:graphicData>
            </a:graphic>
          </wp:inline>
        </w:drawing>
      </w:r>
    </w:p>
    <w:p w14:paraId="381CB4E9"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Основным источником распределения активов будет являться Торгово-клиринговая система фондового рынка:</w:t>
      </w:r>
    </w:p>
    <w:p w14:paraId="40551AFF" w14:textId="77777777" w:rsidR="002C4839" w:rsidRPr="002C4839" w:rsidRDefault="002C4839" w:rsidP="002C4839">
      <w:pPr>
        <w:spacing w:after="240" w:line="240" w:lineRule="auto"/>
        <w:jc w:val="both"/>
        <w:rPr>
          <w:rFonts w:ascii="Times New Roman" w:hAnsi="Times New Roman" w:cs="Times New Roman"/>
          <w:sz w:val="24"/>
          <w:szCs w:val="24"/>
        </w:rPr>
      </w:pPr>
      <w:r w:rsidRPr="002C4839">
        <w:rPr>
          <w:noProof/>
          <w:lang w:eastAsia="ru-RU"/>
        </w:rPr>
        <w:drawing>
          <wp:inline distT="0" distB="0" distL="0" distR="0" wp14:anchorId="5E5DCD04" wp14:editId="4F8EF97B">
            <wp:extent cx="5514975" cy="2074052"/>
            <wp:effectExtent l="0" t="0" r="0" b="254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9040" cy="2079341"/>
                    </a:xfrm>
                    <a:prstGeom prst="rect">
                      <a:avLst/>
                    </a:prstGeom>
                  </pic:spPr>
                </pic:pic>
              </a:graphicData>
            </a:graphic>
          </wp:inline>
        </w:drawing>
      </w:r>
    </w:p>
    <w:p w14:paraId="1BF98600" w14:textId="77777777" w:rsidR="002C4839" w:rsidRPr="002C4839" w:rsidRDefault="002C4839" w:rsidP="002C4839">
      <w:pPr>
        <w:spacing w:after="240" w:line="240" w:lineRule="auto"/>
        <w:jc w:val="both"/>
        <w:rPr>
          <w:rFonts w:ascii="Times New Roman" w:hAnsi="Times New Roman" w:cs="Times New Roman"/>
          <w:sz w:val="24"/>
          <w:szCs w:val="24"/>
        </w:rPr>
      </w:pPr>
      <w:r w:rsidRPr="002C4839">
        <w:rPr>
          <w:noProof/>
          <w:lang w:eastAsia="ru-RU"/>
        </w:rPr>
        <w:drawing>
          <wp:inline distT="0" distB="0" distL="0" distR="0" wp14:anchorId="3B05B428" wp14:editId="64DD3F84">
            <wp:extent cx="5514975" cy="1779393"/>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2565" cy="1785068"/>
                    </a:xfrm>
                    <a:prstGeom prst="rect">
                      <a:avLst/>
                    </a:prstGeom>
                  </pic:spPr>
                </pic:pic>
              </a:graphicData>
            </a:graphic>
          </wp:inline>
        </w:drawing>
      </w:r>
    </w:p>
    <w:p w14:paraId="4E966DEA" w14:textId="77777777" w:rsidR="002C4839" w:rsidRPr="002C4839" w:rsidRDefault="002C4839" w:rsidP="002C4839">
      <w:pPr>
        <w:spacing w:after="240" w:line="240" w:lineRule="auto"/>
        <w:ind w:firstLine="567"/>
        <w:jc w:val="both"/>
        <w:rPr>
          <w:rFonts w:ascii="Times New Roman" w:hAnsi="Times New Roman" w:cs="Times New Roman"/>
          <w:sz w:val="24"/>
          <w:szCs w:val="24"/>
        </w:rPr>
      </w:pPr>
      <w:r w:rsidRPr="002C4839">
        <w:rPr>
          <w:rFonts w:ascii="Times New Roman" w:hAnsi="Times New Roman" w:cs="Times New Roman"/>
          <w:sz w:val="24"/>
          <w:szCs w:val="24"/>
        </w:rPr>
        <w:t>Передача профилей активов приведена на следующей схеме:</w:t>
      </w:r>
    </w:p>
    <w:p w14:paraId="7C038185" w14:textId="77777777" w:rsidR="002C4839" w:rsidRPr="002C4839" w:rsidRDefault="002C4839" w:rsidP="002C4839">
      <w:pPr>
        <w:spacing w:after="240" w:line="240" w:lineRule="auto"/>
        <w:jc w:val="both"/>
        <w:rPr>
          <w:rFonts w:ascii="Times New Roman" w:hAnsi="Times New Roman" w:cs="Times New Roman"/>
          <w:sz w:val="24"/>
          <w:szCs w:val="24"/>
        </w:rPr>
      </w:pPr>
      <w:r w:rsidRPr="002C4839">
        <w:rPr>
          <w:noProof/>
          <w:lang w:eastAsia="ru-RU"/>
        </w:rPr>
        <w:drawing>
          <wp:inline distT="0" distB="0" distL="0" distR="0" wp14:anchorId="16DA94C1" wp14:editId="5A8975DF">
            <wp:extent cx="5486400" cy="16813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6698" cy="1684536"/>
                    </a:xfrm>
                    <a:prstGeom prst="rect">
                      <a:avLst/>
                    </a:prstGeom>
                  </pic:spPr>
                </pic:pic>
              </a:graphicData>
            </a:graphic>
          </wp:inline>
        </w:drawing>
      </w:r>
    </w:p>
    <w:p w14:paraId="2D8CD184"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lastRenderedPageBreak/>
        <w:t>Ниже также представлена схема перевода обеспечения между расчетными кодами Единого пула:</w:t>
      </w:r>
    </w:p>
    <w:p w14:paraId="0E4E74B8" w14:textId="77777777" w:rsidR="002C4839" w:rsidRPr="002C4839" w:rsidRDefault="002C4839" w:rsidP="002C4839">
      <w:pPr>
        <w:spacing w:after="240" w:line="240" w:lineRule="auto"/>
        <w:jc w:val="both"/>
        <w:rPr>
          <w:rFonts w:ascii="Times New Roman" w:hAnsi="Times New Roman" w:cs="Times New Roman"/>
          <w:sz w:val="24"/>
          <w:szCs w:val="24"/>
        </w:rPr>
      </w:pPr>
      <w:r w:rsidRPr="002C4839">
        <w:rPr>
          <w:noProof/>
          <w:lang w:eastAsia="ru-RU"/>
        </w:rPr>
        <w:drawing>
          <wp:inline distT="0" distB="0" distL="0" distR="0" wp14:anchorId="667BC9F8" wp14:editId="360026C1">
            <wp:extent cx="5727987" cy="1333500"/>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1895" cy="1343722"/>
                    </a:xfrm>
                    <a:prstGeom prst="rect">
                      <a:avLst/>
                    </a:prstGeom>
                  </pic:spPr>
                </pic:pic>
              </a:graphicData>
            </a:graphic>
          </wp:inline>
        </w:drawing>
      </w:r>
    </w:p>
    <w:p w14:paraId="72E0806C"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Для предоставления возможности подачи запросов на перевод денежных средств и профилей позиций по активам через терминалы Торгово-клиринговых систем реализуется функционал, в рамках которого данные запросы могут быть подготовлены с использованием терминала Торгово-клиринговой системы и поданы в адрес НКЦ через WEB-API Клирингового терминала.</w:t>
      </w:r>
    </w:p>
    <w:p w14:paraId="29AB9750"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Взаимодействие будет построено на унифицированных форматах электронных сообщений между торгово-клиринговыми системами всех биржевых рынков и учетной системой НКЦ. Первая версия унифицированного документооборота была успешно запущена в декабре 2016 года для возможности осуществления перевода между всеми рынками (за исключением СПФИ).</w:t>
      </w:r>
    </w:p>
    <w:p w14:paraId="36D89714" w14:textId="77777777" w:rsidR="002C4839" w:rsidRPr="002C4839" w:rsidRDefault="002C4839" w:rsidP="002C4839">
      <w:pPr>
        <w:keepNext/>
        <w:tabs>
          <w:tab w:val="num" w:pos="851"/>
        </w:tabs>
        <w:spacing w:before="360" w:after="0" w:line="240" w:lineRule="auto"/>
        <w:ind w:left="851" w:hanging="851"/>
        <w:jc w:val="center"/>
        <w:rPr>
          <w:rFonts w:ascii="Times New Roman" w:eastAsia="Times New Roman" w:hAnsi="Times New Roman" w:cs="Times New Roman"/>
          <w:b/>
          <w:i/>
          <w:sz w:val="24"/>
          <w:szCs w:val="24"/>
          <w:lang w:eastAsia="ru-RU"/>
        </w:rPr>
      </w:pPr>
      <w:r w:rsidRPr="002C4839">
        <w:rPr>
          <w:rFonts w:ascii="Times New Roman" w:eastAsia="Times New Roman" w:hAnsi="Times New Roman" w:cs="Times New Roman"/>
          <w:b/>
          <w:i/>
          <w:sz w:val="24"/>
          <w:szCs w:val="24"/>
          <w:lang w:eastAsia="ru-RU"/>
        </w:rPr>
        <w:t>Б. Проект «Размещение депозитов с центральным контрагентом»</w:t>
      </w:r>
    </w:p>
    <w:p w14:paraId="2E28AAE4" w14:textId="77777777" w:rsidR="002C4839" w:rsidRPr="002C4839" w:rsidRDefault="002C4839" w:rsidP="002C4839">
      <w:pPr>
        <w:spacing w:after="240" w:line="240" w:lineRule="auto"/>
        <w:ind w:firstLine="567"/>
        <w:jc w:val="both"/>
        <w:rPr>
          <w:rFonts w:ascii="Times New Roman" w:hAnsi="Times New Roman" w:cs="Times New Roman"/>
          <w:sz w:val="24"/>
          <w:szCs w:val="24"/>
        </w:rPr>
      </w:pPr>
    </w:p>
    <w:p w14:paraId="6930B163" w14:textId="77777777" w:rsidR="002C4839" w:rsidRPr="002C4839" w:rsidRDefault="00455B5E"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4839" w:rsidRPr="007801F8">
        <w:rPr>
          <w:rFonts w:ascii="Times New Roman" w:hAnsi="Times New Roman" w:cs="Times New Roman"/>
          <w:bCs/>
          <w:sz w:val="24"/>
          <w:szCs w:val="24"/>
        </w:rPr>
        <w:t>Проект «Размещение депозитов с центральным контрагентом» планируется к запуску в 1-м полугодии 2017 после регистрации Правил клиринга Банком России, а также после проверки готовности программного обеспечения.</w:t>
      </w:r>
    </w:p>
    <w:p w14:paraId="0C120486" w14:textId="77777777" w:rsidR="00AF5410" w:rsidRPr="00EA2597" w:rsidRDefault="00455B5E"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2C4839" w:rsidRPr="002C4839">
        <w:rPr>
          <w:rFonts w:ascii="Times New Roman" w:hAnsi="Times New Roman" w:cs="Times New Roman"/>
          <w:sz w:val="24"/>
          <w:szCs w:val="24"/>
        </w:rPr>
        <w:t xml:space="preserve">  </w:t>
      </w:r>
      <w:r w:rsidR="00AF5410" w:rsidRPr="007801F8">
        <w:rPr>
          <w:rFonts w:ascii="Times New Roman" w:hAnsi="Times New Roman" w:cs="Times New Roman"/>
          <w:bCs/>
          <w:sz w:val="24"/>
          <w:szCs w:val="24"/>
        </w:rPr>
        <w:t xml:space="preserve">В соответствии с заключаемым между НКЦ и участником клиринга депозитным договором Банк принимает на депозитный счет </w:t>
      </w:r>
      <w:hyperlink r:id="rId18" w:history="1">
        <w:r w:rsidR="00AF5410" w:rsidRPr="00EA2597">
          <w:rPr>
            <w:rFonts w:ascii="Times New Roman" w:hAnsi="Times New Roman" w:cs="Times New Roman"/>
            <w:bCs/>
            <w:sz w:val="24"/>
            <w:szCs w:val="24"/>
          </w:rPr>
          <w:t>депозит</w:t>
        </w:r>
      </w:hyperlink>
      <w:r w:rsidR="00AF5410" w:rsidRPr="007801F8">
        <w:rPr>
          <w:rFonts w:ascii="Times New Roman" w:hAnsi="Times New Roman" w:cs="Times New Roman"/>
          <w:bCs/>
          <w:sz w:val="24"/>
          <w:szCs w:val="24"/>
        </w:rPr>
        <w:t xml:space="preserve"> участника клиринга в размере и на условиях, предусмотренных этим договором, обязуясь вернуть депозит и выплатить участнику клиринга </w:t>
      </w:r>
      <w:hyperlink r:id="rId19" w:history="1">
        <w:r w:rsidR="00AF5410" w:rsidRPr="00EA2597">
          <w:rPr>
            <w:rFonts w:ascii="Times New Roman" w:hAnsi="Times New Roman" w:cs="Times New Roman"/>
            <w:bCs/>
            <w:sz w:val="24"/>
            <w:szCs w:val="24"/>
          </w:rPr>
          <w:t>проценты по депозиту</w:t>
        </w:r>
      </w:hyperlink>
      <w:r w:rsidR="00AF5410" w:rsidRPr="007801F8">
        <w:rPr>
          <w:rFonts w:ascii="Times New Roman" w:hAnsi="Times New Roman" w:cs="Times New Roman"/>
          <w:bCs/>
          <w:sz w:val="24"/>
          <w:szCs w:val="24"/>
        </w:rPr>
        <w:t xml:space="preserve">. При этом денежные средства изначально поступают на клиринговый банковский счет НКЦ, открытый в НРД, и учитываются в качестве ИКО. После того, как НКЦ зачисляет эти денежные средства на депозитный счет, они перестают учитываться в качестве ИКО. После «возврата» денежных средств из депозита они </w:t>
      </w:r>
      <w:r w:rsidR="00AF5410" w:rsidRPr="00EA2597">
        <w:rPr>
          <w:rFonts w:ascii="Times New Roman" w:hAnsi="Times New Roman" w:cs="Times New Roman"/>
          <w:bCs/>
          <w:sz w:val="24"/>
          <w:szCs w:val="24"/>
        </w:rPr>
        <w:t>возвращаются в состав ИКО и учитываются соответствующим образом.</w:t>
      </w:r>
    </w:p>
    <w:p w14:paraId="2A444F30" w14:textId="77777777" w:rsidR="00AF5410" w:rsidRDefault="00AF5410" w:rsidP="00AF5410">
      <w:pPr>
        <w:spacing w:after="240" w:line="240" w:lineRule="auto"/>
        <w:ind w:firstLine="567"/>
        <w:jc w:val="both"/>
        <w:rPr>
          <w:rFonts w:ascii="Times New Roman" w:hAnsi="Times New Roman" w:cs="Times New Roman"/>
          <w:sz w:val="24"/>
          <w:szCs w:val="24"/>
        </w:rPr>
      </w:pPr>
    </w:p>
    <w:p w14:paraId="199EBB5B" w14:textId="77777777" w:rsidR="00AF5410" w:rsidRPr="007801F8" w:rsidRDefault="00AF5410"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Схема заключения и исполнения сделок по депозитному договору приведена на схеме:</w:t>
      </w:r>
    </w:p>
    <w:p w14:paraId="79866081" w14:textId="77777777" w:rsidR="00AF5410" w:rsidRDefault="00AF5410" w:rsidP="003A57B1">
      <w:pPr>
        <w:spacing w:before="60" w:after="0" w:line="240" w:lineRule="auto"/>
        <w:contextualSpacing/>
        <w:jc w:val="both"/>
        <w:rPr>
          <w:rFonts w:ascii="Times New Roman" w:hAnsi="Times New Roman" w:cs="Times New Roman"/>
          <w:sz w:val="24"/>
          <w:szCs w:val="24"/>
        </w:rPr>
      </w:pPr>
      <w:r w:rsidRPr="00631204">
        <w:rPr>
          <w:noProof/>
          <w:lang w:eastAsia="ru-RU"/>
        </w:rPr>
        <w:lastRenderedPageBreak/>
        <w:drawing>
          <wp:inline distT="0" distB="0" distL="0" distR="0" wp14:anchorId="3EDB9706" wp14:editId="093DA404">
            <wp:extent cx="5940425" cy="4198172"/>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4198172"/>
                    </a:xfrm>
                    <a:prstGeom prst="rect">
                      <a:avLst/>
                    </a:prstGeom>
                  </pic:spPr>
                </pic:pic>
              </a:graphicData>
            </a:graphic>
          </wp:inline>
        </w:drawing>
      </w:r>
      <w:r w:rsidR="002C4839" w:rsidRPr="002C4839">
        <w:rPr>
          <w:rFonts w:ascii="Times New Roman" w:hAnsi="Times New Roman" w:cs="Times New Roman"/>
          <w:sz w:val="24"/>
          <w:szCs w:val="24"/>
        </w:rPr>
        <w:t xml:space="preserve"> </w:t>
      </w:r>
    </w:p>
    <w:p w14:paraId="33313BE3" w14:textId="77777777" w:rsidR="00AF5410" w:rsidRDefault="00AF5410" w:rsidP="003A57B1">
      <w:pPr>
        <w:spacing w:before="60" w:after="0" w:line="240" w:lineRule="auto"/>
        <w:contextualSpacing/>
        <w:jc w:val="both"/>
        <w:rPr>
          <w:rFonts w:ascii="Times New Roman" w:hAnsi="Times New Roman" w:cs="Times New Roman"/>
          <w:sz w:val="24"/>
          <w:szCs w:val="24"/>
        </w:rPr>
      </w:pPr>
    </w:p>
    <w:p w14:paraId="02D3333C" w14:textId="77777777" w:rsidR="002C4839" w:rsidRPr="00EA2597" w:rsidRDefault="00455B5E"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2C4839" w:rsidRPr="007801F8">
        <w:rPr>
          <w:rFonts w:ascii="Times New Roman" w:hAnsi="Times New Roman" w:cs="Times New Roman"/>
          <w:bCs/>
          <w:sz w:val="24"/>
          <w:szCs w:val="24"/>
        </w:rPr>
        <w:t xml:space="preserve">Данный проект является развитием существующего биржевого рынка РЕПО с КСУ за счет </w:t>
      </w:r>
      <w:r w:rsidR="002C4839" w:rsidRPr="00EA2597">
        <w:rPr>
          <w:rFonts w:ascii="Times New Roman" w:hAnsi="Times New Roman" w:cs="Times New Roman"/>
          <w:bCs/>
          <w:sz w:val="24"/>
          <w:szCs w:val="24"/>
        </w:rPr>
        <w:t>привлечение на него новой ликвидности путем осуществления размещения средств в депозиты центральному контрагенту.</w:t>
      </w:r>
      <w:r w:rsidR="003A57B1" w:rsidRPr="00EA2597">
        <w:rPr>
          <w:rFonts w:ascii="Times New Roman" w:hAnsi="Times New Roman" w:cs="Times New Roman"/>
          <w:bCs/>
          <w:sz w:val="24"/>
          <w:szCs w:val="24"/>
        </w:rPr>
        <w:t xml:space="preserve"> </w:t>
      </w:r>
      <w:r w:rsidR="002C4839" w:rsidRPr="00EA2597">
        <w:rPr>
          <w:rFonts w:ascii="Times New Roman" w:hAnsi="Times New Roman" w:cs="Times New Roman"/>
          <w:bCs/>
          <w:sz w:val="24"/>
          <w:szCs w:val="24"/>
        </w:rPr>
        <w:t>После реализации проекта корпораты получат прямой доступ к существующему рынку РЕПО с КСУ (в адресном и безадресном режимах) для размещения средств. После подачи заявки корпоратом на размещение средств, при условии подачи встречной заявки участника на привлечение средств в РЕПО с КСУ, происходит смэтчивание этих заявок и заключаются 2 сделки с центральным контрагентом: депозитная сделка между НКЦ и корпоратом и сделка РЕПО между НКЦ и участником рынка РЕПО с КСУ.</w:t>
      </w:r>
    </w:p>
    <w:p w14:paraId="7B612803"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Запуск данного проекта дает ряд преимуществ:</w:t>
      </w:r>
    </w:p>
    <w:p w14:paraId="5948E32B"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размещение депозитов по рыночным ставкам, сформированным в стакане котировок РЕПО с КСУ, вне лимитов и ограничений корпората на контрагентов;</w:t>
      </w:r>
    </w:p>
    <w:p w14:paraId="5C3FBE90"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депозитные сделки заключаются с высоконадежным центральным контрагентом, гарантирующим исполнение сделок. НКЦ получает обеспечение по сделке РЕПО, что защищает его от последствий возможного неисполнения участником рынка РЕПО с КСУ второй части сделки;</w:t>
      </w:r>
    </w:p>
    <w:p w14:paraId="147E8144"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корпорат не получает ценных бумаг по сделке (как в РЕПО), что не потребует от корпората издержек на учет и хранение ценных бумаг, для которого такая деятельность не является профильной;</w:t>
      </w:r>
    </w:p>
    <w:p w14:paraId="5431D735"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в соответствии с депозитным договором с участником клиринга НКЦ </w:t>
      </w:r>
      <w:r w:rsidRPr="002C4839">
        <w:rPr>
          <w:rFonts w:ascii="Times New Roman" w:hAnsi="Times New Roman" w:cs="Times New Roman"/>
          <w:sz w:val="24"/>
          <w:szCs w:val="24"/>
        </w:rPr>
        <w:t>принимает на депозитный счет его средства, обязуясь вернуть депозит и выплатить проценты по нему участнику клиринга.</w:t>
      </w:r>
    </w:p>
    <w:p w14:paraId="1719ED5D" w14:textId="77777777" w:rsidR="002C4839" w:rsidRPr="002C4839" w:rsidRDefault="002C4839" w:rsidP="002C4839">
      <w:pPr>
        <w:keepNext/>
        <w:tabs>
          <w:tab w:val="num" w:pos="851"/>
        </w:tabs>
        <w:spacing w:before="360" w:after="0" w:line="240" w:lineRule="auto"/>
        <w:ind w:left="851" w:hanging="851"/>
        <w:jc w:val="center"/>
        <w:rPr>
          <w:rFonts w:ascii="Times New Roman" w:eastAsia="Times New Roman" w:hAnsi="Times New Roman" w:cs="Times New Roman"/>
          <w:b/>
          <w:i/>
          <w:sz w:val="24"/>
          <w:szCs w:val="24"/>
          <w:lang w:eastAsia="ru-RU"/>
        </w:rPr>
      </w:pPr>
    </w:p>
    <w:p w14:paraId="58B3CBD8" w14:textId="77777777" w:rsidR="002C4839" w:rsidRPr="002C4839" w:rsidRDefault="002C4839" w:rsidP="002C4839">
      <w:pPr>
        <w:keepNext/>
        <w:tabs>
          <w:tab w:val="num" w:pos="851"/>
        </w:tabs>
        <w:spacing w:before="360" w:after="0" w:line="240" w:lineRule="auto"/>
        <w:ind w:left="851" w:hanging="851"/>
        <w:jc w:val="center"/>
        <w:rPr>
          <w:rFonts w:ascii="Times New Roman" w:eastAsia="Times New Roman" w:hAnsi="Times New Roman" w:cs="Times New Roman"/>
          <w:b/>
          <w:i/>
          <w:sz w:val="24"/>
          <w:szCs w:val="24"/>
          <w:lang w:eastAsia="ru-RU"/>
        </w:rPr>
      </w:pPr>
      <w:r w:rsidRPr="002C4839">
        <w:rPr>
          <w:rFonts w:ascii="Times New Roman" w:eastAsia="Times New Roman" w:hAnsi="Times New Roman" w:cs="Times New Roman"/>
          <w:b/>
          <w:i/>
          <w:sz w:val="24"/>
          <w:szCs w:val="24"/>
          <w:lang w:eastAsia="ru-RU"/>
        </w:rPr>
        <w:t>В. Проект «Клиринговый терминал»</w:t>
      </w:r>
    </w:p>
    <w:p w14:paraId="04A00D1E" w14:textId="77777777" w:rsidR="002C4839" w:rsidRPr="002C4839" w:rsidRDefault="002C4839" w:rsidP="002C4839">
      <w:pPr>
        <w:spacing w:after="240" w:line="240" w:lineRule="auto"/>
        <w:ind w:firstLine="567"/>
        <w:jc w:val="both"/>
        <w:rPr>
          <w:rFonts w:ascii="Times New Roman" w:hAnsi="Times New Roman" w:cs="Times New Roman"/>
          <w:sz w:val="24"/>
          <w:szCs w:val="24"/>
        </w:rPr>
      </w:pPr>
    </w:p>
    <w:p w14:paraId="0B23DDBE"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Проект «Клиринговый терминал» планируется к запуску в 1-м полугодии 2018 года после проверки готовности программного обеспечения. Этот проект тесно связан с проектом «Единый пул обеспечения», так как обеспечивает взаимодействие между участниками клиринга и НКЦ.</w:t>
      </w:r>
    </w:p>
    <w:p w14:paraId="79FE6B15" w14:textId="77777777" w:rsidR="002C4839" w:rsidRPr="007801F8" w:rsidRDefault="002C4839"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По результатам осуществления данного проекта должны быть реализовано программное обеспечение, удовлетворяющее следующим требованиям:</w:t>
      </w:r>
    </w:p>
    <w:p w14:paraId="305EF326"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обладать современным понятным графическим web-интерфейсом для осуществления участником клиринга операций со своими клиринговыми объектами, а именно: с расчетными кодами, торгово-клиринговыми счетами, со счетами для возврата денежных средств и др., а также осуществления мониторинга в режиме реального времени за  состоянием клиринговых объектов и других клиринговых данных на рынках Группы «Московская биржа»: фондовом рынке, денежном рынке, валютном рынке, срочном рынке (включая рынок СПФИ) и товарном рынке;</w:t>
      </w:r>
    </w:p>
    <w:p w14:paraId="45A2CFA6"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обладать современным WEB-API, построенным на принципах архитектурного стиля RESTful, позволяющим участникам клиринга использовать методы Клирингового терминала при построении собственных систем;</w:t>
      </w:r>
    </w:p>
    <w:p w14:paraId="1204DACA"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WEB-API Клирингового терминала должен включать методы, которые будут вызываться торговыми терминалами Московской Биржи в рамках реализации функционала единого пула обеспечения, включая переводы профилей позиций по активам и обеспечения участников клиринга между рынками;</w:t>
      </w:r>
    </w:p>
    <w:p w14:paraId="5F4A35CC"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 качестве источника данных для Клирингового терминала должен использоваться EIF DataGrid;</w:t>
      </w:r>
    </w:p>
    <w:p w14:paraId="3CFEB8B6"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 программном обеспечении должна быть реализована ролевая модель доступа, предоставляющая участнику клиринга средства гибкого управления правами доступа своих пользователей, используя возможности матрицы типовых ролей и их «тонкой» настройки, создания новых ролей, что позволит, в частности, разделить роли пользователей в соответствии с внутренней организационной структурой участника клиринга;</w:t>
      </w:r>
    </w:p>
    <w:p w14:paraId="130103A6"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обеспечивать требуемую организацию документооборота между участниками клиринга и НКЦ:</w:t>
      </w:r>
    </w:p>
    <w:p w14:paraId="28F5AF81" w14:textId="77777777" w:rsidR="002C4839" w:rsidRPr="002C4839" w:rsidRDefault="002C4839"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на начальном этапе с использованием существующих форматов электронных документов через ЭДО НКЦ, </w:t>
      </w:r>
    </w:p>
    <w:p w14:paraId="745AA42D" w14:textId="77777777" w:rsidR="002C4839" w:rsidRPr="002C4839" w:rsidRDefault="002C4839" w:rsidP="00441380">
      <w:pPr>
        <w:numPr>
          <w:ilvl w:val="1"/>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 последующем - в виде электронных документов в формате xml, используя Клиринговый терминал и WEB-API, включающих:</w:t>
      </w:r>
    </w:p>
    <w:p w14:paraId="54595B04" w14:textId="77777777" w:rsidR="002C4839" w:rsidRPr="002C4839" w:rsidRDefault="002C4839" w:rsidP="00441380">
      <w:pPr>
        <w:numPr>
          <w:ilvl w:val="2"/>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запросы на перевод обеспечения и профилей позиций по активам;</w:t>
      </w:r>
    </w:p>
    <w:p w14:paraId="03058E49" w14:textId="77777777" w:rsidR="002C4839" w:rsidRPr="002C4839" w:rsidRDefault="002C4839" w:rsidP="00441380">
      <w:pPr>
        <w:numPr>
          <w:ilvl w:val="2"/>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запросы на изменения параметров, закрепленных за расчетными кодами Участников клиринга, включая риск-параметры;</w:t>
      </w:r>
    </w:p>
    <w:p w14:paraId="0730343B"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иметь функцию предоставления участникам клиринга по счетам обеспечения выписок по окончании операционного дня НКЦ и дебетовых/кредитовых авизо в ходе операционного дня НКЦ;</w:t>
      </w:r>
    </w:p>
    <w:p w14:paraId="5F506744"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предоставлять участникам клиринга возможность управления брокерскими фирмами, разделами клиринговых регистров, расчетными кодами и Торгово-клиринговыми счетами, в соответствии с Правилами клиринга;</w:t>
      </w:r>
    </w:p>
    <w:p w14:paraId="2A969681"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обеспечивать реализацию возможности доступа к Клиринговому терминалу участников торгов, не совпадающих в одном лице с участниками клиринга, </w:t>
      </w:r>
      <w:r w:rsidRPr="002C4839">
        <w:rPr>
          <w:rFonts w:ascii="Times New Roman" w:eastAsia="Times New Roman" w:hAnsi="Times New Roman" w:cs="Times New Roman"/>
          <w:bCs/>
          <w:noProof/>
          <w:sz w:val="24"/>
          <w:szCs w:val="24"/>
          <w:lang w:eastAsia="ru-RU"/>
        </w:rPr>
        <w:lastRenderedPageBreak/>
        <w:t>предоставление таким участникам торгов возможности управления разделами клиринговых регистров, расчетными кодами и Торгово-клиринговыми счетами 3-го уровня, в соответствии с Правилами клиринга и договором о ведении клиринговых регистров;</w:t>
      </w:r>
    </w:p>
    <w:p w14:paraId="6E189240"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предоставлять возможность доступа к просмотру клиринговых отчетов, сформированных по результатам клиринга на всех рынках;</w:t>
      </w:r>
    </w:p>
    <w:p w14:paraId="3FAF94B7"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иметь программный компонент API Gateway, который будет предотвращать DDOS и другие виды интернет атак на Клиринговый терминал;</w:t>
      </w:r>
    </w:p>
    <w:p w14:paraId="4DE906DF"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включать в себя двухфакторную модель аутентификации с усиленной квалифицированной ЭЦП, когда учётные записи пользователей Клирингового терминала</w:t>
      </w:r>
      <w:r w:rsidRPr="002C4839" w:rsidDel="00ED221B">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eastAsia="ru-RU"/>
        </w:rPr>
        <w:t>и их права будут храниться в базе данных сервера приложений Клирингового терминала;</w:t>
      </w:r>
    </w:p>
    <w:p w14:paraId="7FB98368"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обеспечивать реализацию принципа «двойного контроля», позволяющего по выбору участника клиринга требовать наличия двух подписей под определенными видами запросов.</w:t>
      </w:r>
    </w:p>
    <w:p w14:paraId="0AF32A4A" w14:textId="77777777" w:rsidR="002C4839" w:rsidRPr="002C4839" w:rsidRDefault="002C4839" w:rsidP="002C4839">
      <w:pPr>
        <w:spacing w:after="240" w:line="240" w:lineRule="auto"/>
        <w:ind w:firstLine="567"/>
        <w:jc w:val="both"/>
        <w:rPr>
          <w:rFonts w:ascii="Times New Roman" w:hAnsi="Times New Roman" w:cs="Times New Roman"/>
          <w:sz w:val="24"/>
          <w:szCs w:val="24"/>
        </w:rPr>
      </w:pPr>
    </w:p>
    <w:p w14:paraId="2DAA15F3" w14:textId="77777777" w:rsidR="002C4839" w:rsidRPr="002C4839" w:rsidRDefault="002C4839" w:rsidP="002C4839">
      <w:pPr>
        <w:spacing w:after="0" w:line="240" w:lineRule="auto"/>
        <w:ind w:firstLine="567"/>
        <w:jc w:val="center"/>
        <w:rPr>
          <w:rFonts w:ascii="Times New Roman" w:eastAsia="Times New Roman" w:hAnsi="Times New Roman" w:cs="Times New Roman"/>
          <w:b/>
          <w:bCs/>
          <w:i/>
          <w:sz w:val="24"/>
          <w:szCs w:val="24"/>
          <w:lang w:eastAsia="ru-RU"/>
        </w:rPr>
      </w:pPr>
    </w:p>
    <w:p w14:paraId="7118E68A" w14:textId="77777777" w:rsidR="002C4839" w:rsidRPr="002C4839" w:rsidRDefault="002C4839" w:rsidP="002C4839">
      <w:pPr>
        <w:shd w:val="clear" w:color="auto" w:fill="FFFFFF"/>
        <w:spacing w:after="0" w:line="240" w:lineRule="auto"/>
        <w:ind w:left="720"/>
        <w:jc w:val="center"/>
        <w:rPr>
          <w:rFonts w:ascii="Segoe UI" w:eastAsia="Times New Roman" w:hAnsi="Segoe UI" w:cs="Segoe UI"/>
          <w:b/>
          <w:i/>
          <w:color w:val="212121"/>
          <w:sz w:val="23"/>
          <w:szCs w:val="23"/>
          <w:lang w:eastAsia="ru-RU"/>
        </w:rPr>
      </w:pPr>
      <w:r w:rsidRPr="002C4839">
        <w:rPr>
          <w:rFonts w:ascii="Times New Roman" w:eastAsia="Times New Roman" w:hAnsi="Times New Roman" w:cs="Times New Roman"/>
          <w:b/>
          <w:i/>
          <w:color w:val="000000"/>
          <w:sz w:val="24"/>
          <w:szCs w:val="24"/>
          <w:lang w:eastAsia="ru-RU"/>
        </w:rPr>
        <w:t>Г. Внедрение технологии кросс-маржирования на биржевых рынках Московской Биржи</w:t>
      </w:r>
    </w:p>
    <w:p w14:paraId="63511F1C" w14:textId="77777777" w:rsidR="003A57B1" w:rsidRDefault="002C4839" w:rsidP="002C4839">
      <w:pPr>
        <w:shd w:val="clear" w:color="auto" w:fill="FFFFFF"/>
        <w:spacing w:after="0" w:line="240" w:lineRule="auto"/>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t xml:space="preserve">    </w:t>
      </w:r>
    </w:p>
    <w:p w14:paraId="3A23736D" w14:textId="77777777" w:rsidR="002C4839" w:rsidRPr="00EA2597" w:rsidRDefault="003A57B1"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C4839" w:rsidRPr="002C4839">
        <w:rPr>
          <w:rFonts w:ascii="Times New Roman" w:eastAsia="Times New Roman" w:hAnsi="Times New Roman" w:cs="Times New Roman"/>
          <w:sz w:val="24"/>
          <w:szCs w:val="24"/>
          <w:lang w:eastAsia="ru-RU"/>
        </w:rPr>
        <w:t xml:space="preserve"> </w:t>
      </w:r>
      <w:r w:rsidR="002C4839" w:rsidRPr="00EA2597">
        <w:rPr>
          <w:rFonts w:ascii="Times New Roman" w:hAnsi="Times New Roman" w:cs="Times New Roman"/>
          <w:bCs/>
          <w:sz w:val="24"/>
          <w:szCs w:val="24"/>
        </w:rPr>
        <w:t>В 2017 году подразделения, вовлеченные в процесс управления рисками, продолжат совместную работу по внедрению технологии кросс-маржирования для основных биржевых рынков. В частности, запланировано внедрение межпродуктовых спредов по связанным инструментам</w:t>
      </w:r>
      <w:r w:rsidR="000C6921" w:rsidRPr="00EA2597">
        <w:rPr>
          <w:rFonts w:ascii="Times New Roman" w:hAnsi="Times New Roman" w:cs="Times New Roman"/>
          <w:bCs/>
          <w:sz w:val="24"/>
          <w:szCs w:val="24"/>
        </w:rPr>
        <w:t xml:space="preserve"> на фондовом рынке</w:t>
      </w:r>
      <w:r w:rsidR="001C1178" w:rsidRPr="00EA2597">
        <w:rPr>
          <w:rFonts w:ascii="Times New Roman" w:hAnsi="Times New Roman" w:cs="Times New Roman"/>
          <w:bCs/>
          <w:sz w:val="24"/>
          <w:szCs w:val="24"/>
        </w:rPr>
        <w:t xml:space="preserve"> (на первом этапе – ОФЗ)</w:t>
      </w:r>
      <w:r w:rsidR="002C4839" w:rsidRPr="00EA2597">
        <w:rPr>
          <w:rFonts w:ascii="Times New Roman" w:hAnsi="Times New Roman" w:cs="Times New Roman"/>
          <w:bCs/>
          <w:sz w:val="24"/>
          <w:szCs w:val="24"/>
        </w:rPr>
        <w:t>. Внедряемые изменения позволят участникам более эффективно управлять обеспечением за счет совместного маржирования инструментов, цены которых зависят от одних и тех же риск-факторов.</w:t>
      </w:r>
    </w:p>
    <w:p w14:paraId="7D0FF8E8" w14:textId="77777777" w:rsidR="002C4839" w:rsidRPr="002C4839" w:rsidRDefault="002C4839" w:rsidP="002C4839">
      <w:pPr>
        <w:shd w:val="clear" w:color="auto" w:fill="FFFFFF"/>
        <w:spacing w:after="0" w:line="240" w:lineRule="auto"/>
        <w:ind w:left="720"/>
        <w:rPr>
          <w:rFonts w:ascii="Segoe UI" w:eastAsia="Times New Roman" w:hAnsi="Segoe UI" w:cs="Segoe UI"/>
          <w:color w:val="212121"/>
          <w:sz w:val="23"/>
          <w:szCs w:val="23"/>
          <w:lang w:eastAsia="ru-RU"/>
        </w:rPr>
      </w:pPr>
    </w:p>
    <w:p w14:paraId="68CCD417" w14:textId="77777777" w:rsidR="002C4839" w:rsidRPr="002C4839" w:rsidRDefault="002C4839" w:rsidP="002C4839">
      <w:pPr>
        <w:shd w:val="clear" w:color="auto" w:fill="FFFFFF"/>
        <w:spacing w:after="0" w:line="240" w:lineRule="auto"/>
        <w:ind w:left="720"/>
        <w:jc w:val="center"/>
        <w:rPr>
          <w:rFonts w:ascii="Segoe UI" w:eastAsia="Times New Roman" w:hAnsi="Segoe UI" w:cs="Segoe UI"/>
          <w:b/>
          <w:i/>
          <w:color w:val="212121"/>
          <w:sz w:val="23"/>
          <w:szCs w:val="23"/>
          <w:lang w:eastAsia="ru-RU"/>
        </w:rPr>
      </w:pPr>
      <w:r w:rsidRPr="002C4839">
        <w:rPr>
          <w:rFonts w:ascii="Times New Roman" w:eastAsia="Times New Roman" w:hAnsi="Times New Roman" w:cs="Times New Roman"/>
          <w:b/>
          <w:i/>
          <w:color w:val="000000"/>
          <w:sz w:val="24"/>
          <w:szCs w:val="24"/>
          <w:lang w:eastAsia="ru-RU"/>
        </w:rPr>
        <w:t>Д. Совершенствование подходов и методов стресс-тестирования</w:t>
      </w:r>
    </w:p>
    <w:p w14:paraId="14F16148" w14:textId="77777777" w:rsidR="002C4839" w:rsidRPr="002C4839" w:rsidRDefault="002C4839" w:rsidP="002C4839">
      <w:pPr>
        <w:shd w:val="clear" w:color="auto" w:fill="FFFFFF"/>
        <w:spacing w:after="0" w:line="240" w:lineRule="auto"/>
        <w:rPr>
          <w:rFonts w:ascii="Times New Roman" w:eastAsia="Times New Roman" w:hAnsi="Times New Roman" w:cs="Times New Roman"/>
          <w:color w:val="2F5597"/>
          <w:sz w:val="24"/>
          <w:szCs w:val="24"/>
          <w:lang w:eastAsia="ru-RU"/>
        </w:rPr>
      </w:pPr>
    </w:p>
    <w:p w14:paraId="0B2DC25A" w14:textId="77777777" w:rsidR="00BF118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eastAsia="Times New Roman" w:hAnsi="Times New Roman" w:cs="Times New Roman"/>
          <w:color w:val="2F5597"/>
          <w:sz w:val="24"/>
          <w:szCs w:val="24"/>
          <w:lang w:eastAsia="ru-RU"/>
        </w:rPr>
        <w:t xml:space="preserve">      </w:t>
      </w:r>
      <w:r w:rsidRPr="00EA2597">
        <w:rPr>
          <w:rFonts w:ascii="Times New Roman" w:hAnsi="Times New Roman" w:cs="Times New Roman"/>
          <w:bCs/>
          <w:sz w:val="24"/>
          <w:szCs w:val="24"/>
        </w:rPr>
        <w:t xml:space="preserve">С целью соответствия регуляторным требованиям Банка России в отношении процедур проведения стресс-тестирования финансовой устойчивости в 2017 году запланирована разработка новых стресс-сценариев и актуализация сценарных параметров вследствие расширения масштабов клиринговой деятельности при реализации бизнес-проектов на рынках Группы Московская Биржа, а также с целью поддержания релевантности параметров стресс-тестирования текущим рыночным условиям и историческим шокам. </w:t>
      </w:r>
    </w:p>
    <w:p w14:paraId="26B84ACF" w14:textId="77777777" w:rsidR="002C4839" w:rsidRPr="00EA2597" w:rsidRDefault="00BF1189"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C4839" w:rsidRPr="00EA2597">
        <w:rPr>
          <w:rFonts w:ascii="Times New Roman" w:hAnsi="Times New Roman" w:cs="Times New Roman"/>
          <w:bCs/>
          <w:sz w:val="24"/>
          <w:szCs w:val="24"/>
        </w:rPr>
        <w:t>Помимо пересмотра сценариев и используемых параметров</w:t>
      </w:r>
      <w:r w:rsidR="003A57B1" w:rsidRPr="00EA2597">
        <w:rPr>
          <w:rFonts w:ascii="Times New Roman" w:hAnsi="Times New Roman" w:cs="Times New Roman"/>
          <w:bCs/>
          <w:sz w:val="24"/>
          <w:szCs w:val="24"/>
        </w:rPr>
        <w:t>,</w:t>
      </w:r>
      <w:r w:rsidR="002C4839" w:rsidRPr="00EA2597">
        <w:rPr>
          <w:rFonts w:ascii="Times New Roman" w:hAnsi="Times New Roman" w:cs="Times New Roman"/>
          <w:bCs/>
          <w:sz w:val="24"/>
          <w:szCs w:val="24"/>
        </w:rPr>
        <w:t xml:space="preserve"> также предполагается закрепить во внутренних документах четкие границы риска для целей анализа результатов стресс-тестирования, которые войдут в состав системы раннего предупреждения. Таким образом, указанное обновление процедур проведения стресс-тестирования финансовой устойчивости позволит еще полнее воплотить в деятельности НКЦ рекомендации, содержащиеся в Принципах для инфраструктурных организаций Комитетом по платежным и расчетным системам (CPSS) и Международной организации комиссий по ценным бумагам (IOSCO).</w:t>
      </w:r>
    </w:p>
    <w:p w14:paraId="071AB5A7" w14:textId="77777777" w:rsidR="002C4839" w:rsidRPr="002C4839" w:rsidRDefault="002C4839" w:rsidP="002C4839">
      <w:pPr>
        <w:spacing w:after="240" w:line="240" w:lineRule="auto"/>
        <w:ind w:firstLine="567"/>
        <w:jc w:val="center"/>
        <w:rPr>
          <w:rFonts w:ascii="Times New Roman" w:eastAsia="Times New Roman" w:hAnsi="Times New Roman" w:cs="Times New Roman"/>
          <w:b/>
          <w:i/>
          <w:sz w:val="24"/>
          <w:szCs w:val="24"/>
          <w:lang w:eastAsia="ru-RU"/>
        </w:rPr>
      </w:pPr>
    </w:p>
    <w:p w14:paraId="26B781F7" w14:textId="77777777" w:rsidR="002C4839" w:rsidRPr="002C4839" w:rsidRDefault="002C4839" w:rsidP="002C4839">
      <w:pPr>
        <w:spacing w:after="240" w:line="240" w:lineRule="auto"/>
        <w:ind w:firstLine="567"/>
        <w:jc w:val="center"/>
        <w:rPr>
          <w:rFonts w:ascii="Times New Roman" w:eastAsia="Times New Roman" w:hAnsi="Times New Roman" w:cs="Times New Roman"/>
          <w:b/>
          <w:i/>
          <w:sz w:val="24"/>
          <w:szCs w:val="24"/>
          <w:lang w:eastAsia="ru-RU"/>
        </w:rPr>
      </w:pPr>
    </w:p>
    <w:p w14:paraId="6901A058" w14:textId="77777777" w:rsidR="002C4839" w:rsidRPr="002C4839" w:rsidRDefault="002C4839" w:rsidP="002C4839">
      <w:pPr>
        <w:spacing w:after="240" w:line="240" w:lineRule="auto"/>
        <w:ind w:firstLine="567"/>
        <w:jc w:val="center"/>
        <w:rPr>
          <w:rFonts w:ascii="Times New Roman" w:eastAsia="Times New Roman" w:hAnsi="Times New Roman" w:cs="Times New Roman"/>
          <w:b/>
          <w:i/>
          <w:sz w:val="24"/>
          <w:szCs w:val="24"/>
          <w:lang w:eastAsia="ru-RU"/>
        </w:rPr>
      </w:pPr>
      <w:r w:rsidRPr="002C4839">
        <w:rPr>
          <w:rFonts w:ascii="Times New Roman" w:eastAsia="Times New Roman" w:hAnsi="Times New Roman" w:cs="Times New Roman"/>
          <w:b/>
          <w:i/>
          <w:sz w:val="24"/>
          <w:szCs w:val="24"/>
          <w:lang w:eastAsia="ru-RU"/>
        </w:rPr>
        <w:lastRenderedPageBreak/>
        <w:t>Е. Развитие товарного рынка</w:t>
      </w:r>
    </w:p>
    <w:p w14:paraId="7E7131F9" w14:textId="77777777" w:rsidR="002C4839" w:rsidRPr="002C4839" w:rsidRDefault="002C4839" w:rsidP="00EA2597">
      <w:pPr>
        <w:spacing w:line="240" w:lineRule="auto"/>
        <w:ind w:firstLine="567"/>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В 2017 году планируется дальнейшее расширение Банком, выполняющим функции Оператора товарных поставок (ОТП), перечня товарных складов (элеваторов), аккредитованных в качестве базисов поставки зерна (пшеницы, кукурузы, ячменя) на товарном рынке АО НТБ, соответствующих всем требованиям к технологии хранения, и привлекательных для клиентов Группы «Московская Биржа» с точки зрения логистики.</w:t>
      </w:r>
    </w:p>
    <w:p w14:paraId="58F8498F" w14:textId="5AD8E09F" w:rsidR="002C4839" w:rsidRPr="00EA2597" w:rsidRDefault="002C4839" w:rsidP="006A2634">
      <w:pPr>
        <w:shd w:val="clear" w:color="auto" w:fill="FFFFFF"/>
        <w:spacing w:after="0" w:line="240" w:lineRule="auto"/>
        <w:jc w:val="both"/>
        <w:rPr>
          <w:rFonts w:ascii="Times New Roman" w:hAnsi="Times New Roman" w:cs="Times New Roman"/>
          <w:bCs/>
          <w:sz w:val="24"/>
          <w:szCs w:val="24"/>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Одновременно с этим планируется расширение списка товаров (сахар и др.), выступающих базисным активом торгуемых производных финансовых инструментов – поставочных фьючерсов (обращаются с декабря 2015 года).</w:t>
      </w:r>
    </w:p>
    <w:p w14:paraId="482ACA9D" w14:textId="77777777" w:rsidR="002C4839" w:rsidRPr="002C4839" w:rsidRDefault="002C4839" w:rsidP="002C4839">
      <w:pPr>
        <w:shd w:val="clear" w:color="auto" w:fill="FFFFFF"/>
        <w:spacing w:after="0" w:line="240" w:lineRule="auto"/>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t> </w:t>
      </w:r>
    </w:p>
    <w:p w14:paraId="2CABD6CE" w14:textId="77777777" w:rsidR="002C4839" w:rsidRPr="002C4839" w:rsidRDefault="002C4839" w:rsidP="00EA2597">
      <w:pPr>
        <w:spacing w:line="240" w:lineRule="auto"/>
        <w:ind w:firstLine="567"/>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В I кв. 2017 года планируется реализации ряда изменений, в т.ч. в программном обеспечении (ТКС «УРОЖАЙ»), в соответствии с изменениями в Правила клиринга на товарном рынке, принятыми Банком в конце 2016 года, основными из которых являются:</w:t>
      </w:r>
    </w:p>
    <w:p w14:paraId="575C7AA5" w14:textId="77777777" w:rsidR="002C4839" w:rsidRPr="002C4839" w:rsidRDefault="002C4839" w:rsidP="002C4839">
      <w:pPr>
        <w:shd w:val="clear" w:color="auto" w:fill="FFFFFF"/>
        <w:spacing w:after="0" w:line="240" w:lineRule="auto"/>
        <w:rPr>
          <w:rFonts w:ascii="Times New Roman" w:eastAsia="Times New Roman" w:hAnsi="Times New Roman" w:cs="Times New Roman"/>
          <w:color w:val="212121"/>
          <w:sz w:val="24"/>
          <w:szCs w:val="24"/>
          <w:lang w:eastAsia="ru-RU"/>
        </w:rPr>
      </w:pPr>
      <w:r w:rsidRPr="002C4839">
        <w:rPr>
          <w:rFonts w:ascii="Times New Roman" w:eastAsia="Times New Roman" w:hAnsi="Times New Roman" w:cs="Times New Roman"/>
          <w:color w:val="000000"/>
          <w:sz w:val="24"/>
          <w:szCs w:val="24"/>
          <w:lang w:eastAsia="ru-RU"/>
        </w:rPr>
        <w:t> </w:t>
      </w:r>
    </w:p>
    <w:p w14:paraId="11D9F5AB" w14:textId="77777777" w:rsidR="002C4839" w:rsidRPr="002C4839" w:rsidRDefault="002C4839" w:rsidP="00441380">
      <w:pPr>
        <w:numPr>
          <w:ilvl w:val="0"/>
          <w:numId w:val="49"/>
        </w:numPr>
        <w:shd w:val="clear" w:color="auto" w:fill="FFFFFF"/>
        <w:spacing w:after="0" w:line="240" w:lineRule="auto"/>
        <w:contextualSpacing/>
        <w:rPr>
          <w:rFonts w:ascii="Times New Roman" w:eastAsia="Times New Roman" w:hAnsi="Times New Roman" w:cs="Times New Roman"/>
          <w:color w:val="212121"/>
          <w:sz w:val="24"/>
          <w:szCs w:val="24"/>
          <w:lang w:eastAsia="ru-RU"/>
        </w:rPr>
      </w:pPr>
      <w:r w:rsidRPr="002C4839">
        <w:rPr>
          <w:rFonts w:ascii="Times New Roman" w:eastAsia="Times New Roman" w:hAnsi="Times New Roman" w:cs="Times New Roman"/>
          <w:color w:val="000000"/>
          <w:sz w:val="24"/>
          <w:szCs w:val="24"/>
          <w:lang w:eastAsia="ru-RU"/>
        </w:rPr>
        <w:t>запуск нового производного финансового инструмента – своп договора;</w:t>
      </w:r>
    </w:p>
    <w:p w14:paraId="71B25FE9" w14:textId="77777777" w:rsidR="002C4839" w:rsidRPr="002C4839" w:rsidRDefault="002C4839" w:rsidP="00441380">
      <w:pPr>
        <w:numPr>
          <w:ilvl w:val="0"/>
          <w:numId w:val="49"/>
        </w:numPr>
        <w:shd w:val="clear" w:color="auto" w:fill="FFFFFF"/>
        <w:spacing w:after="0" w:line="240" w:lineRule="auto"/>
        <w:contextualSpacing/>
        <w:rPr>
          <w:rFonts w:ascii="Times New Roman" w:eastAsia="Times New Roman" w:hAnsi="Times New Roman" w:cs="Times New Roman"/>
          <w:color w:val="212121"/>
          <w:sz w:val="24"/>
          <w:szCs w:val="24"/>
          <w:lang w:eastAsia="ru-RU"/>
        </w:rPr>
      </w:pPr>
      <w:r w:rsidRPr="002C4839">
        <w:rPr>
          <w:rFonts w:ascii="Times New Roman" w:eastAsia="Times New Roman" w:hAnsi="Times New Roman" w:cs="Times New Roman"/>
          <w:color w:val="000000"/>
          <w:sz w:val="24"/>
          <w:szCs w:val="24"/>
          <w:lang w:eastAsia="ru-RU"/>
        </w:rPr>
        <w:t>исполнение договоров на товарном рынке с участием центрального контрагента.</w:t>
      </w:r>
    </w:p>
    <w:p w14:paraId="63164FB9" w14:textId="77777777" w:rsidR="002C4839" w:rsidRPr="002C4839" w:rsidRDefault="002C4839" w:rsidP="002C4839">
      <w:pPr>
        <w:shd w:val="clear" w:color="auto" w:fill="FFFFFF"/>
        <w:spacing w:after="0" w:line="240" w:lineRule="auto"/>
        <w:ind w:firstLine="60"/>
        <w:rPr>
          <w:rFonts w:ascii="Times New Roman" w:eastAsia="Times New Roman" w:hAnsi="Times New Roman" w:cs="Times New Roman"/>
          <w:color w:val="212121"/>
          <w:sz w:val="24"/>
          <w:szCs w:val="24"/>
          <w:lang w:eastAsia="ru-RU"/>
        </w:rPr>
      </w:pPr>
    </w:p>
    <w:p w14:paraId="69FD6391" w14:textId="7EF14EE4"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В рамках подготовки к запуску в 2017 году проекта Московской Биржи по торгам поставочными форвардными контрактами, базисным активом которых является сахар</w:t>
      </w:r>
      <w:r w:rsidR="006A2634">
        <w:rPr>
          <w:rFonts w:ascii="Times New Roman" w:hAnsi="Times New Roman" w:cs="Times New Roman"/>
          <w:bCs/>
          <w:sz w:val="24"/>
          <w:szCs w:val="24"/>
        </w:rPr>
        <w:t>.</w:t>
      </w:r>
      <w:r w:rsidRPr="00EA2597">
        <w:rPr>
          <w:rFonts w:ascii="Times New Roman" w:hAnsi="Times New Roman" w:cs="Times New Roman"/>
          <w:bCs/>
          <w:sz w:val="24"/>
          <w:szCs w:val="24"/>
        </w:rPr>
        <w:t xml:space="preserve"> </w:t>
      </w:r>
      <w:r w:rsidR="003A57B1" w:rsidRPr="00EA2597">
        <w:rPr>
          <w:rFonts w:ascii="Times New Roman" w:hAnsi="Times New Roman" w:cs="Times New Roman"/>
          <w:bCs/>
          <w:sz w:val="24"/>
          <w:szCs w:val="24"/>
        </w:rPr>
        <w:t xml:space="preserve"> </w:t>
      </w:r>
      <w:r w:rsidRPr="00EA2597">
        <w:rPr>
          <w:rFonts w:ascii="Times New Roman" w:hAnsi="Times New Roman" w:cs="Times New Roman"/>
          <w:bCs/>
          <w:sz w:val="24"/>
          <w:szCs w:val="24"/>
        </w:rPr>
        <w:t xml:space="preserve">Биржа и НКЦ осуществляют аккредитацию складов во всех регионах производства сахара, а также обучение представителей отрасли работе с биржевой торгово-клиринговой платформой. Соответствующие изменения в правила клиринга товарного рынка уже внесены. </w:t>
      </w:r>
    </w:p>
    <w:p w14:paraId="38E19914"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Запуск торгов будет осуществлен при поддержке Союза производителей сахара России, участники которого смогут участвовать в торгах напрямую или с помощью брокерских компаний.</w:t>
      </w:r>
    </w:p>
    <w:p w14:paraId="263069BA" w14:textId="77777777" w:rsidR="002C4839" w:rsidRPr="002C4839" w:rsidRDefault="002C4839" w:rsidP="002C4839">
      <w:pPr>
        <w:spacing w:after="0" w:line="240" w:lineRule="auto"/>
        <w:ind w:firstLine="567"/>
        <w:jc w:val="center"/>
        <w:rPr>
          <w:rFonts w:ascii="Times New Roman" w:eastAsia="Times New Roman" w:hAnsi="Times New Roman" w:cs="Times New Roman"/>
          <w:b/>
          <w:bCs/>
          <w:i/>
          <w:sz w:val="24"/>
          <w:szCs w:val="24"/>
          <w:lang w:eastAsia="ru-RU"/>
        </w:rPr>
      </w:pPr>
    </w:p>
    <w:p w14:paraId="2C74C418" w14:textId="77777777" w:rsidR="009D697F" w:rsidRPr="00132C64" w:rsidRDefault="009D697F" w:rsidP="002C4839">
      <w:pPr>
        <w:spacing w:after="120"/>
        <w:ind w:firstLine="708"/>
        <w:jc w:val="center"/>
        <w:rPr>
          <w:rFonts w:ascii="Times New Roman" w:eastAsia="Times New Roman" w:hAnsi="Times New Roman" w:cs="Times New Roman"/>
          <w:b/>
          <w:i/>
          <w:sz w:val="24"/>
          <w:szCs w:val="24"/>
          <w:lang w:eastAsia="ru-RU"/>
        </w:rPr>
      </w:pPr>
    </w:p>
    <w:p w14:paraId="16939E52" w14:textId="77777777" w:rsidR="002C4839" w:rsidRPr="002C4839" w:rsidRDefault="002C4839" w:rsidP="002C4839">
      <w:pPr>
        <w:spacing w:after="120"/>
        <w:ind w:firstLine="708"/>
        <w:jc w:val="center"/>
        <w:rPr>
          <w:b/>
          <w:i/>
          <w:sz w:val="24"/>
          <w:szCs w:val="24"/>
        </w:rPr>
      </w:pPr>
      <w:r w:rsidRPr="002C4839">
        <w:rPr>
          <w:rFonts w:ascii="Times New Roman" w:eastAsia="Times New Roman" w:hAnsi="Times New Roman" w:cs="Times New Roman"/>
          <w:b/>
          <w:i/>
          <w:sz w:val="24"/>
          <w:szCs w:val="24"/>
          <w:lang w:val="en-US" w:eastAsia="ru-RU"/>
        </w:rPr>
        <w:t>II</w:t>
      </w:r>
      <w:r w:rsidRPr="002C4839">
        <w:rPr>
          <w:rFonts w:ascii="Times New Roman" w:eastAsia="Times New Roman" w:hAnsi="Times New Roman" w:cs="Times New Roman"/>
          <w:b/>
          <w:i/>
          <w:sz w:val="24"/>
          <w:szCs w:val="24"/>
          <w:lang w:eastAsia="ru-RU"/>
        </w:rPr>
        <w:t>.Собственные операции на финансовых рынках</w:t>
      </w:r>
    </w:p>
    <w:p w14:paraId="382D5BD9" w14:textId="77777777" w:rsidR="002C4839" w:rsidRPr="002C4839" w:rsidRDefault="002C4839" w:rsidP="00EA2597">
      <w:pPr>
        <w:spacing w:line="240" w:lineRule="auto"/>
        <w:ind w:firstLine="567"/>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В 2017 году деятельность НКЦ на финансовых рынках будут осуществляться с целью управления ликвидностью с учетом клиринговой деятельности центрального контрагента и собственных операций на рынках; выполнения процедур дефолт-менеджмента; управления портфелем активов для получения дохода в соответствии с плановым заданием акционера.</w:t>
      </w:r>
      <w:r w:rsidRPr="002C4839">
        <w:rPr>
          <w:rFonts w:ascii="Times New Roman" w:eastAsia="Times New Roman" w:hAnsi="Times New Roman" w:cs="Times New Roman"/>
          <w:sz w:val="24"/>
          <w:szCs w:val="24"/>
          <w:lang w:eastAsia="ru-RU"/>
        </w:rPr>
        <w:t xml:space="preserve"> </w:t>
      </w:r>
    </w:p>
    <w:p w14:paraId="3F29662E"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 xml:space="preserve">Основные изменения в процессе управления ликвидностью в 2017 году </w:t>
      </w:r>
      <w:r w:rsidR="00E80FE4" w:rsidRPr="00EA2597">
        <w:rPr>
          <w:rFonts w:ascii="Times New Roman" w:hAnsi="Times New Roman" w:cs="Times New Roman"/>
          <w:bCs/>
          <w:sz w:val="24"/>
          <w:szCs w:val="24"/>
        </w:rPr>
        <w:t xml:space="preserve">будут </w:t>
      </w:r>
      <w:r w:rsidRPr="00EA2597">
        <w:rPr>
          <w:rFonts w:ascii="Times New Roman" w:hAnsi="Times New Roman" w:cs="Times New Roman"/>
          <w:bCs/>
          <w:sz w:val="24"/>
          <w:szCs w:val="24"/>
        </w:rPr>
        <w:t xml:space="preserve">обусловлены следующими факторами: </w:t>
      </w:r>
    </w:p>
    <w:p w14:paraId="5B6ECAD1" w14:textId="77777777" w:rsidR="00BA175C" w:rsidRDefault="002C4839" w:rsidP="0068193E">
      <w:pPr>
        <w:numPr>
          <w:ilvl w:val="0"/>
          <w:numId w:val="49"/>
        </w:numPr>
        <w:shd w:val="clear" w:color="auto" w:fill="FFFFFF"/>
        <w:spacing w:after="120" w:line="240" w:lineRule="auto"/>
        <w:ind w:left="714" w:hanging="357"/>
        <w:contextualSpacing/>
        <w:jc w:val="both"/>
        <w:rPr>
          <w:rFonts w:ascii="Times New Roman" w:eastAsia="Times New Roman" w:hAnsi="Times New Roman" w:cs="Times New Roman"/>
          <w:color w:val="000000"/>
          <w:sz w:val="24"/>
          <w:szCs w:val="24"/>
          <w:lang w:eastAsia="ru-RU"/>
        </w:rPr>
      </w:pPr>
      <w:r w:rsidRPr="00BA175C">
        <w:rPr>
          <w:rFonts w:ascii="Times New Roman" w:eastAsia="Times New Roman" w:hAnsi="Times New Roman" w:cs="Times New Roman"/>
          <w:color w:val="000000"/>
          <w:sz w:val="24"/>
          <w:szCs w:val="24"/>
          <w:lang w:eastAsia="ru-RU"/>
        </w:rPr>
        <w:t>расширением продуктовой линейки Московской Биржи и, в первую очередь, внедрением нового инструмента – депозиты кор</w:t>
      </w:r>
      <w:r w:rsidR="00BA175C" w:rsidRPr="00BA175C">
        <w:rPr>
          <w:rFonts w:ascii="Times New Roman" w:eastAsia="Times New Roman" w:hAnsi="Times New Roman" w:cs="Times New Roman"/>
          <w:color w:val="000000"/>
          <w:sz w:val="24"/>
          <w:szCs w:val="24"/>
          <w:lang w:eastAsia="ru-RU"/>
        </w:rPr>
        <w:t>поративных участников клиринга;</w:t>
      </w:r>
    </w:p>
    <w:p w14:paraId="1F2647DB" w14:textId="446791A9" w:rsidR="002C4839" w:rsidRPr="00BA175C" w:rsidRDefault="002C4839" w:rsidP="0068193E">
      <w:pPr>
        <w:numPr>
          <w:ilvl w:val="0"/>
          <w:numId w:val="49"/>
        </w:numPr>
        <w:shd w:val="clear" w:color="auto" w:fill="FFFFFF"/>
        <w:spacing w:after="120" w:line="240" w:lineRule="auto"/>
        <w:ind w:left="714" w:hanging="357"/>
        <w:contextualSpacing/>
        <w:jc w:val="both"/>
        <w:rPr>
          <w:rFonts w:ascii="Times New Roman" w:eastAsia="Times New Roman" w:hAnsi="Times New Roman" w:cs="Times New Roman"/>
          <w:color w:val="000000"/>
          <w:sz w:val="24"/>
          <w:szCs w:val="24"/>
          <w:lang w:eastAsia="ru-RU"/>
        </w:rPr>
      </w:pPr>
      <w:r w:rsidRPr="00BA175C">
        <w:rPr>
          <w:rFonts w:ascii="Times New Roman" w:eastAsia="Times New Roman" w:hAnsi="Times New Roman" w:cs="Times New Roman"/>
          <w:color w:val="000000"/>
          <w:sz w:val="24"/>
          <w:szCs w:val="24"/>
          <w:lang w:eastAsia="ru-RU"/>
        </w:rPr>
        <w:t>изменениями в структуре пассивов – обеспечения участников клиринга. В 2016 году был введен новый вид обеспечения -  обеспечение под стресс, пересчитываемый еженедельно, что приводит к довольно существенным изменениям размера обеспечения в условиях неопределенности его структуры (рубли, валюта, ценные бумаги). Таким образом управление ликвидностью должно осуществляться с учетом появления новых факторов, что требует изменения параметров управления ликвидностью как по времени, так и по объему.</w:t>
      </w:r>
    </w:p>
    <w:p w14:paraId="1A9F6BAF" w14:textId="77777777" w:rsidR="002C4839" w:rsidRPr="002C4839" w:rsidRDefault="002C4839" w:rsidP="00EA2597">
      <w:pPr>
        <w:spacing w:line="240" w:lineRule="auto"/>
        <w:ind w:firstLine="567"/>
        <w:jc w:val="both"/>
        <w:rPr>
          <w:rFonts w:ascii="Times New Roman" w:eastAsia="Times New Roman" w:hAnsi="Times New Roman" w:cs="Times New Roman"/>
          <w:sz w:val="24"/>
          <w:szCs w:val="24"/>
          <w:lang w:eastAsia="ru-RU"/>
        </w:rPr>
      </w:pPr>
      <w:r w:rsidRPr="002C4839">
        <w:rPr>
          <w:rFonts w:ascii="Times New Roman" w:eastAsia="Times New Roman" w:hAnsi="Times New Roman" w:cs="Times New Roman"/>
          <w:sz w:val="24"/>
          <w:szCs w:val="24"/>
          <w:lang w:eastAsia="ru-RU"/>
        </w:rPr>
        <w:lastRenderedPageBreak/>
        <w:t xml:space="preserve">     </w:t>
      </w:r>
      <w:r w:rsidR="00E80FE4" w:rsidRPr="00EA2597">
        <w:rPr>
          <w:rFonts w:ascii="Times New Roman" w:hAnsi="Times New Roman" w:cs="Times New Roman"/>
          <w:bCs/>
          <w:sz w:val="24"/>
          <w:szCs w:val="24"/>
        </w:rPr>
        <w:t>Ожидаемое</w:t>
      </w:r>
      <w:r w:rsidR="009D697F" w:rsidRPr="00EA2597">
        <w:rPr>
          <w:rFonts w:ascii="Times New Roman" w:hAnsi="Times New Roman" w:cs="Times New Roman"/>
          <w:bCs/>
          <w:sz w:val="24"/>
          <w:szCs w:val="24"/>
        </w:rPr>
        <w:t xml:space="preserve"> </w:t>
      </w:r>
      <w:r w:rsidRPr="00EA2597">
        <w:rPr>
          <w:rFonts w:ascii="Times New Roman" w:hAnsi="Times New Roman" w:cs="Times New Roman"/>
          <w:bCs/>
          <w:sz w:val="24"/>
          <w:szCs w:val="24"/>
        </w:rPr>
        <w:t>в 2017 году дальнейшее сокращение числа кредитных организаций в связи с отзывом Банком России лицензий</w:t>
      </w:r>
      <w:r w:rsidR="00E80FE4" w:rsidRPr="00EA2597">
        <w:rPr>
          <w:rFonts w:ascii="Times New Roman" w:hAnsi="Times New Roman" w:cs="Times New Roman"/>
          <w:bCs/>
          <w:sz w:val="24"/>
          <w:szCs w:val="24"/>
        </w:rPr>
        <w:t xml:space="preserve"> </w:t>
      </w:r>
      <w:r w:rsidRPr="00EA2597">
        <w:rPr>
          <w:rFonts w:ascii="Times New Roman" w:hAnsi="Times New Roman" w:cs="Times New Roman"/>
          <w:bCs/>
          <w:sz w:val="24"/>
          <w:szCs w:val="24"/>
        </w:rPr>
        <w:t>приведет к значительному количеству процедур дефолт-менеджмента. Внедрение же новых инструментов, торгуемых на Московской Бирже, может повлиять как на объем операций дефолт-менеджмента, так и на перечень применяемых процедур и инструментов. Так, с появлением нового инструмента на торгах – депозитов корпоративных участников клиринга, могут быть применены и новые инструменты дефолт-менеджмента, например, РЕПО с КСУ от имени центрального контрагента.</w:t>
      </w:r>
    </w:p>
    <w:p w14:paraId="70F2EB38"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 xml:space="preserve">В 2017 году не ожидается существенных изменений в управлении портфелем активов с целью получения дохода в части применяемых финансовых инструментов. Однако предполагается изменение стратегии формирования активов, что </w:t>
      </w:r>
      <w:r w:rsidR="00E80FE4" w:rsidRPr="00EA2597">
        <w:rPr>
          <w:rFonts w:ascii="Times New Roman" w:hAnsi="Times New Roman" w:cs="Times New Roman"/>
          <w:bCs/>
          <w:sz w:val="24"/>
          <w:szCs w:val="24"/>
        </w:rPr>
        <w:t xml:space="preserve">обусловливается </w:t>
      </w:r>
      <w:r w:rsidRPr="00EA2597">
        <w:rPr>
          <w:rFonts w:ascii="Times New Roman" w:hAnsi="Times New Roman" w:cs="Times New Roman"/>
          <w:bCs/>
          <w:sz w:val="24"/>
          <w:szCs w:val="24"/>
        </w:rPr>
        <w:t>как ожиданиями окончания периода существенного снижения уровня рыночной доходности, так и возможными изменениями в структуре пассивов, существенно зависящей от изменений в клиринговой деятельности НКЦ. Поэтому основные усилия НКЦ в 2017 году будут направлены на изменение соотношения коротких и длинных финансовых инструментов в рублевой части, а в валютной – на снижение доли низкодоходных остатков на корреспондентских счетах в пользу ценных бумаг и операций РЕПО.</w:t>
      </w:r>
    </w:p>
    <w:p w14:paraId="3236AA99"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763B6EBE" w14:textId="77777777" w:rsidR="00572F5B" w:rsidRDefault="00572F5B"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611473F2" w14:textId="77777777" w:rsidR="00572F5B" w:rsidRDefault="00572F5B"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68B0EDBE"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2C4839">
        <w:rPr>
          <w:rFonts w:ascii="Times New Roman" w:eastAsia="Times New Roman" w:hAnsi="Times New Roman" w:cs="Times New Roman"/>
          <w:b/>
          <w:sz w:val="28"/>
          <w:szCs w:val="28"/>
          <w:lang w:eastAsia="ru-RU"/>
        </w:rPr>
        <w:t>5.Результаты развития по основным (приоритетным) направлениям деятельности</w:t>
      </w:r>
    </w:p>
    <w:p w14:paraId="669D8244"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439B484A" w14:textId="77777777" w:rsidR="002C4839" w:rsidRPr="002C4839" w:rsidRDefault="002C4839" w:rsidP="006D686F">
      <w:pPr>
        <w:widowControl w:val="0"/>
        <w:tabs>
          <w:tab w:val="left" w:pos="8820"/>
        </w:tabs>
        <w:overflowPunct w:val="0"/>
        <w:autoSpaceDE w:val="0"/>
        <w:autoSpaceDN w:val="0"/>
        <w:adjustRightInd w:val="0"/>
        <w:spacing w:after="120" w:line="240" w:lineRule="auto"/>
        <w:ind w:right="74"/>
        <w:jc w:val="center"/>
        <w:textAlignment w:val="baseline"/>
        <w:rPr>
          <w:rFonts w:ascii="Times New Roman" w:eastAsia="Times New Roman" w:hAnsi="Times New Roman" w:cs="Times New Roman"/>
          <w:b/>
          <w:sz w:val="28"/>
          <w:szCs w:val="28"/>
          <w:lang w:eastAsia="ru-RU"/>
        </w:rPr>
      </w:pPr>
      <w:r w:rsidRPr="002C4839">
        <w:rPr>
          <w:rFonts w:ascii="Times New Roman" w:eastAsia="Times New Roman" w:hAnsi="Times New Roman" w:cs="Times New Roman"/>
          <w:b/>
          <w:sz w:val="28"/>
          <w:szCs w:val="28"/>
          <w:lang w:eastAsia="ru-RU"/>
        </w:rPr>
        <w:t>5.1 Клиринговая деятельность на валютном рынке и рынке драгоценных металлов</w:t>
      </w:r>
    </w:p>
    <w:p w14:paraId="373113B4" w14:textId="77777777" w:rsidR="002C4839" w:rsidRPr="002C4839" w:rsidRDefault="00572F5B"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Валютный рынок Московской Биржи является старейшим в России организованным биржевым рынком, на котором с 1992 г. проводятся торги иностранной валютой, а с 2013 года развивается торговля и клиринг по операциям с драгоценными металлами. Биржевой валютный рынок является центром ликвидности по денежным операциям и важнейшим сегментом национальной финансовой системы. Банк России использует биржевой валютный рынок для реализации своей денежно-кредитной политики и определяет официальные курсы доллара США и других иностранных валют по отношению к рублю, используя результаты биржевых торгов. На основе фиксинга Московской Биржи также рассчитывается цены исполнения фьючерсных контрактов на курс иностранной валюты.</w:t>
      </w:r>
    </w:p>
    <w:p w14:paraId="1D3AD475"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Сегодня валютный рынок и рынок драгоценных металлов Московской Биржи – это современный, отвечающий всем необходимым регулятивным и новейшим технологическим требованиям биржевой рынок, на котором проводятся организованные торги основными мировыми валютами и осуществляется основной объем валютных операций. Удобство и уникальность биржевого валютного рынка обеспечиваются единой трейдинговой и посттрейдинговой инфраструктурой Группы «Московская Биржа», предоставляющей своим клиентам полный спектр торговых, клиринговых, расчетных и информационных сервисов. Сделки заключаются в соответствии с п</w:t>
      </w:r>
      <w:hyperlink r:id="rId21" w:history="1">
        <w:r w:rsidR="002C4839" w:rsidRPr="00EA2597">
          <w:rPr>
            <w:rFonts w:ascii="Times New Roman" w:hAnsi="Times New Roman" w:cs="Times New Roman"/>
            <w:bCs/>
            <w:sz w:val="24"/>
            <w:szCs w:val="24"/>
          </w:rPr>
          <w:t>равилами организованных торгов ПАО Московская Биржа на валютном рынке и рынке драгоценных металлов</w:t>
        </w:r>
      </w:hyperlink>
      <w:r w:rsidR="002C4839" w:rsidRPr="00EA2597">
        <w:rPr>
          <w:rFonts w:ascii="Times New Roman" w:hAnsi="Times New Roman" w:cs="Times New Roman"/>
          <w:bCs/>
          <w:sz w:val="24"/>
          <w:szCs w:val="24"/>
        </w:rPr>
        <w:t xml:space="preserve"> в режиме двойного встречного аукциона. Заключение сделок происходит автоматически по мере ввода в систему заявок противоположного направления с удовлетворяющими друг друга ценами. Также предусмотрен отдельный режим для заключения внесистемных (адресных) сделок. Функции организатора торгов </w:t>
      </w:r>
      <w:r w:rsidR="002C4839" w:rsidRPr="00EA2597">
        <w:rPr>
          <w:rFonts w:ascii="Times New Roman" w:hAnsi="Times New Roman" w:cs="Times New Roman"/>
          <w:bCs/>
          <w:sz w:val="24"/>
          <w:szCs w:val="24"/>
        </w:rPr>
        <w:lastRenderedPageBreak/>
        <w:t>и технического центра выполняет ПАО Московская Биржа, функции клиринговой организации и центрального контрагента – НКЦ.</w:t>
      </w:r>
    </w:p>
    <w:p w14:paraId="7FE94EC0" w14:textId="63C1A930" w:rsidR="002C4839" w:rsidRPr="00EA2597" w:rsidRDefault="00572F5B" w:rsidP="0073322E">
      <w:pPr>
        <w:tabs>
          <w:tab w:val="right" w:pos="9356"/>
        </w:tabs>
        <w:autoSpaceDE w:val="0"/>
        <w:autoSpaceDN w:val="0"/>
        <w:spacing w:after="0" w:line="240" w:lineRule="auto"/>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Банк осуществляет клиринг на валютном рынке с 10 декабря 2007 года. Клиринг и расчеты по сделкам, заключаемым на этом рынке, происходят с участием НКЦ, как центрального контрагента. Банк выполняет функции ЦК по всем заключаемым сделкам, гарантируя исполнение обязательств перед добросовестными участниками клиринга, что значительно снижает риски участников клиринга и избавляет их от необходимости определения лимитов друг на друга. Торги на валютном рынке проводятся с частичным обеспечением с использованием высокоэффективной и надежной с</w:t>
      </w:r>
      <w:hyperlink r:id="rId22" w:history="1">
        <w:r w:rsidR="002C4839" w:rsidRPr="00EA2597">
          <w:rPr>
            <w:rFonts w:ascii="Times New Roman" w:hAnsi="Times New Roman" w:cs="Times New Roman"/>
            <w:bCs/>
            <w:sz w:val="24"/>
            <w:szCs w:val="24"/>
          </w:rPr>
          <w:t>истемы управления рисками</w:t>
        </w:r>
      </w:hyperlink>
      <w:r w:rsidR="002C4839" w:rsidRPr="00EA2597">
        <w:rPr>
          <w:rFonts w:ascii="Times New Roman" w:hAnsi="Times New Roman" w:cs="Times New Roman"/>
          <w:bCs/>
          <w:sz w:val="24"/>
          <w:szCs w:val="24"/>
        </w:rPr>
        <w:t>.</w:t>
      </w:r>
    </w:p>
    <w:p w14:paraId="347F057A" w14:textId="77777777" w:rsidR="003A57B1" w:rsidRDefault="003A57B1"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801D830" w14:textId="19C48026"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Клиринг осуществляется НКЦ в соответствии с П</w:t>
      </w:r>
      <w:hyperlink r:id="rId23" w:history="1">
        <w:r w:rsidR="002C4839" w:rsidRPr="00EA2597">
          <w:rPr>
            <w:rFonts w:ascii="Times New Roman" w:hAnsi="Times New Roman" w:cs="Times New Roman"/>
            <w:bCs/>
            <w:sz w:val="24"/>
            <w:szCs w:val="24"/>
          </w:rPr>
          <w:t>равилами клиринга.</w:t>
        </w:r>
      </w:hyperlink>
      <w:r w:rsidR="002C4839" w:rsidRPr="00EA2597">
        <w:rPr>
          <w:rFonts w:ascii="Times New Roman" w:hAnsi="Times New Roman" w:cs="Times New Roman"/>
          <w:bCs/>
          <w:sz w:val="24"/>
          <w:szCs w:val="24"/>
        </w:rPr>
        <w:t xml:space="preserve"> На валютном рынке торгуются доллары США (USD), евро (EUR), британский фунт (GBP), гонконгский доллар (HKD), китайский юань (CNY), украинская гривна (UAH), казахстанский тенге (KZT) белорусский рубль (BYR) и швейцарский франк (CHF), а также заключаются сделки своп различной срочности. По валютным парам USD/RUB, EUR/RUB, CNY/RUB участники могут заключать сделки «длинный своп» сроками 1W, 2W, 1М, 2М, 3М, 6М, 9М (только для USD/RUB и EUR/RUB) и 1Y (только для USD/RUB и EUR/RUB), для GLD/RUB и SLV/RUB - 1W, 1М, 6М. Основными валютными парами являются USD/RUB и EUR/RUB. Активно развивается биржевой рынок юаня, а также операции с национальными валютами Евразийского экономического союза (ЕАЭС). Время проведения торгов - с 10:00 до 23:50 мск.</w:t>
      </w:r>
    </w:p>
    <w:p w14:paraId="3573D46D" w14:textId="06CA69B1"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НКЦ осуществляет на валютном рынке и рынке драгоценных металлов клиринг по спот сделкам и сделкам своп, а с 2014 года – по производным финансовым инструментам (свопам и фьючерсам), заключенным с полным обеспечением или с частичным обеспечением. В качестве обеспечения принимаются денежные средства в российских рублях, долларах США, евро, китайских юанях, гонкон</w:t>
      </w:r>
      <w:r w:rsidR="000637A4">
        <w:rPr>
          <w:rFonts w:ascii="Times New Roman" w:hAnsi="Times New Roman" w:cs="Times New Roman"/>
          <w:bCs/>
          <w:sz w:val="24"/>
          <w:szCs w:val="24"/>
        </w:rPr>
        <w:t>г</w:t>
      </w:r>
      <w:r w:rsidR="002C4839" w:rsidRPr="00EA2597">
        <w:rPr>
          <w:rFonts w:ascii="Times New Roman" w:hAnsi="Times New Roman" w:cs="Times New Roman"/>
          <w:bCs/>
          <w:sz w:val="24"/>
          <w:szCs w:val="24"/>
        </w:rPr>
        <w:t xml:space="preserve">ских </w:t>
      </w:r>
      <w:r w:rsidR="000637A4">
        <w:rPr>
          <w:rFonts w:ascii="Times New Roman" w:hAnsi="Times New Roman" w:cs="Times New Roman"/>
          <w:bCs/>
          <w:sz w:val="24"/>
          <w:szCs w:val="24"/>
        </w:rPr>
        <w:t xml:space="preserve">  </w:t>
      </w:r>
      <w:r w:rsidR="002C4839" w:rsidRPr="00EA2597">
        <w:rPr>
          <w:rFonts w:ascii="Times New Roman" w:hAnsi="Times New Roman" w:cs="Times New Roman"/>
          <w:bCs/>
          <w:sz w:val="24"/>
          <w:szCs w:val="24"/>
        </w:rPr>
        <w:t xml:space="preserve">долларах, фунтах стерлингов и швейцарских франках, а также драгоценные металлы (золото и серебро). </w:t>
      </w:r>
    </w:p>
    <w:p w14:paraId="72327554"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 июля 2016 года участникам торгов на Московской Бирже стали доступны поставочные фьючерсные контракты на валютные пары «доллар США – российский рубль», «евро – российский рубль» и «китайский юань – российский рубль». Кроме того, предусмотрено прекращение встречных однородных обязательств по поставочным фьючерсам и своп-контрактам.</w:t>
      </w:r>
    </w:p>
    <w:p w14:paraId="74B3DFCB" w14:textId="77777777" w:rsidR="002C4839" w:rsidRPr="002C4839" w:rsidRDefault="00572F5B"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Сделки на валютном рынке и рынке драгоценных металлов могут заключаться на основании безадресных (в «стакане») или адресных заявок. На основании безадресных заявок сделки могут заключаться только на условиях полного или частичного обеспечения.</w:t>
      </w:r>
    </w:p>
    <w:p w14:paraId="339D5A32"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3699F5EC" w14:textId="77777777" w:rsidR="002C4839" w:rsidRPr="002C4839" w:rsidRDefault="00572F5B"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 2013 года НКЦ осуществляет централизованный клиринг по сделкам с драгоценными металлами за российские рубли. Клиринг по сделкам с драгоценными металлами реализован на нормативно-технологической базе валютного рынка в целях:</w:t>
      </w:r>
    </w:p>
    <w:p w14:paraId="4B7C3CB2" w14:textId="77777777" w:rsidR="002C4839" w:rsidRPr="002C4839" w:rsidRDefault="002C4839" w:rsidP="00441380">
      <w:pPr>
        <w:numPr>
          <w:ilvl w:val="0"/>
          <w:numId w:val="10"/>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расширения продуктового ряда, предлагаемого Группой «Московская Биржа» участникам рынка;</w:t>
      </w:r>
    </w:p>
    <w:p w14:paraId="783149F5" w14:textId="77777777" w:rsidR="002C4839" w:rsidRPr="002C4839" w:rsidRDefault="002C4839" w:rsidP="00441380">
      <w:pPr>
        <w:numPr>
          <w:ilvl w:val="0"/>
          <w:numId w:val="10"/>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организации для участников нового сегмента биржевого рынка – рынка драгоценных металлов, имеющего потенциал стать высоколиквидным рынком; </w:t>
      </w:r>
    </w:p>
    <w:p w14:paraId="15EF3F48" w14:textId="77777777" w:rsidR="002C4839" w:rsidRPr="002C4839" w:rsidRDefault="002C4839" w:rsidP="00441380">
      <w:pPr>
        <w:numPr>
          <w:ilvl w:val="0"/>
          <w:numId w:val="10"/>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создание системы расчетов в драгметаллах на российском рынке (Loco Moscow).</w:t>
      </w:r>
    </w:p>
    <w:p w14:paraId="165B69A0" w14:textId="77777777" w:rsidR="002C4839" w:rsidRPr="002C4839" w:rsidRDefault="002C4839" w:rsidP="00441380">
      <w:pPr>
        <w:numPr>
          <w:ilvl w:val="0"/>
          <w:numId w:val="10"/>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lastRenderedPageBreak/>
        <w:t>обеспечения возможности применения общих критериев оценки кредитного качества участников клиринга, использования общего клирингового обеспечения, а также единой позиции по рублям и общих расчетов в российских рублях;</w:t>
      </w:r>
    </w:p>
    <w:p w14:paraId="4BEFE901" w14:textId="77777777" w:rsidR="002C4839" w:rsidRPr="002C4839" w:rsidRDefault="002C4839" w:rsidP="00441380">
      <w:pPr>
        <w:numPr>
          <w:ilvl w:val="0"/>
          <w:numId w:val="10"/>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обеспечения возможности использования общей системы маржирования, основанной на портфельном подходе к оценке рисков.</w:t>
      </w:r>
    </w:p>
    <w:p w14:paraId="4DCAA8F3"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72C04718"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НКЦ осуществляет клиринг на этом сегменте биржевого рынка по сделкам, расчеты по которым могут производиться:</w:t>
      </w:r>
    </w:p>
    <w:p w14:paraId="5574553C"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за счет участников клиринга; </w:t>
      </w:r>
    </w:p>
    <w:p w14:paraId="6AF6BFD4"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 счет клиентов участников клиринга;</w:t>
      </w:r>
    </w:p>
    <w:p w14:paraId="172A0A79"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за счет средств, находящихся в доверительном управлении у участников клиринга. </w:t>
      </w:r>
    </w:p>
    <w:p w14:paraId="42E09182" w14:textId="77777777" w:rsidR="002C4839" w:rsidRPr="002C4839" w:rsidRDefault="002C4839" w:rsidP="002C4839">
      <w:pPr>
        <w:tabs>
          <w:tab w:val="right" w:pos="9356"/>
        </w:tabs>
        <w:suppressAutoHyphens/>
        <w:overflowPunct w:val="0"/>
        <w:autoSpaceDE w:val="0"/>
        <w:spacing w:after="0" w:line="240" w:lineRule="auto"/>
        <w:ind w:left="709"/>
        <w:jc w:val="center"/>
        <w:textAlignment w:val="baseline"/>
        <w:rPr>
          <w:rFonts w:ascii="Times New Roman CYR" w:eastAsia="Calibri" w:hAnsi="Times New Roman CYR" w:cs="Times New Roman"/>
          <w:b/>
          <w:sz w:val="24"/>
          <w:szCs w:val="24"/>
          <w:lang w:eastAsia="ar-SA"/>
        </w:rPr>
      </w:pPr>
    </w:p>
    <w:p w14:paraId="3C3B01FE" w14:textId="77777777" w:rsidR="003A57B1" w:rsidRDefault="00572F5B" w:rsidP="00EA2597">
      <w:pPr>
        <w:spacing w:line="240" w:lineRule="auto"/>
        <w:ind w:firstLine="567"/>
        <w:jc w:val="both"/>
        <w:rPr>
          <w:rFonts w:ascii="Times New Roman" w:hAnsi="Times New Roman" w:cs="Times New Roman"/>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 декабря 2014 года на валютном рынке и рынке драгоценных металлов был создан институт «общего участника клиринга» – участника клиринга, имеющего право действовать в качестве клирингового брокера и обслуживать участников торгов.</w:t>
      </w:r>
      <w:r w:rsidR="003A57B1" w:rsidRPr="00EA2597">
        <w:rPr>
          <w:rFonts w:ascii="Times New Roman" w:hAnsi="Times New Roman" w:cs="Times New Roman"/>
          <w:bCs/>
          <w:sz w:val="24"/>
          <w:szCs w:val="24"/>
        </w:rPr>
        <w:t xml:space="preserve"> </w:t>
      </w:r>
      <w:r w:rsidR="002C4839" w:rsidRPr="00EA2597">
        <w:rPr>
          <w:rFonts w:ascii="Times New Roman" w:hAnsi="Times New Roman" w:cs="Times New Roman"/>
          <w:bCs/>
          <w:sz w:val="24"/>
          <w:szCs w:val="24"/>
        </w:rPr>
        <w:t>В соответствии с этой моделью участники торгов подают заявки и заключают сделки, а участники клиринга становятся стороной по сделкам и осуществляют расчеты по возникшим из сделок обязательствам.</w:t>
      </w:r>
    </w:p>
    <w:p w14:paraId="3EC837FA"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2C4839" w:rsidRPr="007801F8">
        <w:rPr>
          <w:rFonts w:ascii="Times New Roman" w:hAnsi="Times New Roman" w:cs="Times New Roman"/>
          <w:bCs/>
          <w:sz w:val="24"/>
          <w:szCs w:val="24"/>
        </w:rPr>
        <w:t>После реализации задачи участникам клиринга и участникам торгов предоставлены следующие возможности</w:t>
      </w:r>
      <w:r w:rsidR="002C4839" w:rsidRPr="00EA2597">
        <w:rPr>
          <w:rFonts w:ascii="Times New Roman" w:hAnsi="Times New Roman" w:cs="Times New Roman"/>
          <w:bCs/>
          <w:sz w:val="24"/>
          <w:szCs w:val="24"/>
        </w:rPr>
        <w:t>:</w:t>
      </w:r>
    </w:p>
    <w:p w14:paraId="22184F55"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участникам клиринга предоставлена возможность зарегистрировать в НКЦ расчетные коды 2-го уровня. Одному расчетному коду участника клиринга (расчетному коду 1-го уровня) могут соответствовать несколько расчетных кодов 2-го уровня, открытых для участников торгов или клиентов участника клиринга;</w:t>
      </w:r>
    </w:p>
    <w:p w14:paraId="19A83DBB"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участник торгов, не совпадающий с участником клиринга, предоставлена возможность зарегистрировать в НКЦ расчетные коды 3-го уровня. Одному расчетному коду участника торгов (расчетному коду 2-го уровня) могут соответствовать несколько расчетных кодов 3-го уровня, открытых для клиентов участников торгов;</w:t>
      </w:r>
    </w:p>
    <w:p w14:paraId="6654FE35" w14:textId="77777777" w:rsidR="002C4839" w:rsidRPr="002C4839" w:rsidRDefault="002C4839" w:rsidP="00441380">
      <w:pPr>
        <w:numPr>
          <w:ilvl w:val="0"/>
          <w:numId w:val="7"/>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участнику клиринга, предоставлена возможность выставлять лимиты на заключение сделок с указанием зарегистрированных им расчетных кодов 2-го уровня. Участнику торгов, предоставлена возможность выставлять лимиты на заключение сделок с указанием зарегистрированных им расчетных кодов 3-го уровня. Указанные лимиты проверяются в Торгово-клиринговой системе валютного рынка на обеспеченность при выставлении заявок по технологии pre-order-validation наравне с проверкой, проводимой по расчетным кодам 1-го уровня участника клиринга.</w:t>
      </w:r>
    </w:p>
    <w:p w14:paraId="65A917D6"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23044BC1"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Ситуация, когда участник торгов не является участником клиринга, приведена на следующей схеме:</w:t>
      </w:r>
    </w:p>
    <w:p w14:paraId="76DAEAE0" w14:textId="77777777" w:rsidR="002C4839" w:rsidRPr="002C4839" w:rsidRDefault="002C4839" w:rsidP="002C4839">
      <w:pPr>
        <w:spacing w:after="240" w:line="240" w:lineRule="auto"/>
        <w:jc w:val="both"/>
        <w:rPr>
          <w:rFonts w:ascii="Times New Roman" w:eastAsia="Calibri" w:hAnsi="Times New Roman" w:cs="Times New Roman"/>
          <w:sz w:val="24"/>
          <w:szCs w:val="24"/>
        </w:rPr>
      </w:pPr>
      <w:r w:rsidRPr="002C4839">
        <w:rPr>
          <w:noProof/>
          <w:lang w:eastAsia="ru-RU"/>
        </w:rPr>
        <w:lastRenderedPageBreak/>
        <w:drawing>
          <wp:inline distT="0" distB="0" distL="0" distR="0" wp14:anchorId="1CC9D0F9" wp14:editId="056297AF">
            <wp:extent cx="6120765" cy="4269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4269740"/>
                    </a:xfrm>
                    <a:prstGeom prst="rect">
                      <a:avLst/>
                    </a:prstGeom>
                  </pic:spPr>
                </pic:pic>
              </a:graphicData>
            </a:graphic>
          </wp:inline>
        </w:drawing>
      </w:r>
    </w:p>
    <w:p w14:paraId="47718351" w14:textId="77777777" w:rsidR="002C4839" w:rsidRPr="002C4839" w:rsidRDefault="002C4839" w:rsidP="002C4839">
      <w:pPr>
        <w:contextualSpacing/>
        <w:jc w:val="both"/>
        <w:rPr>
          <w:rFonts w:ascii="Times New Roman" w:eastAsia="Calibri" w:hAnsi="Times New Roman" w:cs="Times New Roman"/>
          <w:sz w:val="24"/>
          <w:szCs w:val="24"/>
        </w:rPr>
      </w:pPr>
    </w:p>
    <w:p w14:paraId="68C7A2A6"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Также в 2016 году в системе риск-менеджмента снижено обеспечение по разнонаправленным позициям по евро и доллару США за счет введения межпродуктового спреда, который позволяет снизить затраты участников торгов и их клиентов на фондирование операций.  С целью унификации расчета обеспечения введен учет процентного риска по позициям «завтра» и маржирование позиций по овернайт свопам аналогично длинным свопам.</w:t>
      </w:r>
    </w:p>
    <w:p w14:paraId="1A899546"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Для управления рисками клиентов введена возможность регистрации торгово-клиринговых счетов для клиентов 2-го и 3-го уровня, что позволит участникам торгов использовать биржевой риск-менеджмент для ведения клиентских позиций. При этом они имеют возможность неттинга по поставке и обеспечению в рамках расчетного кода, на котором ведутся различные клиентские позиции. Вывод средств в размере расчетной позиции позволяет участникам более гибко управлять внутридневной ликвидностью, не прекращая торгов по инструментам с расчетами «сегодня».</w:t>
      </w:r>
    </w:p>
    <w:p w14:paraId="7B0D3D0F"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 рамках проекта «Сегрегация до конечного клиента» стала доступна опция проверки платежных реквизитов на соответствие бенефициара сегрегированному клиенту, что позволяет защитить денежные средства обособленного клиента.</w:t>
      </w:r>
    </w:p>
    <w:p w14:paraId="16ABE0B2" w14:textId="77777777" w:rsidR="002C4839" w:rsidRPr="00EA2597" w:rsidRDefault="00572F5B"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Внедрение надежных и эффективных технологий клирингового обслуживания, а также качественное расширение линейки привлекательных для инвесторов инструментов, способствовало росту привлекательности валютного рынка и рынка драгоценных металлов Группы «Московская Биржа» и положительно отразилось на результатах деятельности НКЦ на указанном рынке. Комиссионное вознаграждение, полученное НКЦ за клиринговое обслуживание на валютном рынке за 2016 год, составило 1 765 252 тыс. руб., на рынке драгоценных металлов – 3 633 тыс. руб.</w:t>
      </w:r>
    </w:p>
    <w:p w14:paraId="5AD7C3F6"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sz w:val="28"/>
          <w:szCs w:val="28"/>
          <w:lang w:eastAsia="ru-RU"/>
        </w:rPr>
      </w:pPr>
    </w:p>
    <w:p w14:paraId="22859028"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78F8158F"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2C4839">
        <w:rPr>
          <w:rFonts w:ascii="Times New Roman" w:eastAsia="Times New Roman" w:hAnsi="Times New Roman" w:cs="Times New Roman"/>
          <w:b/>
          <w:sz w:val="28"/>
          <w:szCs w:val="28"/>
          <w:lang w:eastAsia="ru-RU"/>
        </w:rPr>
        <w:t>5.2. Клиринговая деятельность на фондовом рынке</w:t>
      </w:r>
    </w:p>
    <w:p w14:paraId="606016A5"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Arial"/>
          <w:noProof/>
          <w:sz w:val="24"/>
          <w:szCs w:val="20"/>
          <w:lang w:eastAsia="ru-RU"/>
        </w:rPr>
      </w:pPr>
      <w:r w:rsidRPr="002C4839">
        <w:rPr>
          <w:rFonts w:ascii="Times New Roman" w:eastAsia="Times New Roman" w:hAnsi="Times New Roman" w:cs="Arial"/>
          <w:noProof/>
          <w:sz w:val="24"/>
          <w:szCs w:val="20"/>
          <w:lang w:eastAsia="ru-RU"/>
        </w:rPr>
        <w:t xml:space="preserve">      </w:t>
      </w:r>
    </w:p>
    <w:p w14:paraId="61518FFB" w14:textId="3393D9DD"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Фондовый рынок Группы «Московская Биржа» является  современным, отвечающим всем регулятивным и технологическим требованиям биржевой рынок, на котором проводятся организованные торги  основными видами торгуемых в России ценных бумаг. Удобство и уникальность фондового рынка Группы «Московская Биржа» обеспечиваются единой трейдинговой и посттрейдинговой инфраструктурой Группы, предоставляющей своим клиентам полный спектр сервисов и услуг: торговых, клиринговых, расчетных и информационных.</w:t>
      </w:r>
    </w:p>
    <w:p w14:paraId="4D1EBD87" w14:textId="2274E43C" w:rsidR="002C4839" w:rsidRPr="00EA2597" w:rsidRDefault="002C4839" w:rsidP="0073322E">
      <w:pPr>
        <w:spacing w:before="60" w:after="0" w:line="240" w:lineRule="auto"/>
        <w:jc w:val="both"/>
        <w:rPr>
          <w:rFonts w:ascii="Times New Roman" w:hAnsi="Times New Roman" w:cs="Times New Roman"/>
          <w:bCs/>
          <w:sz w:val="24"/>
          <w:szCs w:val="24"/>
        </w:rPr>
      </w:pPr>
      <w:r w:rsidRPr="002C4839">
        <w:rPr>
          <w:rFonts w:ascii="Times New Roman" w:eastAsia="Times New Roman" w:hAnsi="Times New Roman" w:cs="Arial"/>
          <w:noProof/>
          <w:sz w:val="24"/>
          <w:szCs w:val="20"/>
          <w:lang w:eastAsia="ru-RU"/>
        </w:rPr>
        <w:t xml:space="preserve">          </w:t>
      </w:r>
      <w:r w:rsidRPr="00EA2597">
        <w:rPr>
          <w:rFonts w:ascii="Times New Roman" w:hAnsi="Times New Roman" w:cs="Times New Roman"/>
          <w:bCs/>
          <w:sz w:val="24"/>
          <w:szCs w:val="24"/>
        </w:rPr>
        <w:t>На фондовом рынке Группы «Московская Биржа» НКЦ предоставляет своим клиентам наиболее широкий спектр услуг, осуществляя клиринг по сделкам, заключенным в различных режимах торгов, как с исполнением, так и без исполнения функций центрального контрагента. НКЦ осуществляет клиринговую деятельность на этом рынке с 1 ноября 2011 года. Организатором торгов до 19 декабря 2016 года являлось ЗАО «Фондовая биржа ММВБ», а с 19 декабря 2016 года – ПАО Московская Биржа. Расчеты по итогам клиринга на фондовом рынке осуществляет Небанковская кредитная организация акционерное общество «Национальный расчетный депозитарий» (далее – НКО АО НРД).</w:t>
      </w:r>
    </w:p>
    <w:p w14:paraId="2F59CFA4"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237F9A20"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НКЦ осуществляет клиринг на фондовом рынке:</w:t>
      </w:r>
    </w:p>
    <w:p w14:paraId="71488567" w14:textId="77777777" w:rsidR="002C4839" w:rsidRPr="002C4839" w:rsidRDefault="002C4839" w:rsidP="00441380">
      <w:pPr>
        <w:numPr>
          <w:ilvl w:val="0"/>
          <w:numId w:val="8"/>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
          <w:bCs/>
          <w:i/>
          <w:noProof/>
          <w:sz w:val="24"/>
          <w:szCs w:val="24"/>
          <w:lang w:eastAsia="ru-RU"/>
        </w:rPr>
        <w:t>с частичным обеспечением</w:t>
      </w:r>
    </w:p>
    <w:p w14:paraId="0632C113" w14:textId="77777777" w:rsidR="002C4839" w:rsidRPr="002C4839" w:rsidRDefault="002C4839" w:rsidP="00441380">
      <w:pPr>
        <w:numPr>
          <w:ilvl w:val="1"/>
          <w:numId w:val="8"/>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для сделок купли-продажи с центральным контаргентом, заключенных на основании безадресных заявок с исполнением в Т+2 (акции, депозитарные расписки, инвестиционные паи, ИСУ, ETF) и с исполнением в Т+1 (ОФЗ), а также для сделок с перечисленными ценными бумагами, заключенных на основании адресных заявок с исполнением от Т+0 до Т+2;</w:t>
      </w:r>
    </w:p>
    <w:p w14:paraId="6425A4BB" w14:textId="77777777" w:rsidR="002C4839" w:rsidRPr="002C4839" w:rsidRDefault="002C4839" w:rsidP="00441380">
      <w:pPr>
        <w:numPr>
          <w:ilvl w:val="1"/>
          <w:numId w:val="8"/>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для сделок РЕПО с центральным контрагентом, в том числе сделок РЕПО с клиринговыми сертификатами участия, заключенных на основании адресных и безадресных зявок;</w:t>
      </w:r>
    </w:p>
    <w:p w14:paraId="132D87EE" w14:textId="77777777" w:rsidR="002C4839" w:rsidRPr="002C4839" w:rsidRDefault="002C4839" w:rsidP="00441380">
      <w:pPr>
        <w:numPr>
          <w:ilvl w:val="0"/>
          <w:numId w:val="8"/>
        </w:numPr>
        <w:spacing w:before="60" w:after="0" w:line="240" w:lineRule="auto"/>
        <w:contextualSpacing/>
        <w:jc w:val="both"/>
        <w:rPr>
          <w:rFonts w:ascii="Times New Roman" w:eastAsia="Times New Roman" w:hAnsi="Times New Roman" w:cs="Times New Roman"/>
          <w:b/>
          <w:bCs/>
          <w:i/>
          <w:noProof/>
          <w:sz w:val="24"/>
          <w:szCs w:val="24"/>
          <w:lang w:eastAsia="ru-RU"/>
        </w:rPr>
      </w:pPr>
      <w:r w:rsidRPr="002C4839">
        <w:rPr>
          <w:rFonts w:ascii="Times New Roman" w:eastAsia="Times New Roman" w:hAnsi="Times New Roman" w:cs="Times New Roman"/>
          <w:b/>
          <w:bCs/>
          <w:i/>
          <w:noProof/>
          <w:sz w:val="24"/>
          <w:szCs w:val="24"/>
          <w:lang w:eastAsia="ru-RU"/>
        </w:rPr>
        <w:t>с полным обеспечением:</w:t>
      </w:r>
    </w:p>
    <w:p w14:paraId="54C481D0" w14:textId="77777777" w:rsidR="002C4839" w:rsidRPr="002C4839" w:rsidRDefault="002C4839" w:rsidP="00441380">
      <w:pPr>
        <w:numPr>
          <w:ilvl w:val="1"/>
          <w:numId w:val="8"/>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для сделок купли-продажи с центральным контрагентом, заключенных на основании заявок (адресных или безадресных) с исполнением в Т+0 (корпоративные, региональные и муниципальные облигации), а также для первых частей сделок РЕПО, заключенных на основании адерсных заявок с исполнением в Т+0;</w:t>
      </w:r>
    </w:p>
    <w:p w14:paraId="11B4E5ED" w14:textId="77777777" w:rsidR="002C4839" w:rsidRPr="002C4839" w:rsidRDefault="002C4839" w:rsidP="00441380">
      <w:pPr>
        <w:numPr>
          <w:ilvl w:val="0"/>
          <w:numId w:val="8"/>
        </w:numPr>
        <w:spacing w:before="60" w:after="0" w:line="240" w:lineRule="auto"/>
        <w:contextualSpacing/>
        <w:jc w:val="both"/>
        <w:rPr>
          <w:rFonts w:ascii="Times New Roman" w:eastAsia="Times New Roman" w:hAnsi="Times New Roman" w:cs="Times New Roman"/>
          <w:b/>
          <w:bCs/>
          <w:i/>
          <w:noProof/>
          <w:sz w:val="24"/>
          <w:szCs w:val="24"/>
          <w:lang w:eastAsia="ru-RU"/>
        </w:rPr>
      </w:pPr>
      <w:r w:rsidRPr="002C4839">
        <w:rPr>
          <w:rFonts w:ascii="Times New Roman" w:eastAsia="Times New Roman" w:hAnsi="Times New Roman" w:cs="Times New Roman"/>
          <w:b/>
          <w:bCs/>
          <w:i/>
          <w:noProof/>
          <w:sz w:val="24"/>
          <w:szCs w:val="24"/>
          <w:lang w:eastAsia="ru-RU"/>
        </w:rPr>
        <w:t>без предварительного обеспечения.</w:t>
      </w:r>
    </w:p>
    <w:p w14:paraId="63E57502" w14:textId="77777777" w:rsidR="002C4839" w:rsidRPr="002C4839" w:rsidRDefault="002C4839" w:rsidP="00441380">
      <w:pPr>
        <w:numPr>
          <w:ilvl w:val="1"/>
          <w:numId w:val="8"/>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для сделок РЕПО и купли-продажи без центрального контрагента, заключенных на основании адерсных заявок, с исполнением сделок купли-продажи: от Т+0 до Т+30, сделок РЕПО: первая часть от Т+0 до Т+2, вторая часть – от Т+0 до Т+365.</w:t>
      </w:r>
    </w:p>
    <w:p w14:paraId="74C6CB9A" w14:textId="77777777" w:rsidR="002C4839" w:rsidRPr="002C4839" w:rsidRDefault="002C4839" w:rsidP="002C4839">
      <w:pPr>
        <w:widowControl w:val="0"/>
        <w:tabs>
          <w:tab w:val="right" w:pos="9356"/>
        </w:tabs>
        <w:overflowPunct w:val="0"/>
        <w:autoSpaceDE w:val="0"/>
        <w:autoSpaceDN w:val="0"/>
        <w:adjustRightInd w:val="0"/>
        <w:spacing w:after="0" w:line="240" w:lineRule="auto"/>
        <w:ind w:left="284"/>
        <w:contextualSpacing/>
        <w:jc w:val="both"/>
        <w:textAlignment w:val="baseline"/>
        <w:rPr>
          <w:rFonts w:ascii="Times New Roman" w:eastAsia="Calibri" w:hAnsi="Times New Roman" w:cs="Times New Roman"/>
          <w:noProof/>
          <w:sz w:val="24"/>
          <w:szCs w:val="24"/>
          <w:lang w:eastAsia="ru-RU"/>
        </w:rPr>
      </w:pPr>
    </w:p>
    <w:p w14:paraId="097DD925" w14:textId="77777777" w:rsidR="002C4839" w:rsidRPr="002C4839" w:rsidRDefault="001C19EC"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 качестве способов обеспечения исполнения обязательств, допущенных к клирингу, НКЦ использует индивидуальное клиринговое обеспечение участников клиринга в российских рублях, иностранной валюте и ценных бумагах, а для клиринга с частичным обеспечением также коллективное клиринговое обеспечение (гарантийный фонд).</w:t>
      </w:r>
    </w:p>
    <w:p w14:paraId="3C002035"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6BE05AD5" w14:textId="77777777" w:rsidR="002C4839" w:rsidRPr="002C4839" w:rsidRDefault="001C19EC" w:rsidP="00EA2597">
      <w:pPr>
        <w:spacing w:line="240" w:lineRule="auto"/>
        <w:ind w:firstLine="567"/>
        <w:jc w:val="both"/>
        <w:rPr>
          <w:rFonts w:ascii="Helvetica" w:eastAsia="Calibri" w:hAnsi="Helvetica" w:cs="Helvetica"/>
          <w:noProof/>
          <w:sz w:val="18"/>
          <w:szCs w:val="18"/>
          <w:lang w:eastAsia="ru-RU"/>
        </w:rPr>
      </w:pPr>
      <w:r>
        <w:rPr>
          <w:rFonts w:ascii="Times New Roman" w:eastAsia="Calibri" w:hAnsi="Times New Roman" w:cs="Arial"/>
          <w:noProof/>
          <w:sz w:val="24"/>
          <w:szCs w:val="24"/>
          <w:lang w:eastAsia="ru-RU"/>
        </w:rPr>
        <w:lastRenderedPageBreak/>
        <w:t xml:space="preserve">     </w:t>
      </w:r>
      <w:r w:rsidR="002C4839" w:rsidRPr="00EA2597">
        <w:rPr>
          <w:rFonts w:ascii="Times New Roman" w:hAnsi="Times New Roman" w:cs="Times New Roman"/>
          <w:bCs/>
          <w:sz w:val="24"/>
          <w:szCs w:val="24"/>
        </w:rPr>
        <w:t>Банк осуществляет клиринг, выполняя функции центрального контрагента, по следующим сделкам, заключенным на условиях полного или частичного обеспечения:</w:t>
      </w:r>
    </w:p>
    <w:p w14:paraId="19098575" w14:textId="77777777" w:rsidR="002C4839" w:rsidRPr="002C4839" w:rsidRDefault="002C4839" w:rsidP="00441380">
      <w:pPr>
        <w:numPr>
          <w:ilvl w:val="0"/>
          <w:numId w:val="11"/>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купли-продажи с кодами расчетов Yn, Т0 (за исключением сделок размещения и выкупа), K0;</w:t>
      </w:r>
    </w:p>
    <w:p w14:paraId="1D519885" w14:textId="77777777" w:rsidR="002C4839" w:rsidRPr="002C4839" w:rsidRDefault="002C4839" w:rsidP="00441380">
      <w:pPr>
        <w:numPr>
          <w:ilvl w:val="0"/>
          <w:numId w:val="11"/>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РЕПО с кодами расчетов T0/Yn, Y</w:t>
      </w:r>
      <w:r w:rsidRPr="002C4839">
        <w:rPr>
          <w:rFonts w:ascii="Times New Roman" w:eastAsia="Times New Roman" w:hAnsi="Times New Roman" w:cs="Times New Roman"/>
          <w:bCs/>
          <w:noProof/>
          <w:sz w:val="24"/>
          <w:szCs w:val="24"/>
          <w:lang w:val="en-US" w:eastAsia="ru-RU"/>
        </w:rPr>
        <w:t>m</w:t>
      </w:r>
      <w:r w:rsidRPr="002C4839">
        <w:rPr>
          <w:rFonts w:ascii="Times New Roman" w:eastAsia="Times New Roman" w:hAnsi="Times New Roman" w:cs="Times New Roman"/>
          <w:bCs/>
          <w:noProof/>
          <w:sz w:val="24"/>
          <w:szCs w:val="24"/>
          <w:lang w:eastAsia="ru-RU"/>
        </w:rPr>
        <w:t>/Yn.</w:t>
      </w:r>
    </w:p>
    <w:p w14:paraId="5E54F6F0" w14:textId="77777777" w:rsidR="002C4839" w:rsidRPr="002C4839" w:rsidRDefault="002C4839" w:rsidP="002C4839">
      <w:pPr>
        <w:tabs>
          <w:tab w:val="right" w:pos="9356"/>
        </w:tabs>
        <w:autoSpaceDE w:val="0"/>
        <w:autoSpaceDN w:val="0"/>
        <w:spacing w:after="0" w:line="360" w:lineRule="auto"/>
        <w:ind w:left="360"/>
        <w:jc w:val="both"/>
        <w:rPr>
          <w:rFonts w:ascii="Times New Roman" w:eastAsia="Calibri" w:hAnsi="Times New Roman" w:cs="Arial"/>
          <w:noProof/>
          <w:sz w:val="24"/>
          <w:szCs w:val="24"/>
          <w:lang w:eastAsia="ru-RU"/>
        </w:rPr>
      </w:pPr>
    </w:p>
    <w:p w14:paraId="7C92401B" w14:textId="77777777" w:rsidR="002C4839" w:rsidRPr="00EA2597" w:rsidRDefault="001C19E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НКЦ осуществляет клиринг без выполнения функций центрального контрагента по следующим сделкам:</w:t>
      </w:r>
    </w:p>
    <w:p w14:paraId="11B253BB" w14:textId="77777777" w:rsidR="002C4839" w:rsidRPr="002C4839" w:rsidRDefault="002C4839" w:rsidP="00441380">
      <w:pPr>
        <w:numPr>
          <w:ilvl w:val="0"/>
          <w:numId w:val="12"/>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купли-продажи с кодами расчетов В0-В30, Z0;</w:t>
      </w:r>
    </w:p>
    <w:p w14:paraId="0142F398" w14:textId="77777777" w:rsidR="002C4839" w:rsidRPr="002C4839" w:rsidRDefault="002C4839" w:rsidP="00441380">
      <w:pPr>
        <w:numPr>
          <w:ilvl w:val="0"/>
          <w:numId w:val="12"/>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РЕПО с кодами расчетов Rb, S0-S2, Z0;</w:t>
      </w:r>
    </w:p>
    <w:p w14:paraId="0087CCB7" w14:textId="77777777" w:rsidR="002C4839" w:rsidRPr="002C4839" w:rsidRDefault="002C4839" w:rsidP="00441380">
      <w:pPr>
        <w:numPr>
          <w:ilvl w:val="0"/>
          <w:numId w:val="12"/>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размещения и выкупа с кодом расчетов Т0;</w:t>
      </w:r>
    </w:p>
    <w:p w14:paraId="74C52853" w14:textId="77777777" w:rsidR="002C4839" w:rsidRPr="002C4839" w:rsidRDefault="002C4839" w:rsidP="00441380">
      <w:pPr>
        <w:numPr>
          <w:ilvl w:val="0"/>
          <w:numId w:val="12"/>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сделкам размещения акций с кодом расчетов Х0.</w:t>
      </w:r>
    </w:p>
    <w:p w14:paraId="4AA8E50F"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4C684724" w14:textId="77777777" w:rsidR="002C4839" w:rsidRPr="00EA2597" w:rsidRDefault="001C19E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Сделки на фондовом рынке могут заключаться на основании безадресных (в «стакане») или адресных заявок. На основании безадресных заявок сделки могут заключаться только на условиях полного или частичного обеспечения.</w:t>
      </w:r>
    </w:p>
    <w:p w14:paraId="1A382392" w14:textId="77777777" w:rsidR="002C4839" w:rsidRPr="002C4839" w:rsidRDefault="001C19EC"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Расчеты по результатам клиринга, осуществляемого НКЦ, проводятся как в ходе торгов, так и по их итогам торгов и могут производиться:</w:t>
      </w:r>
    </w:p>
    <w:p w14:paraId="76B95687" w14:textId="77777777" w:rsidR="002C4839" w:rsidRPr="002C4839" w:rsidRDefault="002C4839" w:rsidP="00441380">
      <w:pPr>
        <w:numPr>
          <w:ilvl w:val="0"/>
          <w:numId w:val="13"/>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за счет участников клиринга; </w:t>
      </w:r>
    </w:p>
    <w:p w14:paraId="3F39659D" w14:textId="77777777" w:rsidR="002C4839" w:rsidRPr="002C4839" w:rsidRDefault="002C4839" w:rsidP="00441380">
      <w:pPr>
        <w:numPr>
          <w:ilvl w:val="0"/>
          <w:numId w:val="13"/>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 счет клиентов участников клиринга;</w:t>
      </w:r>
    </w:p>
    <w:p w14:paraId="17FC1985" w14:textId="77777777" w:rsidR="002C4839" w:rsidRPr="002C4839" w:rsidRDefault="002C4839" w:rsidP="00441380">
      <w:pPr>
        <w:numPr>
          <w:ilvl w:val="0"/>
          <w:numId w:val="13"/>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за счет средств, находящихся в доверительном управлении у участников клиринга. </w:t>
      </w:r>
    </w:p>
    <w:p w14:paraId="3D6BC2DB"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6A1F2698" w14:textId="77777777" w:rsidR="002C4839" w:rsidRPr="00EA2597" w:rsidRDefault="001C19E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Внедрение надежных и эффективных технологий клирингового обслуживания, привлекательных для инвесторов инструментов  положительно отразилось на результатах деятельности Банка на этом сегменте рынка. В частности, комиссионное вознаграждение, полученное НКЦ за клиринговое обслуживание на фондовом рынке за 2016 год составило 4 629 909 тыс. руб., что в 1,2 раза превосходит аналогичный показатель за 2015 год  - 3 811 285 тыс. руб.</w:t>
      </w:r>
    </w:p>
    <w:p w14:paraId="481889A8"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7065D635"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both"/>
        <w:textAlignment w:val="baseline"/>
        <w:rPr>
          <w:rFonts w:ascii="Times New Roman" w:eastAsia="Times New Roman" w:hAnsi="Times New Roman" w:cs="Times New Roman"/>
          <w:b/>
          <w:sz w:val="28"/>
          <w:szCs w:val="28"/>
          <w:lang w:eastAsia="ru-RU"/>
        </w:rPr>
      </w:pPr>
    </w:p>
    <w:p w14:paraId="3E8A91AE" w14:textId="77777777" w:rsidR="00006FE7" w:rsidRDefault="00006FE7"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6503878A" w14:textId="77777777" w:rsidR="00006FE7" w:rsidRDefault="00006FE7"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5373B656" w14:textId="77777777" w:rsidR="002C4839" w:rsidRPr="002C4839" w:rsidRDefault="002C4839" w:rsidP="002C4839">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2C4839">
        <w:rPr>
          <w:rFonts w:ascii="Times New Roman" w:eastAsia="Times New Roman" w:hAnsi="Times New Roman" w:cs="Times New Roman"/>
          <w:b/>
          <w:sz w:val="28"/>
          <w:szCs w:val="28"/>
          <w:lang w:eastAsia="ru-RU"/>
        </w:rPr>
        <w:t>5.3. Клиринговая деятельность на срочном рынке</w:t>
      </w:r>
    </w:p>
    <w:p w14:paraId="1926EF17" w14:textId="77777777" w:rsidR="00006FE7" w:rsidRPr="002C4839" w:rsidRDefault="00006FE7" w:rsidP="001E0717">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p>
    <w:p w14:paraId="05AF03C6" w14:textId="77777777" w:rsidR="002C4839" w:rsidRPr="002C4839" w:rsidRDefault="00006FE7"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 настоящее время Московская Биржа является ведущей биржей по торговле производными финансовыми инструментами в странах СНГ и Восточной Европы и входит в ТОП-10 мировых деривативных бирж.</w:t>
      </w:r>
      <w:r w:rsidR="002C4839" w:rsidRPr="002C4839">
        <w:rPr>
          <w:rFonts w:ascii="Times New Roman" w:eastAsia="Calibri" w:hAnsi="Times New Roman" w:cs="Arial"/>
          <w:noProof/>
          <w:sz w:val="24"/>
          <w:szCs w:val="24"/>
          <w:lang w:eastAsia="ru-RU"/>
        </w:rPr>
        <w:t xml:space="preserve"> </w:t>
      </w:r>
    </w:p>
    <w:p w14:paraId="2DFE9126"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НКЦ осуществляет клиринг на срочном рынке с 2012 года по широкому набору производных финансовых инструментов: фьючерсам, базовыми активами которых являются индексы, акции, валютные пары, процентные ставки, товары, а также по опционам на указанные фьючерсы. В настоящее время перечень производных финансовых инструментов на срочном рынке представлен 90 срочными контрактами, из них - 59 фьючерсы и 31 опционы на фьючерсы.</w:t>
      </w:r>
    </w:p>
    <w:p w14:paraId="6F25FB77"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lastRenderedPageBreak/>
        <w:t xml:space="preserve">     </w:t>
      </w:r>
      <w:r w:rsidR="002C4839" w:rsidRPr="00EA2597">
        <w:rPr>
          <w:rFonts w:ascii="Times New Roman" w:hAnsi="Times New Roman" w:cs="Times New Roman"/>
          <w:bCs/>
          <w:sz w:val="24"/>
          <w:szCs w:val="24"/>
        </w:rPr>
        <w:t>Перевод клиринга по срочному рынку Московской Биржи в НКЦ и его последующая интеграция с фондовым и валютным рынками Группы позволили обеспечить:</w:t>
      </w:r>
    </w:p>
    <w:p w14:paraId="1F2CE68A" w14:textId="77777777" w:rsidR="002C4839" w:rsidRPr="002C4839" w:rsidRDefault="002C4839" w:rsidP="00441380">
      <w:pPr>
        <w:numPr>
          <w:ilvl w:val="0"/>
          <w:numId w:val="14"/>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рост объемов торгов за счет увеличения лимитов на клиринговую организацию и центрального контрагента, а также за счет предоставления участникам клиринга эффективных, унифицированных клиринговых услуг на основании единого договора об оказании клиринговых услуг;</w:t>
      </w:r>
    </w:p>
    <w:p w14:paraId="1894FB9A" w14:textId="77777777" w:rsidR="002C4839" w:rsidRPr="002C4839" w:rsidRDefault="002C4839" w:rsidP="00441380">
      <w:pPr>
        <w:numPr>
          <w:ilvl w:val="0"/>
          <w:numId w:val="14"/>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развитие технологий, направленных на интеграцию на базе НКЦ клиринга по валютному, фондовому и срочному рынкам Группы «Московская Биржа», что, в частности, позволило за счет интеграции валютного и срочного рынков предоставить участникам клиринга возможность внесения в качестве индивидуального клирингового обеспечения иностранной валюты (долларов США, евро) без ограничений.</w:t>
      </w:r>
    </w:p>
    <w:p w14:paraId="2684F0A7"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551108DD"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Базовыми активами производных финансовых инструментов, торги которыми осуществляются на Московской Бирже,  являются индексы, валютные пары, акции российских и иностранных эмитентов, процентные ставки, товары:</w:t>
      </w:r>
    </w:p>
    <w:p w14:paraId="098DEA18" w14:textId="77777777" w:rsidR="002C4839" w:rsidRPr="00EA2597" w:rsidRDefault="002C4839" w:rsidP="00EA2597">
      <w:pPr>
        <w:spacing w:line="240" w:lineRule="auto"/>
        <w:ind w:firstLine="567"/>
        <w:jc w:val="both"/>
        <w:rPr>
          <w:rFonts w:ascii="Times New Roman" w:hAnsi="Times New Roman" w:cs="Times New Roman"/>
          <w:bCs/>
          <w:sz w:val="24"/>
          <w:szCs w:val="24"/>
        </w:rPr>
      </w:pPr>
    </w:p>
    <w:tbl>
      <w:tblPr>
        <w:tblW w:w="9500" w:type="dxa"/>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2838"/>
        <w:gridCol w:w="3969"/>
        <w:gridCol w:w="2693"/>
      </w:tblGrid>
      <w:tr w:rsidR="002C4839" w:rsidRPr="002C4839" w14:paraId="07E50CE7" w14:textId="77777777" w:rsidTr="00290B38">
        <w:trPr>
          <w:trHeight w:val="491"/>
        </w:trPr>
        <w:tc>
          <w:tcPr>
            <w:tcW w:w="2838" w:type="dxa"/>
            <w:shd w:val="clear" w:color="auto" w:fill="auto"/>
            <w:tcMar>
              <w:top w:w="72" w:type="dxa"/>
              <w:left w:w="144" w:type="dxa"/>
              <w:bottom w:w="72" w:type="dxa"/>
              <w:right w:w="144" w:type="dxa"/>
            </w:tcMar>
            <w:hideMark/>
          </w:tcPr>
          <w:p w14:paraId="245A4C19" w14:textId="77777777" w:rsidR="002C4839" w:rsidRPr="002C4839" w:rsidRDefault="002C4839" w:rsidP="002C4839">
            <w:pPr>
              <w:tabs>
                <w:tab w:val="right" w:pos="9356"/>
              </w:tabs>
              <w:autoSpaceDE w:val="0"/>
              <w:autoSpaceDN w:val="0"/>
              <w:spacing w:after="0" w:line="240" w:lineRule="auto"/>
              <w:jc w:val="center"/>
              <w:rPr>
                <w:rFonts w:ascii="Times New Roman" w:eastAsia="Calibri" w:hAnsi="Times New Roman" w:cs="Arial"/>
                <w:b/>
                <w:noProof/>
                <w:sz w:val="28"/>
                <w:szCs w:val="28"/>
                <w:lang w:eastAsia="ru-RU"/>
              </w:rPr>
            </w:pPr>
            <w:r w:rsidRPr="002C4839">
              <w:rPr>
                <w:rFonts w:ascii="Times New Roman" w:eastAsia="Calibri" w:hAnsi="Times New Roman" w:cs="Arial"/>
                <w:b/>
                <w:noProof/>
                <w:sz w:val="28"/>
                <w:szCs w:val="28"/>
                <w:lang w:eastAsia="ru-RU"/>
              </w:rPr>
              <w:t>Фондовый сегмент</w:t>
            </w:r>
          </w:p>
        </w:tc>
        <w:tc>
          <w:tcPr>
            <w:tcW w:w="3969" w:type="dxa"/>
            <w:shd w:val="clear" w:color="auto" w:fill="auto"/>
            <w:tcMar>
              <w:top w:w="72" w:type="dxa"/>
              <w:left w:w="144" w:type="dxa"/>
              <w:bottom w:w="72" w:type="dxa"/>
              <w:right w:w="144" w:type="dxa"/>
            </w:tcMar>
            <w:hideMark/>
          </w:tcPr>
          <w:p w14:paraId="37262975" w14:textId="77777777" w:rsidR="002C4839" w:rsidRPr="002C4839" w:rsidRDefault="002C4839" w:rsidP="002C4839">
            <w:pPr>
              <w:tabs>
                <w:tab w:val="right" w:pos="9356"/>
              </w:tabs>
              <w:autoSpaceDE w:val="0"/>
              <w:autoSpaceDN w:val="0"/>
              <w:spacing w:after="0" w:line="240" w:lineRule="auto"/>
              <w:jc w:val="center"/>
              <w:rPr>
                <w:rFonts w:ascii="Times New Roman" w:eastAsia="Calibri" w:hAnsi="Times New Roman" w:cs="Arial"/>
                <w:b/>
                <w:noProof/>
                <w:sz w:val="28"/>
                <w:szCs w:val="28"/>
                <w:lang w:eastAsia="ru-RU"/>
              </w:rPr>
            </w:pPr>
            <w:r w:rsidRPr="002C4839">
              <w:rPr>
                <w:rFonts w:ascii="Times New Roman" w:eastAsia="Calibri" w:hAnsi="Times New Roman" w:cs="Arial"/>
                <w:b/>
                <w:noProof/>
                <w:sz w:val="28"/>
                <w:szCs w:val="28"/>
                <w:lang w:eastAsia="ru-RU"/>
              </w:rPr>
              <w:t>Денежный сегмент</w:t>
            </w:r>
          </w:p>
        </w:tc>
        <w:tc>
          <w:tcPr>
            <w:tcW w:w="2693" w:type="dxa"/>
            <w:shd w:val="clear" w:color="auto" w:fill="auto"/>
            <w:tcMar>
              <w:top w:w="72" w:type="dxa"/>
              <w:left w:w="144" w:type="dxa"/>
              <w:bottom w:w="72" w:type="dxa"/>
              <w:right w:w="144" w:type="dxa"/>
            </w:tcMar>
            <w:hideMark/>
          </w:tcPr>
          <w:p w14:paraId="4E114731" w14:textId="77777777" w:rsidR="002C4839" w:rsidRPr="002C4839" w:rsidRDefault="002C4839" w:rsidP="002C4839">
            <w:pPr>
              <w:tabs>
                <w:tab w:val="right" w:pos="9356"/>
              </w:tabs>
              <w:autoSpaceDE w:val="0"/>
              <w:autoSpaceDN w:val="0"/>
              <w:spacing w:after="0" w:line="240" w:lineRule="auto"/>
              <w:ind w:hanging="5"/>
              <w:jc w:val="center"/>
              <w:rPr>
                <w:rFonts w:ascii="Times New Roman" w:eastAsia="Calibri" w:hAnsi="Times New Roman" w:cs="Arial"/>
                <w:b/>
                <w:noProof/>
                <w:sz w:val="28"/>
                <w:szCs w:val="28"/>
                <w:lang w:eastAsia="ru-RU"/>
              </w:rPr>
            </w:pPr>
            <w:r w:rsidRPr="002C4839">
              <w:rPr>
                <w:rFonts w:ascii="Times New Roman" w:eastAsia="Calibri" w:hAnsi="Times New Roman" w:cs="Arial"/>
                <w:b/>
                <w:noProof/>
                <w:sz w:val="28"/>
                <w:szCs w:val="28"/>
                <w:lang w:eastAsia="ru-RU"/>
              </w:rPr>
              <w:t>Товарный сегмент</w:t>
            </w:r>
          </w:p>
        </w:tc>
      </w:tr>
      <w:tr w:rsidR="002C4839" w:rsidRPr="002C4839" w14:paraId="1B7C7666" w14:textId="77777777" w:rsidTr="00290B38">
        <w:trPr>
          <w:trHeight w:val="577"/>
        </w:trPr>
        <w:tc>
          <w:tcPr>
            <w:tcW w:w="2838" w:type="dxa"/>
            <w:shd w:val="clear" w:color="auto" w:fill="auto"/>
            <w:tcMar>
              <w:top w:w="72" w:type="dxa"/>
              <w:left w:w="144" w:type="dxa"/>
              <w:bottom w:w="72" w:type="dxa"/>
              <w:right w:w="144" w:type="dxa"/>
            </w:tcMar>
            <w:hideMark/>
          </w:tcPr>
          <w:p w14:paraId="792CB52F"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Фьючерсы</w:t>
            </w:r>
            <w:r w:rsidRPr="002C4839">
              <w:rPr>
                <w:rFonts w:ascii="Times New Roman" w:eastAsia="Calibri" w:hAnsi="Times New Roman" w:cs="Arial"/>
                <w:noProof/>
                <w:sz w:val="24"/>
                <w:szCs w:val="24"/>
                <w:lang w:eastAsia="ru-RU"/>
              </w:rPr>
              <w:t xml:space="preserve"> на:</w:t>
            </w:r>
          </w:p>
          <w:p w14:paraId="432FBFEA"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Индексы РТС, ММВБ, Индекс голубых фишек: наиболее ликвидные акции российских* и иностранных эмитентов</w:t>
            </w:r>
          </w:p>
          <w:p w14:paraId="19E246F5"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волатильность российского рынка (</w:t>
            </w:r>
            <w:r w:rsidRPr="002C4839">
              <w:rPr>
                <w:rFonts w:ascii="Times New Roman" w:eastAsia="Times New Roman" w:hAnsi="Times New Roman" w:cs="Times New Roman"/>
                <w:bCs/>
                <w:noProof/>
                <w:sz w:val="24"/>
                <w:szCs w:val="24"/>
                <w:lang w:val="en-US" w:eastAsia="ru-RU"/>
              </w:rPr>
              <w:t>RVI</w:t>
            </w:r>
            <w:r w:rsidRPr="002C4839">
              <w:rPr>
                <w:rFonts w:ascii="Times New Roman" w:eastAsia="Times New Roman" w:hAnsi="Times New Roman" w:cs="Times New Roman"/>
                <w:bCs/>
                <w:noProof/>
                <w:sz w:val="24"/>
                <w:szCs w:val="24"/>
                <w:lang w:eastAsia="ru-RU"/>
              </w:rPr>
              <w:t>)</w:t>
            </w:r>
          </w:p>
          <w:p w14:paraId="18C8DB68"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Индексы стран </w:t>
            </w:r>
            <w:r w:rsidRPr="002C4839">
              <w:rPr>
                <w:rFonts w:ascii="Times New Roman" w:eastAsia="Times New Roman" w:hAnsi="Times New Roman" w:cs="Times New Roman"/>
                <w:bCs/>
                <w:noProof/>
                <w:sz w:val="24"/>
                <w:szCs w:val="24"/>
                <w:lang w:val="en-US" w:eastAsia="ru-RU"/>
              </w:rPr>
              <w:t>BRICS</w:t>
            </w:r>
          </w:p>
          <w:p w14:paraId="6C95D34F"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4AD8762F"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Опционы на фьючерсы</w:t>
            </w:r>
            <w:r w:rsidRPr="002C4839">
              <w:rPr>
                <w:rFonts w:ascii="Times New Roman" w:eastAsia="Calibri" w:hAnsi="Times New Roman" w:cs="Arial"/>
                <w:noProof/>
                <w:sz w:val="24"/>
                <w:szCs w:val="24"/>
                <w:lang w:eastAsia="ru-RU"/>
              </w:rPr>
              <w:t xml:space="preserve"> на:</w:t>
            </w:r>
          </w:p>
          <w:p w14:paraId="6D3AC5E8"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наиболее ликвидные акции российских эмитентов</w:t>
            </w:r>
          </w:p>
          <w:p w14:paraId="02C75783"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Индексы РТС и ММВБ</w:t>
            </w:r>
          </w:p>
        </w:tc>
        <w:tc>
          <w:tcPr>
            <w:tcW w:w="3969" w:type="dxa"/>
            <w:shd w:val="clear" w:color="auto" w:fill="auto"/>
            <w:tcMar>
              <w:top w:w="72" w:type="dxa"/>
              <w:left w:w="144" w:type="dxa"/>
              <w:bottom w:w="72" w:type="dxa"/>
              <w:right w:w="144" w:type="dxa"/>
            </w:tcMar>
            <w:hideMark/>
          </w:tcPr>
          <w:p w14:paraId="3474E461"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 xml:space="preserve">Фьючерсы </w:t>
            </w:r>
            <w:r w:rsidRPr="002C4839">
              <w:rPr>
                <w:rFonts w:ascii="Times New Roman" w:eastAsia="Calibri" w:hAnsi="Times New Roman" w:cs="Arial"/>
                <w:noProof/>
                <w:sz w:val="24"/>
                <w:szCs w:val="24"/>
                <w:lang w:eastAsia="ru-RU"/>
              </w:rPr>
              <w:t>на:</w:t>
            </w:r>
          </w:p>
          <w:p w14:paraId="036A2207"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валютные пары: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RUB</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EUR</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RUB</w:t>
            </w:r>
            <w:r w:rsidRPr="002C4839">
              <w:rPr>
                <w:rFonts w:ascii="Times New Roman" w:eastAsia="Times New Roman" w:hAnsi="Times New Roman" w:cs="Times New Roman"/>
                <w:bCs/>
                <w:noProof/>
                <w:sz w:val="24"/>
                <w:szCs w:val="24"/>
                <w:lang w:eastAsia="ru-RU"/>
              </w:rPr>
              <w:t xml:space="preserve">, CNY/RUB, </w:t>
            </w:r>
            <w:r w:rsidRPr="002C4839">
              <w:rPr>
                <w:rFonts w:ascii="Times New Roman" w:eastAsia="Times New Roman" w:hAnsi="Times New Roman" w:cs="Times New Roman"/>
                <w:bCs/>
                <w:noProof/>
                <w:sz w:val="24"/>
                <w:szCs w:val="24"/>
                <w:lang w:val="en-US" w:eastAsia="ru-RU"/>
              </w:rPr>
              <w:t>EUR</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AUD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GBP</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CHF</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JPY</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UAH</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CAD</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TRY</w:t>
            </w:r>
          </w:p>
          <w:p w14:paraId="19A82749"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процентные ставки: </w:t>
            </w:r>
            <w:r w:rsidRPr="002C4839">
              <w:rPr>
                <w:rFonts w:ascii="Times New Roman" w:eastAsia="Times New Roman" w:hAnsi="Times New Roman" w:cs="Times New Roman"/>
                <w:bCs/>
                <w:noProof/>
                <w:sz w:val="24"/>
                <w:szCs w:val="24"/>
                <w:lang w:val="en-US" w:eastAsia="ru-RU"/>
              </w:rPr>
              <w:t>MosPrime</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RUONIA</w:t>
            </w:r>
          </w:p>
          <w:p w14:paraId="62F7CC99"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облигации федерального займа*</w:t>
            </w:r>
          </w:p>
          <w:p w14:paraId="5770E272"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еврооблигации Российской Федерации (</w:t>
            </w:r>
            <w:r w:rsidRPr="002C4839">
              <w:rPr>
                <w:rFonts w:ascii="Times New Roman" w:eastAsia="Times New Roman" w:hAnsi="Times New Roman" w:cs="Times New Roman"/>
                <w:bCs/>
                <w:noProof/>
                <w:sz w:val="24"/>
                <w:szCs w:val="24"/>
                <w:lang w:val="en-US" w:eastAsia="ru-RU"/>
              </w:rPr>
              <w:t>RF</w:t>
            </w:r>
            <w:r w:rsidRPr="002C4839">
              <w:rPr>
                <w:rFonts w:ascii="Times New Roman" w:eastAsia="Times New Roman" w:hAnsi="Times New Roman" w:cs="Times New Roman"/>
                <w:bCs/>
                <w:noProof/>
                <w:sz w:val="24"/>
                <w:szCs w:val="24"/>
                <w:lang w:eastAsia="ru-RU"/>
              </w:rPr>
              <w:t>-30)*</w:t>
            </w:r>
          </w:p>
          <w:p w14:paraId="20AC1997"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55E781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b/>
                <w:noProof/>
                <w:sz w:val="24"/>
                <w:szCs w:val="24"/>
                <w:lang w:eastAsia="ru-RU"/>
              </w:rPr>
            </w:pPr>
          </w:p>
          <w:p w14:paraId="1431FA14"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 xml:space="preserve">Опционы на фьючерсы </w:t>
            </w:r>
            <w:r w:rsidRPr="002C4839">
              <w:rPr>
                <w:rFonts w:ascii="Times New Roman" w:eastAsia="Calibri" w:hAnsi="Times New Roman" w:cs="Arial"/>
                <w:noProof/>
                <w:sz w:val="24"/>
                <w:szCs w:val="24"/>
                <w:lang w:eastAsia="ru-RU"/>
              </w:rPr>
              <w:t>на:</w:t>
            </w:r>
          </w:p>
          <w:p w14:paraId="5C537E12"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валютные пары: </w:t>
            </w:r>
            <w:r w:rsidRPr="002C4839">
              <w:rPr>
                <w:rFonts w:ascii="Times New Roman" w:eastAsia="Times New Roman" w:hAnsi="Times New Roman" w:cs="Times New Roman"/>
                <w:bCs/>
                <w:noProof/>
                <w:sz w:val="24"/>
                <w:szCs w:val="24"/>
                <w:lang w:val="en-US" w:eastAsia="ru-RU"/>
              </w:rPr>
              <w:t>USD</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RUB</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EUR</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RUB</w:t>
            </w:r>
            <w:r w:rsidRPr="002C4839">
              <w:rPr>
                <w:rFonts w:ascii="Times New Roman" w:eastAsia="Times New Roman" w:hAnsi="Times New Roman" w:cs="Times New Roman"/>
                <w:bCs/>
                <w:noProof/>
                <w:sz w:val="24"/>
                <w:szCs w:val="24"/>
                <w:lang w:eastAsia="ru-RU"/>
              </w:rPr>
              <w:t xml:space="preserve">, </w:t>
            </w:r>
            <w:r w:rsidRPr="002C4839">
              <w:rPr>
                <w:rFonts w:ascii="Times New Roman" w:eastAsia="Times New Roman" w:hAnsi="Times New Roman" w:cs="Times New Roman"/>
                <w:bCs/>
                <w:noProof/>
                <w:sz w:val="24"/>
                <w:szCs w:val="24"/>
                <w:lang w:val="en-US" w:eastAsia="ru-RU"/>
              </w:rPr>
              <w:t>EUR</w:t>
            </w:r>
            <w:r w:rsidRPr="002C4839">
              <w:rPr>
                <w:rFonts w:ascii="Times New Roman" w:eastAsia="Times New Roman" w:hAnsi="Times New Roman" w:cs="Times New Roman"/>
                <w:bCs/>
                <w:noProof/>
                <w:sz w:val="24"/>
                <w:szCs w:val="24"/>
                <w:lang w:eastAsia="ru-RU"/>
              </w:rPr>
              <w:t>/</w:t>
            </w:r>
            <w:r w:rsidRPr="002C4839">
              <w:rPr>
                <w:rFonts w:ascii="Times New Roman" w:eastAsia="Times New Roman" w:hAnsi="Times New Roman" w:cs="Times New Roman"/>
                <w:bCs/>
                <w:noProof/>
                <w:sz w:val="24"/>
                <w:szCs w:val="24"/>
                <w:lang w:val="en-US" w:eastAsia="ru-RU"/>
              </w:rPr>
              <w:t>USD</w:t>
            </w:r>
          </w:p>
        </w:tc>
        <w:tc>
          <w:tcPr>
            <w:tcW w:w="2693" w:type="dxa"/>
            <w:shd w:val="clear" w:color="auto" w:fill="auto"/>
            <w:tcMar>
              <w:top w:w="72" w:type="dxa"/>
              <w:left w:w="144" w:type="dxa"/>
              <w:bottom w:w="72" w:type="dxa"/>
              <w:right w:w="144" w:type="dxa"/>
            </w:tcMar>
            <w:hideMark/>
          </w:tcPr>
          <w:p w14:paraId="0A186A35"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 xml:space="preserve">Фьючерсы </w:t>
            </w:r>
            <w:r w:rsidRPr="002C4839">
              <w:rPr>
                <w:rFonts w:ascii="Times New Roman" w:eastAsia="Calibri" w:hAnsi="Times New Roman" w:cs="Arial"/>
                <w:noProof/>
                <w:sz w:val="24"/>
                <w:szCs w:val="24"/>
                <w:lang w:eastAsia="ru-RU"/>
              </w:rPr>
              <w:t>на:</w:t>
            </w:r>
          </w:p>
          <w:p w14:paraId="65AF3BC8"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нефть </w:t>
            </w:r>
            <w:r w:rsidRPr="002C4839">
              <w:rPr>
                <w:rFonts w:ascii="Times New Roman" w:eastAsia="Times New Roman" w:hAnsi="Times New Roman" w:cs="Times New Roman"/>
                <w:bCs/>
                <w:noProof/>
                <w:sz w:val="24"/>
                <w:szCs w:val="24"/>
                <w:lang w:val="en-US" w:eastAsia="ru-RU"/>
              </w:rPr>
              <w:t>BRENT</w:t>
            </w:r>
          </w:p>
          <w:p w14:paraId="0E956145"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драгоценные металлы: золото, серебро, платина, палладий</w:t>
            </w:r>
          </w:p>
          <w:p w14:paraId="13C13FFA"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медь</w:t>
            </w:r>
          </w:p>
          <w:p w14:paraId="77C01E3A"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сахар-сырец</w:t>
            </w:r>
          </w:p>
          <w:p w14:paraId="2054910E"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674D94D5"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2653ABE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72F6DF23"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3DB253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92FB794"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6A26144" w14:textId="77777777" w:rsidR="002C4839" w:rsidRPr="002C4839" w:rsidRDefault="002C4839" w:rsidP="002C4839">
            <w:pPr>
              <w:tabs>
                <w:tab w:val="right" w:pos="9356"/>
              </w:tabs>
              <w:autoSpaceDE w:val="0"/>
              <w:autoSpaceDN w:val="0"/>
              <w:spacing w:after="0" w:line="240" w:lineRule="auto"/>
              <w:jc w:val="both"/>
              <w:rPr>
                <w:rFonts w:ascii="Times New Roman" w:eastAsia="Calibri" w:hAnsi="Times New Roman" w:cs="Arial"/>
                <w:noProof/>
                <w:sz w:val="24"/>
                <w:szCs w:val="24"/>
                <w:lang w:eastAsia="ru-RU"/>
              </w:rPr>
            </w:pPr>
            <w:r w:rsidRPr="002C4839">
              <w:rPr>
                <w:rFonts w:ascii="Times New Roman" w:eastAsia="Calibri" w:hAnsi="Times New Roman" w:cs="Arial"/>
                <w:b/>
                <w:noProof/>
                <w:sz w:val="24"/>
                <w:szCs w:val="24"/>
                <w:lang w:eastAsia="ru-RU"/>
              </w:rPr>
              <w:t xml:space="preserve">Опционы на фьючерсы </w:t>
            </w:r>
            <w:r w:rsidRPr="002C4839">
              <w:rPr>
                <w:rFonts w:ascii="Times New Roman" w:eastAsia="Calibri" w:hAnsi="Times New Roman" w:cs="Arial"/>
                <w:noProof/>
                <w:sz w:val="24"/>
                <w:szCs w:val="24"/>
                <w:lang w:eastAsia="ru-RU"/>
              </w:rPr>
              <w:t>на:</w:t>
            </w:r>
          </w:p>
          <w:p w14:paraId="1E7A1F88"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драгоценные металлы: золото, серебро, платина</w:t>
            </w:r>
          </w:p>
          <w:p w14:paraId="4E18763A" w14:textId="77777777" w:rsidR="002C4839" w:rsidRPr="002C4839" w:rsidRDefault="002C4839" w:rsidP="002C4839">
            <w:pPr>
              <w:tabs>
                <w:tab w:val="num" w:pos="426"/>
              </w:tabs>
              <w:spacing w:before="60" w:after="0" w:line="240" w:lineRule="auto"/>
              <w:ind w:left="426" w:hanging="426"/>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нефть BRENT </w:t>
            </w:r>
          </w:p>
        </w:tc>
      </w:tr>
    </w:tbl>
    <w:p w14:paraId="10D6ED0A"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20506523"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Помеченные «*» контракты являются поставочными. Все остальные перечисленные контракты являются расчетными.</w:t>
      </w:r>
    </w:p>
    <w:p w14:paraId="4744B4A6" w14:textId="77777777" w:rsidR="002C4839" w:rsidRPr="002C4839" w:rsidRDefault="00006FE7"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Торги на срочном рынке осуществляются как в анонимном, так и в адресном (переговорном) режимах.</w:t>
      </w:r>
      <w:r w:rsidR="002C4839" w:rsidRPr="002C4839">
        <w:rPr>
          <w:rFonts w:ascii="Times New Roman" w:eastAsia="Calibri" w:hAnsi="Times New Roman" w:cs="Arial"/>
          <w:noProof/>
          <w:sz w:val="24"/>
          <w:szCs w:val="24"/>
          <w:lang w:eastAsia="ru-RU"/>
        </w:rPr>
        <w:t xml:space="preserve"> </w:t>
      </w:r>
    </w:p>
    <w:p w14:paraId="31D32257"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BD93BE0" w14:textId="77777777" w:rsidR="002C4839" w:rsidRPr="002C4839" w:rsidRDefault="00006FE7"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 xml:space="preserve">При осуществлении клиринга и расчетов по производным финансовым инструментам (в том числе - по вариационной марже) НКЦ также осуществляет функции </w:t>
      </w:r>
      <w:r w:rsidR="002C4839" w:rsidRPr="00EA2597">
        <w:rPr>
          <w:rFonts w:ascii="Times New Roman" w:hAnsi="Times New Roman" w:cs="Times New Roman"/>
          <w:bCs/>
          <w:sz w:val="24"/>
          <w:szCs w:val="24"/>
        </w:rPr>
        <w:lastRenderedPageBreak/>
        <w:t xml:space="preserve">центрального контрагента, что значительно снижает риски участников клиринга и избавляет их от необходимости проведения дорогостоящих процедур по установке лимитов друг на друга. </w:t>
      </w:r>
    </w:p>
    <w:p w14:paraId="27DAB2CE"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0C0A45AE"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НКЦ осуществляет на срочном рынке клиринг по сделкам, заключенным:</w:t>
      </w:r>
    </w:p>
    <w:p w14:paraId="011FEA93" w14:textId="77777777" w:rsidR="002C4839" w:rsidRPr="002C4839" w:rsidRDefault="002C4839" w:rsidP="00441380">
      <w:pPr>
        <w:numPr>
          <w:ilvl w:val="0"/>
          <w:numId w:val="15"/>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 счет участников клиринга;</w:t>
      </w:r>
    </w:p>
    <w:p w14:paraId="4076AC05" w14:textId="77777777" w:rsidR="002C4839" w:rsidRPr="002C4839" w:rsidRDefault="002C4839" w:rsidP="00441380">
      <w:pPr>
        <w:numPr>
          <w:ilvl w:val="0"/>
          <w:numId w:val="15"/>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 счет клиентов участников клиринга;</w:t>
      </w:r>
    </w:p>
    <w:p w14:paraId="23B21283" w14:textId="77777777" w:rsidR="002C4839" w:rsidRPr="002C4839" w:rsidRDefault="002C4839" w:rsidP="00441380">
      <w:pPr>
        <w:numPr>
          <w:ilvl w:val="0"/>
          <w:numId w:val="15"/>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за счет средств, находящихся в доверительном управлении у участников клиринга.</w:t>
      </w:r>
    </w:p>
    <w:p w14:paraId="017CF09A"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31270296" w14:textId="77777777" w:rsidR="002C4839" w:rsidRPr="002C4839" w:rsidRDefault="00006FE7"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Функции расчетного депозитария и расчетной организации исполняет НКО ЗАО НРД, которое осуществляет:</w:t>
      </w:r>
      <w:r w:rsidR="002C4839" w:rsidRPr="002C4839">
        <w:rPr>
          <w:rFonts w:ascii="Times New Roman" w:eastAsia="Calibri" w:hAnsi="Times New Roman" w:cs="Arial"/>
          <w:noProof/>
          <w:sz w:val="24"/>
          <w:szCs w:val="24"/>
          <w:lang w:eastAsia="ru-RU"/>
        </w:rPr>
        <w:t xml:space="preserve"> </w:t>
      </w:r>
    </w:p>
    <w:p w14:paraId="409B08A3" w14:textId="77777777" w:rsidR="002C4839" w:rsidRPr="002C4839" w:rsidRDefault="002C4839" w:rsidP="00441380">
      <w:pPr>
        <w:numPr>
          <w:ilvl w:val="0"/>
          <w:numId w:val="15"/>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 xml:space="preserve">учет клирингового обеспечения в денежных средствах на открытых в НРД клиринговых счетах НКЦ; </w:t>
      </w:r>
    </w:p>
    <w:p w14:paraId="16A739E2" w14:textId="77777777" w:rsidR="002C4839" w:rsidRPr="002C4839" w:rsidRDefault="002C4839" w:rsidP="00441380">
      <w:pPr>
        <w:numPr>
          <w:ilvl w:val="0"/>
          <w:numId w:val="15"/>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учет клирингового обеспечения в ценных бумагах  на открытых в НРД торговых счетах депо участников клиринга.</w:t>
      </w:r>
    </w:p>
    <w:p w14:paraId="28645B0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2D052A22" w14:textId="77777777" w:rsidR="002C4839" w:rsidRPr="002C4839" w:rsidRDefault="00006FE7" w:rsidP="00EA2597">
      <w:pPr>
        <w:spacing w:line="240" w:lineRule="auto"/>
        <w:ind w:firstLine="567"/>
        <w:jc w:val="both"/>
        <w:rPr>
          <w:rFonts w:ascii="Times New Roman" w:eastAsia="Calibri" w:hAnsi="Times New Roman" w:cs="Arial"/>
          <w:noProof/>
          <w:sz w:val="24"/>
          <w:szCs w:val="24"/>
          <w:lang w:eastAsia="ru-RU"/>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В качестве средств гарантийного обеспечения принимаются российские рубли, а также иностранная валюта и ценные бумаги, входящие в установленный решением НКЦ п</w:t>
      </w:r>
      <w:hyperlink r:id="rId25" w:history="1">
        <w:r w:rsidR="002C4839" w:rsidRPr="00EA2597">
          <w:rPr>
            <w:rFonts w:ascii="Times New Roman" w:hAnsi="Times New Roman" w:cs="Times New Roman"/>
            <w:bCs/>
            <w:sz w:val="24"/>
            <w:szCs w:val="24"/>
          </w:rPr>
          <w:t xml:space="preserve">еречень, который </w:t>
        </w:r>
      </w:hyperlink>
      <w:r w:rsidR="002C4839" w:rsidRPr="00EA2597">
        <w:rPr>
          <w:rFonts w:ascii="Times New Roman" w:hAnsi="Times New Roman" w:cs="Times New Roman"/>
          <w:bCs/>
          <w:sz w:val="24"/>
          <w:szCs w:val="24"/>
        </w:rPr>
        <w:t xml:space="preserve"> формируется в соответствии с утвержденной НКЦ </w:t>
      </w:r>
      <w:hyperlink r:id="rId26" w:history="1">
        <w:r w:rsidR="002C4839" w:rsidRPr="00EA2597">
          <w:rPr>
            <w:rFonts w:ascii="Times New Roman" w:hAnsi="Times New Roman" w:cs="Times New Roman"/>
            <w:bCs/>
            <w:sz w:val="24"/>
            <w:szCs w:val="24"/>
          </w:rPr>
          <w:t>Методикой выбора и оценки иностранных валют и ценных бумаг, принимаемых в качестве средств гарантийного обеспечени</w:t>
        </w:r>
      </w:hyperlink>
      <w:r w:rsidR="002C4839" w:rsidRPr="00EA2597">
        <w:rPr>
          <w:rFonts w:ascii="Times New Roman" w:hAnsi="Times New Roman" w:cs="Times New Roman"/>
          <w:bCs/>
          <w:sz w:val="24"/>
          <w:szCs w:val="24"/>
        </w:rPr>
        <w:t>я.</w:t>
      </w:r>
      <w:r w:rsidR="002C4839" w:rsidRPr="002C4839">
        <w:rPr>
          <w:rFonts w:ascii="Times New Roman" w:eastAsia="Calibri" w:hAnsi="Times New Roman" w:cs="Arial"/>
          <w:noProof/>
          <w:sz w:val="24"/>
          <w:szCs w:val="24"/>
          <w:lang w:eastAsia="ru-RU"/>
        </w:rPr>
        <w:t xml:space="preserve"> </w:t>
      </w:r>
    </w:p>
    <w:p w14:paraId="3A2E273B" w14:textId="77777777" w:rsidR="002C4839" w:rsidRPr="002C4839" w:rsidRDefault="002C4839" w:rsidP="002C4839">
      <w:pPr>
        <w:tabs>
          <w:tab w:val="right" w:pos="9356"/>
        </w:tabs>
        <w:autoSpaceDE w:val="0"/>
        <w:autoSpaceDN w:val="0"/>
        <w:spacing w:after="0" w:line="360" w:lineRule="auto"/>
        <w:ind w:firstLine="709"/>
        <w:jc w:val="both"/>
        <w:rPr>
          <w:rFonts w:ascii="Times New Roman" w:eastAsia="Calibri" w:hAnsi="Times New Roman" w:cs="Arial"/>
          <w:noProof/>
          <w:sz w:val="24"/>
          <w:szCs w:val="24"/>
          <w:lang w:eastAsia="ru-RU"/>
        </w:rPr>
      </w:pPr>
    </w:p>
    <w:p w14:paraId="17A3C3D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b/>
          <w:i/>
          <w:noProof/>
          <w:sz w:val="24"/>
          <w:szCs w:val="24"/>
          <w:lang w:eastAsia="ru-RU"/>
        </w:rPr>
      </w:pPr>
      <w:r w:rsidRPr="002C4839">
        <w:rPr>
          <w:rFonts w:ascii="Times New Roman" w:eastAsia="Calibri" w:hAnsi="Times New Roman" w:cs="Arial"/>
          <w:b/>
          <w:i/>
          <w:noProof/>
          <w:sz w:val="24"/>
          <w:szCs w:val="24"/>
          <w:lang w:eastAsia="ru-RU"/>
        </w:rPr>
        <w:t xml:space="preserve">В 2016 году проведены мероприятия по дальнейшему развитию клиринговых сервисов, предоставляемых участникам клиринга на срочном рынке, а именно: </w:t>
      </w:r>
    </w:p>
    <w:p w14:paraId="009D2544"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b/>
          <w:i/>
          <w:noProof/>
          <w:sz w:val="24"/>
          <w:szCs w:val="24"/>
          <w:lang w:eastAsia="ru-RU"/>
        </w:rPr>
      </w:pPr>
    </w:p>
    <w:p w14:paraId="27AB557B" w14:textId="77777777" w:rsidR="002C4839" w:rsidRPr="002C4839" w:rsidRDefault="002C4839" w:rsidP="00441380">
      <w:pPr>
        <w:numPr>
          <w:ilvl w:val="0"/>
          <w:numId w:val="16"/>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введено маржирование по расчетным кодам на срочном рынке, внедрение межпродуктовых спредов на валютном рынке в рамках унификации подходов к системе маржирования на всех рынках Московской Биржи;</w:t>
      </w:r>
    </w:p>
    <w:p w14:paraId="72FB16DD" w14:textId="77777777" w:rsidR="002C4839" w:rsidRPr="002C4839" w:rsidRDefault="002C4839" w:rsidP="00441380">
      <w:pPr>
        <w:numPr>
          <w:ilvl w:val="0"/>
          <w:numId w:val="16"/>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предоставлена возможность участникам, которые совершают операции на срочном и валютном рынках, воспользоваться сервисом балансировки валютного риска между открытыми позициями на срочном рынке и неисполненными обязательствами на валютном рынке. Это позволяет уменьшить требование к размеру обеспечения участников по разнонаправленным позициям на обоих рынках за счет неттинга валютного риска;</w:t>
      </w:r>
    </w:p>
    <w:p w14:paraId="25A9170F" w14:textId="77777777" w:rsidR="002C4839" w:rsidRPr="002C4839" w:rsidRDefault="002C4839" w:rsidP="00441380">
      <w:pPr>
        <w:numPr>
          <w:ilvl w:val="0"/>
          <w:numId w:val="16"/>
        </w:numPr>
        <w:spacing w:before="60" w:after="0" w:line="240" w:lineRule="auto"/>
        <w:contextualSpacing/>
        <w:jc w:val="both"/>
        <w:rPr>
          <w:rFonts w:ascii="Times New Roman" w:eastAsia="Times New Roman" w:hAnsi="Times New Roman" w:cs="Times New Roman"/>
          <w:bCs/>
          <w:noProof/>
          <w:sz w:val="24"/>
          <w:szCs w:val="24"/>
          <w:lang w:eastAsia="ru-RU"/>
        </w:rPr>
      </w:pPr>
      <w:r w:rsidRPr="002C4839">
        <w:rPr>
          <w:rFonts w:ascii="Times New Roman" w:eastAsia="Times New Roman" w:hAnsi="Times New Roman" w:cs="Times New Roman"/>
          <w:bCs/>
          <w:noProof/>
          <w:sz w:val="24"/>
          <w:szCs w:val="24"/>
          <w:lang w:eastAsia="ru-RU"/>
        </w:rPr>
        <w:t>с декабря 2016 года в рамках реализации универсальных форматов электронных сообщений (УФЭС) у участников клиринга появилась возможность прямого перевода денежных средств между срочным рынком и другими рынками биржи.Для более гибкого управления алгоритмом расчета гарантийного обеспечения в торговой системе, чтобы не создавалось резких скачков гарантийного обеспечения у клиентов перед эспирацией опционов, добавлен ряд дополнительных параметров, которые позволят брокеру самостоятельно задавать алгоритм расчета ГО при экспирации по его клиентам (количество клирингов до начала учета рисков экспирации на уровне брокерской фирмы/на уровне клиента, а также параметр, контролирующий увеличение требований к обеспечению для клиента при включении учета рисков экспирации).</w:t>
      </w:r>
    </w:p>
    <w:p w14:paraId="62E65292"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38FA86C1"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lastRenderedPageBreak/>
        <w:t xml:space="preserve">     </w:t>
      </w:r>
      <w:r w:rsidR="002C4839" w:rsidRPr="00EA2597">
        <w:rPr>
          <w:rFonts w:ascii="Times New Roman" w:hAnsi="Times New Roman" w:cs="Times New Roman"/>
          <w:bCs/>
          <w:sz w:val="24"/>
          <w:szCs w:val="24"/>
        </w:rPr>
        <w:t>В 2016 году ряд производных финансовых инструментов, допущенных к торгам на срочном рынке Московской Биржи, сделки с которыми подлежат клирингу НКЦ, был дополнен фьючерсными контрактами на ставку RUONIA. Данные инструменты позволят участникам </w:t>
      </w:r>
      <w:hyperlink r:id="rId27" w:history="1">
        <w:r w:rsidR="002C4839" w:rsidRPr="00EA2597">
          <w:rPr>
            <w:rFonts w:ascii="Times New Roman" w:hAnsi="Times New Roman" w:cs="Times New Roman"/>
            <w:bCs/>
            <w:sz w:val="24"/>
            <w:szCs w:val="24"/>
          </w:rPr>
          <w:t>хеджировать</w:t>
        </w:r>
      </w:hyperlink>
      <w:r w:rsidR="002C4839" w:rsidRPr="00EA2597">
        <w:rPr>
          <w:rFonts w:ascii="Times New Roman" w:hAnsi="Times New Roman" w:cs="Times New Roman"/>
          <w:bCs/>
          <w:sz w:val="24"/>
          <w:szCs w:val="24"/>
        </w:rPr>
        <w:t> свои риски на рынке однодневных процентных ставок. Кроме того, в 2016 году была расширена линейка опционов за счет введения в обращение опционов на фьючерсы на акции таких российских эмитентов как ОАО «НЛМК». В октябре 2016 года начались торги фьючерсами на обыкновенные акции АК «АЛРОСА».</w:t>
      </w:r>
    </w:p>
    <w:p w14:paraId="546055CD" w14:textId="77777777" w:rsidR="002C4839" w:rsidRPr="00EA2597" w:rsidRDefault="00006FE7"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Комиссионное вознаграждение, полученное НКЦ за клиринговое обслуживание на срочном рынке за 2016 год составило 24 545 тыс. руб., что в 1,17 раз превосходит аналогичный показатель за 2015 год  - 21 068 тыс. руб.</w:t>
      </w:r>
    </w:p>
    <w:p w14:paraId="0EC87138"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3AAC195B" w14:textId="77777777" w:rsidR="002C4839" w:rsidRPr="002C4839" w:rsidRDefault="002C4839" w:rsidP="002C4839">
      <w:pPr>
        <w:widowControl w:val="0"/>
        <w:tabs>
          <w:tab w:val="left" w:pos="8820"/>
        </w:tabs>
        <w:overflowPunct w:val="0"/>
        <w:autoSpaceDE w:val="0"/>
        <w:autoSpaceDN w:val="0"/>
        <w:adjustRightInd w:val="0"/>
        <w:spacing w:after="0" w:line="240" w:lineRule="auto"/>
        <w:ind w:left="708" w:right="76"/>
        <w:textAlignment w:val="baseline"/>
        <w:rPr>
          <w:rFonts w:ascii="Times New Roman" w:eastAsia="Times New Roman" w:hAnsi="Times New Roman" w:cs="Times New Roman"/>
          <w:b/>
          <w:sz w:val="28"/>
          <w:szCs w:val="28"/>
          <w:lang w:eastAsia="ru-RU"/>
        </w:rPr>
      </w:pPr>
    </w:p>
    <w:p w14:paraId="775591BF" w14:textId="77777777" w:rsidR="002C4839" w:rsidRPr="002C4839" w:rsidRDefault="002C4839" w:rsidP="002C4839">
      <w:pPr>
        <w:widowControl w:val="0"/>
        <w:tabs>
          <w:tab w:val="left" w:pos="8820"/>
        </w:tabs>
        <w:overflowPunct w:val="0"/>
        <w:autoSpaceDE w:val="0"/>
        <w:autoSpaceDN w:val="0"/>
        <w:adjustRightInd w:val="0"/>
        <w:spacing w:after="0" w:line="240" w:lineRule="auto"/>
        <w:ind w:left="708" w:right="76"/>
        <w:textAlignment w:val="baseline"/>
        <w:rPr>
          <w:rFonts w:ascii="Times New Roman" w:eastAsia="Times New Roman" w:hAnsi="Times New Roman" w:cs="Times New Roman"/>
          <w:b/>
          <w:sz w:val="28"/>
          <w:szCs w:val="28"/>
          <w:lang w:eastAsia="ru-RU"/>
        </w:rPr>
      </w:pPr>
    </w:p>
    <w:p w14:paraId="28C5367D" w14:textId="7C8BAD32" w:rsidR="002C4839" w:rsidRPr="0073322E" w:rsidRDefault="0073322E" w:rsidP="00441380">
      <w:pPr>
        <w:pStyle w:val="a3"/>
        <w:widowControl w:val="0"/>
        <w:numPr>
          <w:ilvl w:val="1"/>
          <w:numId w:val="71"/>
        </w:numPr>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C4839" w:rsidRPr="0073322E">
        <w:rPr>
          <w:rFonts w:ascii="Times New Roman" w:eastAsia="Times New Roman" w:hAnsi="Times New Roman"/>
          <w:b/>
          <w:sz w:val="28"/>
          <w:szCs w:val="28"/>
          <w:lang w:eastAsia="ru-RU"/>
        </w:rPr>
        <w:t>Клиринговая деятельность на товарном рынке</w:t>
      </w:r>
    </w:p>
    <w:p w14:paraId="30C814AE" w14:textId="77777777" w:rsidR="002C4839" w:rsidRPr="002C4839" w:rsidRDefault="002C4839" w:rsidP="002C4839">
      <w:pPr>
        <w:spacing w:line="240" w:lineRule="auto"/>
        <w:rPr>
          <w:rFonts w:ascii="Times New Roman" w:hAnsi="Times New Roman" w:cs="Times New Roman"/>
          <w:color w:val="000000"/>
          <w:sz w:val="24"/>
          <w:szCs w:val="24"/>
        </w:rPr>
      </w:pPr>
    </w:p>
    <w:p w14:paraId="06CE24B1" w14:textId="77777777" w:rsidR="002C4839" w:rsidRPr="00EA2597" w:rsidRDefault="009952EF"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Arial"/>
          <w:noProof/>
          <w:sz w:val="24"/>
          <w:szCs w:val="24"/>
          <w:lang w:eastAsia="ru-RU"/>
        </w:rPr>
        <w:t xml:space="preserve">     </w:t>
      </w:r>
      <w:r w:rsidR="002C4839" w:rsidRPr="00EA2597">
        <w:rPr>
          <w:rFonts w:ascii="Times New Roman" w:hAnsi="Times New Roman" w:cs="Times New Roman"/>
          <w:bCs/>
          <w:sz w:val="24"/>
          <w:szCs w:val="24"/>
        </w:rPr>
        <w:t xml:space="preserve">В отчетный период в рамках развития товарного рынка разработаны, согласованы, утверждены, зарегистрированы Банком России и размещены на сайте Банка НКЦ Правила клиринга на товарном рынке, а также документы, описывающие изменения в программном обеспечении, необходимые для реализации проекта. </w:t>
      </w:r>
    </w:p>
    <w:p w14:paraId="2D6246BC" w14:textId="77777777" w:rsidR="002C4839" w:rsidRPr="002C4839" w:rsidRDefault="002C4839" w:rsidP="00EA2597">
      <w:pPr>
        <w:spacing w:line="240" w:lineRule="auto"/>
        <w:ind w:firstLine="567"/>
        <w:jc w:val="both"/>
        <w:rPr>
          <w:rFonts w:ascii="Times New Roman" w:eastAsia="Calibri" w:hAnsi="Times New Roman" w:cs="Arial"/>
          <w:noProof/>
          <w:sz w:val="24"/>
          <w:szCs w:val="24"/>
          <w:lang w:eastAsia="ru-RU"/>
        </w:rPr>
      </w:pPr>
      <w:r w:rsidRPr="002C4839">
        <w:rPr>
          <w:rFonts w:ascii="Times New Roman" w:eastAsia="Calibri" w:hAnsi="Times New Roman" w:cs="Arial"/>
          <w:noProof/>
          <w:sz w:val="24"/>
          <w:szCs w:val="24"/>
          <w:lang w:eastAsia="ru-RU"/>
        </w:rPr>
        <w:t xml:space="preserve"> </w:t>
      </w:r>
      <w:r w:rsidRPr="00EA2597">
        <w:rPr>
          <w:rFonts w:ascii="Times New Roman" w:hAnsi="Times New Roman" w:cs="Times New Roman"/>
          <w:bCs/>
          <w:sz w:val="24"/>
          <w:szCs w:val="24"/>
        </w:rPr>
        <w:t>В Правила клиринга на товарном рынке были внесены следующие изменения:</w:t>
      </w:r>
    </w:p>
    <w:p w14:paraId="2E40691F"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780DA765" w14:textId="77777777" w:rsidR="002C4839" w:rsidRPr="002C4839" w:rsidRDefault="002C4839" w:rsidP="00441380">
      <w:pPr>
        <w:numPr>
          <w:ilvl w:val="0"/>
          <w:numId w:val="39"/>
        </w:numPr>
        <w:spacing w:after="160" w:line="240" w:lineRule="auto"/>
        <w:contextualSpacing/>
        <w:jc w:val="both"/>
        <w:rPr>
          <w:rFonts w:ascii="Times New Roman" w:eastAsia="Calibri" w:hAnsi="Times New Roman" w:cs="Times New Roman"/>
          <w:color w:val="000000"/>
          <w:sz w:val="24"/>
          <w:szCs w:val="24"/>
        </w:rPr>
      </w:pPr>
      <w:r w:rsidRPr="002C4839">
        <w:rPr>
          <w:rFonts w:ascii="Times New Roman" w:eastAsia="Calibri" w:hAnsi="Times New Roman" w:cs="Times New Roman"/>
          <w:color w:val="000000"/>
          <w:sz w:val="24"/>
          <w:szCs w:val="24"/>
        </w:rPr>
        <w:softHyphen/>
        <w:t>изменена модель исполнения договоров на товарном рынке – исполнение происходит с участием центрального контрагента без заключения спот договора между участниками клиринга;</w:t>
      </w:r>
    </w:p>
    <w:p w14:paraId="3EDBC56D" w14:textId="77777777" w:rsidR="002C4839" w:rsidRPr="002C4839" w:rsidRDefault="002C4839" w:rsidP="00441380">
      <w:pPr>
        <w:numPr>
          <w:ilvl w:val="0"/>
          <w:numId w:val="39"/>
        </w:numPr>
        <w:spacing w:after="160" w:line="240" w:lineRule="auto"/>
        <w:contextualSpacing/>
        <w:jc w:val="both"/>
        <w:rPr>
          <w:rFonts w:ascii="Times New Roman" w:eastAsia="Calibri" w:hAnsi="Times New Roman" w:cs="Times New Roman"/>
          <w:color w:val="000000"/>
          <w:sz w:val="24"/>
          <w:szCs w:val="24"/>
        </w:rPr>
      </w:pPr>
      <w:r w:rsidRPr="002C4839">
        <w:rPr>
          <w:rFonts w:ascii="Times New Roman" w:eastAsia="Calibri" w:hAnsi="Times New Roman" w:cs="Times New Roman"/>
          <w:color w:val="000000"/>
          <w:sz w:val="24"/>
          <w:szCs w:val="24"/>
        </w:rPr>
        <w:softHyphen/>
        <w:t>изменен порядок клиринга по своп договорам: для участников клиринга категории «Б» по первой части своп договора будет осуществляться клиринг с полным обеспечением по товарам и клиринг с частичным обеспечением по денежным средствам;</w:t>
      </w:r>
    </w:p>
    <w:p w14:paraId="1031CAA1" w14:textId="77777777" w:rsidR="002C4839" w:rsidRPr="002C4839" w:rsidRDefault="002C4839" w:rsidP="00441380">
      <w:pPr>
        <w:numPr>
          <w:ilvl w:val="0"/>
          <w:numId w:val="39"/>
        </w:numPr>
        <w:spacing w:after="160" w:line="240" w:lineRule="auto"/>
        <w:contextualSpacing/>
        <w:jc w:val="both"/>
        <w:rPr>
          <w:rFonts w:ascii="Times New Roman" w:eastAsia="Calibri" w:hAnsi="Times New Roman" w:cs="Times New Roman"/>
          <w:color w:val="000000"/>
          <w:sz w:val="24"/>
          <w:szCs w:val="24"/>
        </w:rPr>
      </w:pPr>
      <w:r w:rsidRPr="002C4839">
        <w:rPr>
          <w:rFonts w:ascii="Times New Roman" w:eastAsia="Calibri" w:hAnsi="Times New Roman" w:cs="Times New Roman"/>
          <w:color w:val="000000"/>
          <w:sz w:val="24"/>
          <w:szCs w:val="24"/>
        </w:rPr>
        <w:softHyphen/>
        <w:t>предоставлена возможность одному участнику клиринга использовать разные юридические модели разделения статусов участников торгов и участника клиринга: модель клирингового брокера (для заключения сделок не в интересах такого участника клиринга) и модель договора поручения (для заключения сделок в интересах такого участника клиринга);</w:t>
      </w:r>
    </w:p>
    <w:p w14:paraId="613748C5" w14:textId="77777777" w:rsidR="002C4839" w:rsidRPr="002C4839" w:rsidRDefault="002C4839" w:rsidP="00441380">
      <w:pPr>
        <w:numPr>
          <w:ilvl w:val="0"/>
          <w:numId w:val="39"/>
        </w:numPr>
        <w:spacing w:after="160" w:line="240" w:lineRule="auto"/>
        <w:contextualSpacing/>
        <w:jc w:val="both"/>
        <w:rPr>
          <w:rFonts w:ascii="Times New Roman" w:eastAsia="Calibri" w:hAnsi="Times New Roman" w:cs="Times New Roman"/>
          <w:color w:val="000000"/>
          <w:sz w:val="24"/>
          <w:szCs w:val="24"/>
        </w:rPr>
      </w:pPr>
      <w:r w:rsidRPr="002C4839">
        <w:rPr>
          <w:rFonts w:ascii="Times New Roman" w:eastAsia="Calibri" w:hAnsi="Times New Roman" w:cs="Times New Roman"/>
          <w:color w:val="000000"/>
          <w:sz w:val="24"/>
          <w:szCs w:val="24"/>
        </w:rPr>
        <w:softHyphen/>
        <w:t>введен порядок проверки возможности регистрации комбинированных заявок – заявок, подаваемых участником торгов с целью заключения форвардного договора, являющихся одновременно заявками на заключение договора своп;</w:t>
      </w:r>
    </w:p>
    <w:p w14:paraId="20EF95F2" w14:textId="77777777" w:rsidR="002C4839" w:rsidRPr="002C4839" w:rsidRDefault="002C4839" w:rsidP="00441380">
      <w:pPr>
        <w:numPr>
          <w:ilvl w:val="0"/>
          <w:numId w:val="39"/>
        </w:numPr>
        <w:spacing w:after="160" w:line="240" w:lineRule="auto"/>
        <w:contextualSpacing/>
        <w:jc w:val="both"/>
        <w:rPr>
          <w:rFonts w:ascii="Times New Roman" w:eastAsia="Calibri" w:hAnsi="Times New Roman" w:cs="Times New Roman"/>
          <w:color w:val="000000"/>
          <w:sz w:val="24"/>
          <w:szCs w:val="24"/>
        </w:rPr>
      </w:pPr>
      <w:r w:rsidRPr="002C4839">
        <w:rPr>
          <w:rFonts w:ascii="Times New Roman" w:eastAsia="Calibri" w:hAnsi="Times New Roman" w:cs="Times New Roman"/>
          <w:color w:val="000000"/>
          <w:sz w:val="24"/>
          <w:szCs w:val="24"/>
        </w:rPr>
        <w:softHyphen/>
        <w:t>положения о начислении платы за право использования денежных средств, составляющих индивидуальное и/или коллективное клиринговое обеспечение, приведены в соответствии с изменениями, внесенными в Налоговый кодекс РФ.</w:t>
      </w:r>
    </w:p>
    <w:p w14:paraId="2258195E" w14:textId="77777777" w:rsidR="002C4839" w:rsidRPr="002C4839" w:rsidRDefault="002C4839" w:rsidP="002C4839">
      <w:pPr>
        <w:ind w:left="720"/>
        <w:contextualSpacing/>
        <w:rPr>
          <w:rFonts w:ascii="Calibri" w:eastAsia="Calibri" w:hAnsi="Calibri" w:cs="Times New Roman"/>
          <w:color w:val="1F497D"/>
        </w:rPr>
      </w:pPr>
    </w:p>
    <w:p w14:paraId="28D1E452" w14:textId="77777777" w:rsidR="002C4839" w:rsidRPr="002C4839" w:rsidRDefault="002C4839" w:rsidP="002C4839">
      <w:pPr>
        <w:rPr>
          <w:color w:val="1F497D"/>
        </w:rPr>
      </w:pPr>
    </w:p>
    <w:p w14:paraId="1730E7F9"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4A3FE830" w14:textId="77777777" w:rsidR="002C4839" w:rsidRPr="002C4839" w:rsidRDefault="002C4839" w:rsidP="002C4839">
      <w:pPr>
        <w:tabs>
          <w:tab w:val="right" w:pos="9356"/>
        </w:tabs>
        <w:autoSpaceDE w:val="0"/>
        <w:autoSpaceDN w:val="0"/>
        <w:spacing w:after="0" w:line="240" w:lineRule="auto"/>
        <w:ind w:firstLine="709"/>
        <w:jc w:val="both"/>
        <w:rPr>
          <w:rFonts w:ascii="Times New Roman" w:eastAsia="Calibri" w:hAnsi="Times New Roman" w:cs="Arial"/>
          <w:noProof/>
          <w:sz w:val="24"/>
          <w:szCs w:val="24"/>
          <w:lang w:eastAsia="ru-RU"/>
        </w:rPr>
      </w:pPr>
    </w:p>
    <w:p w14:paraId="45F3F049" w14:textId="77777777" w:rsidR="00AC0F68" w:rsidRDefault="00AC0F68" w:rsidP="002C4839">
      <w:pPr>
        <w:ind w:right="76"/>
        <w:jc w:val="center"/>
        <w:rPr>
          <w:rFonts w:ascii="Times New Roman" w:eastAsia="Calibri" w:hAnsi="Times New Roman" w:cs="Times New Roman"/>
          <w:b/>
          <w:bCs/>
          <w:sz w:val="28"/>
          <w:szCs w:val="28"/>
        </w:rPr>
      </w:pPr>
    </w:p>
    <w:p w14:paraId="3A55E7B4" w14:textId="77777777" w:rsidR="00AC0F68" w:rsidRDefault="00AC0F68" w:rsidP="002C4839">
      <w:pPr>
        <w:ind w:right="76"/>
        <w:jc w:val="center"/>
        <w:rPr>
          <w:rFonts w:ascii="Times New Roman" w:eastAsia="Calibri" w:hAnsi="Times New Roman" w:cs="Times New Roman"/>
          <w:b/>
          <w:bCs/>
          <w:sz w:val="28"/>
          <w:szCs w:val="28"/>
        </w:rPr>
      </w:pPr>
    </w:p>
    <w:p w14:paraId="10BB6423" w14:textId="77777777" w:rsidR="002C4839" w:rsidRPr="002C4839" w:rsidRDefault="002C4839" w:rsidP="002C4839">
      <w:pPr>
        <w:ind w:right="76"/>
        <w:jc w:val="center"/>
        <w:rPr>
          <w:rFonts w:ascii="Times New Roman" w:eastAsia="Calibri" w:hAnsi="Times New Roman" w:cs="Times New Roman"/>
          <w:b/>
          <w:bCs/>
          <w:sz w:val="28"/>
          <w:szCs w:val="28"/>
        </w:rPr>
      </w:pPr>
      <w:r w:rsidRPr="002C4839">
        <w:rPr>
          <w:rFonts w:ascii="Times New Roman" w:eastAsia="Calibri" w:hAnsi="Times New Roman" w:cs="Times New Roman"/>
          <w:b/>
          <w:bCs/>
          <w:sz w:val="28"/>
          <w:szCs w:val="28"/>
        </w:rPr>
        <w:lastRenderedPageBreak/>
        <w:t>5.5. Клиринговая деятельность на рынке стандартизированных ПФИ</w:t>
      </w:r>
    </w:p>
    <w:p w14:paraId="7FFD5F5D" w14:textId="300932B8"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Рынок стандартизированных ПФИ был создан для реализации положений коммюнике, принятого по итогам встречи "двадцатки" в Пит</w:t>
      </w:r>
      <w:r w:rsidR="001269C0">
        <w:rPr>
          <w:rFonts w:ascii="Times New Roman" w:hAnsi="Times New Roman" w:cs="Times New Roman"/>
          <w:bCs/>
          <w:sz w:val="24"/>
          <w:szCs w:val="24"/>
        </w:rPr>
        <w:t>т</w:t>
      </w:r>
      <w:r w:rsidR="002C4839" w:rsidRPr="00EA2597">
        <w:rPr>
          <w:rFonts w:ascii="Times New Roman" w:hAnsi="Times New Roman" w:cs="Times New Roman"/>
          <w:bCs/>
          <w:sz w:val="24"/>
          <w:szCs w:val="24"/>
        </w:rPr>
        <w:t>сбурге в 2009 году, в котором была выражена согласованная позиция лидеров G20 о необходимости перевода на биржевые площадки торгов стандартизированными производными финансовыми инструменты  с проведением  клиринга с участием  центрального контрагента.</w:t>
      </w:r>
    </w:p>
    <w:p w14:paraId="607CD1C2" w14:textId="77777777"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НКЦ осуществляет клиринговую деятельность на рынке стандартизированных производных финансовых инструментов (ПФИ) Группы «Московская Биржа» с 2013 года. Банк, являясь центральным контрагентом по внебиржевым договорам на рынке СПФИ, осуществляет также функции информирующего лица и передает в репозитарий информация о заключенных на рынке СПФИ внебиржевых договорах.</w:t>
      </w:r>
    </w:p>
    <w:p w14:paraId="0B9FD378" w14:textId="77777777"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В 2016 году НКЦ продолжил осуществление клиринга и выполнение функций центрального контрагента на рынке стандартизированных ПФИ в условиях продолжавшегося развития  инструментов этого сегмента рынка. В начале отчетного года вступили в силу разработанные ранее новые редакции внебиржевых спецификаций существующих инструментов: валютный опцион и процентный своп, и внебиржевые спецификации новых инструментов: валютный своп и валютный форвард. С целью расширения линейки доступных инструментов была разработана спецификация нового внебиржевого инструмента - валютно-процентный своп, заключение договоров с которым будет доступно участникам на рынке СПФИ в начале 2017 году.</w:t>
      </w:r>
    </w:p>
    <w:p w14:paraId="108995AB" w14:textId="77777777"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Для расширения возможностей  участников на рынке СПФИ  проведена работа по дополнению этого рынка за счет новой доступной валюты – евро. С этой целью  были разработаны новые редакции биржевых и внебиржевых спецификаций и Методики расчета рисков на рынке СПФИ. Новая валюта – евро будет доступна участникам в начале 2017 года. Для унификации Правил клиринга НКЦ осуществлена разработка новой редакция Правил клиринга на рынке СПФИ, исходя из единого формата Правил клиринга Банка на других рынках. Новая редакция Правил клиринга на рынке СПФИ зарегистрирована в Банке России 28.10.2016 г. и вступит в силу в начале 2017 года.</w:t>
      </w:r>
    </w:p>
    <w:p w14:paraId="65AD5D9E" w14:textId="77777777"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С целью уменьшения затрат участников был реализована возможность вывода денежных средств непосредственно после проведения клиринговой сессии. Это особенно актуально для участников, когда происходит обмен номиналами по заключенным договорам на рынке CПФИ.</w:t>
      </w:r>
    </w:p>
    <w:p w14:paraId="1D5C3599" w14:textId="77777777" w:rsidR="002C4839" w:rsidRPr="00EA2597" w:rsidRDefault="00031350" w:rsidP="00EA2597">
      <w:pPr>
        <w:spacing w:line="240" w:lineRule="auto"/>
        <w:ind w:firstLine="567"/>
        <w:jc w:val="both"/>
        <w:rPr>
          <w:rFonts w:ascii="Times New Roman" w:hAnsi="Times New Roman" w:cs="Times New Roman"/>
          <w:bCs/>
          <w:sz w:val="24"/>
          <w:szCs w:val="24"/>
        </w:rPr>
      </w:pPr>
      <w:r>
        <w:rPr>
          <w:rFonts w:ascii="Times New Roman" w:hAnsi="Times New Roman" w:cs="Arial"/>
          <w:noProof/>
          <w:sz w:val="24"/>
          <w:szCs w:val="24"/>
          <w:lang w:eastAsia="ru-RU"/>
        </w:rPr>
        <w:t xml:space="preserve">     </w:t>
      </w:r>
      <w:r w:rsidR="002C4839" w:rsidRPr="00EA2597">
        <w:rPr>
          <w:rFonts w:ascii="Times New Roman" w:hAnsi="Times New Roman" w:cs="Times New Roman"/>
          <w:bCs/>
          <w:sz w:val="24"/>
          <w:szCs w:val="24"/>
        </w:rPr>
        <w:t>В отчетном году общее числа участников рынка СПФИ выросло до 37. Объем заключенных договоров на этом сегменте рынка СПФИ составил по номинальной стоимости более 18 млрд. рублей, комиссионное вознаграждение, полученное НКЦ за клиринговое обслуживание на срочном рынке за 2016 год, составило 632 тыс. руб., что в 1,4 раза превышает аналогичный показатель за 2015 год  - 456 тыс. руб.</w:t>
      </w:r>
    </w:p>
    <w:p w14:paraId="7580DEFC" w14:textId="77777777" w:rsidR="002C4839" w:rsidRPr="002C4839" w:rsidRDefault="002C4839" w:rsidP="002C4839">
      <w:pPr>
        <w:ind w:right="76"/>
        <w:rPr>
          <w:rFonts w:ascii="Times New Roman" w:eastAsia="Calibri" w:hAnsi="Times New Roman" w:cs="Times New Roman"/>
          <w:b/>
          <w:bCs/>
          <w:sz w:val="28"/>
          <w:szCs w:val="28"/>
        </w:rPr>
      </w:pPr>
    </w:p>
    <w:p w14:paraId="0CA6C44D" w14:textId="77777777" w:rsidR="00AC0F68" w:rsidRDefault="00AC0F68" w:rsidP="002C4839">
      <w:pPr>
        <w:jc w:val="center"/>
        <w:rPr>
          <w:rFonts w:ascii="Times New Roman" w:hAnsi="Times New Roman" w:cs="Times New Roman"/>
          <w:b/>
          <w:bCs/>
          <w:color w:val="000000"/>
          <w:sz w:val="28"/>
          <w:szCs w:val="28"/>
        </w:rPr>
      </w:pPr>
    </w:p>
    <w:p w14:paraId="74C584A1" w14:textId="77777777" w:rsidR="00AC0F68" w:rsidRDefault="00AC0F68" w:rsidP="002C4839">
      <w:pPr>
        <w:jc w:val="center"/>
        <w:rPr>
          <w:rFonts w:ascii="Times New Roman" w:hAnsi="Times New Roman" w:cs="Times New Roman"/>
          <w:b/>
          <w:bCs/>
          <w:color w:val="000000"/>
          <w:sz w:val="28"/>
          <w:szCs w:val="28"/>
        </w:rPr>
      </w:pPr>
    </w:p>
    <w:p w14:paraId="587DF957" w14:textId="77777777" w:rsidR="00AC0F68" w:rsidRDefault="00AC0F68" w:rsidP="002C4839">
      <w:pPr>
        <w:jc w:val="center"/>
        <w:rPr>
          <w:rFonts w:ascii="Times New Roman" w:hAnsi="Times New Roman" w:cs="Times New Roman"/>
          <w:b/>
          <w:bCs/>
          <w:color w:val="000000"/>
          <w:sz w:val="28"/>
          <w:szCs w:val="28"/>
        </w:rPr>
      </w:pPr>
    </w:p>
    <w:p w14:paraId="73D36B53" w14:textId="77777777" w:rsidR="00AC0F68" w:rsidRDefault="00AC0F68" w:rsidP="002C4839">
      <w:pPr>
        <w:jc w:val="center"/>
        <w:rPr>
          <w:rFonts w:ascii="Times New Roman" w:hAnsi="Times New Roman" w:cs="Times New Roman"/>
          <w:b/>
          <w:bCs/>
          <w:color w:val="000000"/>
          <w:sz w:val="28"/>
          <w:szCs w:val="28"/>
        </w:rPr>
      </w:pPr>
    </w:p>
    <w:p w14:paraId="6BF7506C" w14:textId="77777777" w:rsidR="002C4839" w:rsidRPr="002C4839" w:rsidRDefault="002C4839" w:rsidP="002C4839">
      <w:pPr>
        <w:jc w:val="center"/>
        <w:rPr>
          <w:rFonts w:ascii="Times New Roman" w:hAnsi="Times New Roman" w:cs="Times New Roman"/>
          <w:b/>
          <w:bCs/>
          <w:color w:val="000000"/>
          <w:sz w:val="28"/>
          <w:szCs w:val="28"/>
        </w:rPr>
      </w:pPr>
      <w:r w:rsidRPr="002C4839">
        <w:rPr>
          <w:rFonts w:ascii="Times New Roman" w:hAnsi="Times New Roman" w:cs="Times New Roman"/>
          <w:b/>
          <w:bCs/>
          <w:color w:val="000000"/>
          <w:sz w:val="28"/>
          <w:szCs w:val="28"/>
        </w:rPr>
        <w:lastRenderedPageBreak/>
        <w:t>5.6. Выполнение функций оператора товарных поставок</w:t>
      </w:r>
    </w:p>
    <w:p w14:paraId="09D52836"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hAnsi="Times New Roman" w:cs="Times New Roman"/>
          <w:color w:val="000000"/>
          <w:sz w:val="24"/>
          <w:szCs w:val="24"/>
        </w:rPr>
        <w:t xml:space="preserve">      </w:t>
      </w:r>
      <w:r w:rsidRPr="00EA2597">
        <w:rPr>
          <w:rFonts w:ascii="Times New Roman" w:hAnsi="Times New Roman" w:cs="Times New Roman"/>
          <w:bCs/>
          <w:sz w:val="24"/>
          <w:szCs w:val="24"/>
        </w:rPr>
        <w:t>С декабря 2015 года в Группе «Московская Биржа» проводятся торги сельскохозяйственной продукцией. В качестве торговой площадки выступает АО НТБ. По результатам торгов производится клиринг, предусматривающий частичное обеспечение. С момента старта биржевых торгов базисным активом торгуемых производных финансовых инструментов – поставочных фьючерсов с плавающей датой расчётов являлась пшеница. В 2016 году в качестве базисных активов участникам стали доступны кукуруза и ячмень.</w:t>
      </w:r>
    </w:p>
    <w:p w14:paraId="51746586"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hAnsi="Times New Roman" w:cs="Times New Roman"/>
          <w:color w:val="000000"/>
          <w:sz w:val="24"/>
          <w:szCs w:val="24"/>
        </w:rPr>
        <w:t xml:space="preserve">     </w:t>
      </w:r>
      <w:r w:rsidRPr="00EA2597">
        <w:rPr>
          <w:rFonts w:ascii="Times New Roman" w:hAnsi="Times New Roman" w:cs="Times New Roman"/>
          <w:bCs/>
          <w:sz w:val="24"/>
          <w:szCs w:val="24"/>
        </w:rPr>
        <w:t>НКЦ, выступающий клиринговой организацией на биржевом товарном рынке АО НТБ, получил аккредитацию Банка России в качестве Оператора товарных поставок (ОТП). Данная функция предусмотрена законодательством и предусматривает учёт товаров, переданных на хранение ОТП на товарных счетах. Хранение товаров осуществляется ОТП на аккредитованных товарных складах (элеваторах, применительно к зерну). На момент старта биржевых торгов ОТП было аккредитовано 4 элеватора из Волгоградской области и Ставропольского края. В 2016 году ОТП аккредитовал 21 элеватор, расширив географию базисов поставки на Владимирскую, Воронежскую, Липецкую, Омскую, Пензенскую, Тамбовскую, Ульяновскую и Челябинскую области, Краснодарский край и республику Башкортостан.</w:t>
      </w:r>
    </w:p>
    <w:p w14:paraId="7967B193" w14:textId="77777777" w:rsidR="002C4839" w:rsidRPr="00EA2597" w:rsidRDefault="002C4839" w:rsidP="00EA2597">
      <w:pPr>
        <w:spacing w:line="240" w:lineRule="auto"/>
        <w:ind w:firstLine="567"/>
        <w:jc w:val="both"/>
        <w:rPr>
          <w:rFonts w:ascii="Times New Roman" w:hAnsi="Times New Roman" w:cs="Times New Roman"/>
          <w:bCs/>
          <w:sz w:val="24"/>
          <w:szCs w:val="24"/>
        </w:rPr>
      </w:pPr>
      <w:r w:rsidRPr="002C4839">
        <w:rPr>
          <w:rFonts w:ascii="Times New Roman" w:hAnsi="Times New Roman" w:cs="Times New Roman"/>
          <w:color w:val="000000"/>
          <w:sz w:val="24"/>
          <w:szCs w:val="24"/>
        </w:rPr>
        <w:t xml:space="preserve">      </w:t>
      </w:r>
      <w:r w:rsidRPr="00EA2597">
        <w:rPr>
          <w:rFonts w:ascii="Times New Roman" w:hAnsi="Times New Roman" w:cs="Times New Roman"/>
          <w:bCs/>
          <w:sz w:val="24"/>
          <w:szCs w:val="24"/>
        </w:rPr>
        <w:t>Планом развития товарного рынка АО НТБ предусматривается клиринг с центральным контрагентом по результатам торгов, а также доставку товара (базисного актива форвардных контрактов) от продавца покупателю. Во время торгов для участников торгов и их клиентов предусмотрена возможность заключать договор на организацию перевозки товара до любой железнодорожной станции Российской Федерации (договор транспортной экспедиции). Для экспедиторского обслуживания участников торгов и клиринга АО НТБ создана отдельная организация – ООО "Национальная логистическая компания".</w:t>
      </w:r>
    </w:p>
    <w:p w14:paraId="1A1443D3" w14:textId="77777777" w:rsidR="002C4839" w:rsidRPr="002C4839" w:rsidRDefault="002C4839" w:rsidP="002C4839">
      <w:pPr>
        <w:spacing w:after="160" w:line="259" w:lineRule="auto"/>
      </w:pPr>
    </w:p>
    <w:p w14:paraId="10C93E80" w14:textId="77777777" w:rsidR="00AC0F68" w:rsidRDefault="00AC0F68" w:rsidP="00EF390D">
      <w:pPr>
        <w:widowControl w:val="0"/>
        <w:tabs>
          <w:tab w:val="left" w:pos="8820"/>
        </w:tabs>
        <w:overflowPunct w:val="0"/>
        <w:autoSpaceDE w:val="0"/>
        <w:autoSpaceDN w:val="0"/>
        <w:adjustRightInd w:val="0"/>
        <w:spacing w:after="0" w:line="360" w:lineRule="auto"/>
        <w:ind w:right="76"/>
        <w:jc w:val="center"/>
        <w:textAlignment w:val="baseline"/>
        <w:rPr>
          <w:rFonts w:ascii="Times New Roman" w:eastAsia="Times New Roman" w:hAnsi="Times New Roman" w:cs="Times New Roman"/>
          <w:b/>
          <w:sz w:val="28"/>
          <w:szCs w:val="28"/>
          <w:lang w:eastAsia="ru-RU"/>
        </w:rPr>
      </w:pPr>
    </w:p>
    <w:p w14:paraId="167AAD07" w14:textId="77777777" w:rsidR="00EF390D" w:rsidRPr="0002361F" w:rsidRDefault="00EF390D" w:rsidP="00EF390D">
      <w:pPr>
        <w:widowControl w:val="0"/>
        <w:tabs>
          <w:tab w:val="left" w:pos="8820"/>
        </w:tabs>
        <w:overflowPunct w:val="0"/>
        <w:autoSpaceDE w:val="0"/>
        <w:autoSpaceDN w:val="0"/>
        <w:adjustRightInd w:val="0"/>
        <w:spacing w:after="0" w:line="36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6. Собственные операции на финансовых рынках</w:t>
      </w:r>
    </w:p>
    <w:p w14:paraId="7B4CA1EF" w14:textId="77777777" w:rsidR="00EF390D" w:rsidRDefault="00EF390D" w:rsidP="00EF390D">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45ED3719"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В 2016 году НКЦ осуществлял собственные операции на финансовых рынках с учетом следующих основных</w:t>
      </w:r>
      <w:r w:rsidRPr="00EA2597">
        <w:rPr>
          <w:rFonts w:ascii="Times New Roman" w:hAnsi="Times New Roman" w:cs="Times New Roman"/>
          <w:bCs/>
          <w:sz w:val="24"/>
          <w:szCs w:val="24"/>
        </w:rPr>
        <w:t xml:space="preserve"> факторов, оказывавших влияние на деятельность Банка на данном направлении: </w:t>
      </w:r>
    </w:p>
    <w:p w14:paraId="38679BDD" w14:textId="77777777" w:rsidR="00EF390D" w:rsidRPr="000B4715" w:rsidRDefault="00EF390D" w:rsidP="00441380">
      <w:pPr>
        <w:pStyle w:val="a3"/>
        <w:numPr>
          <w:ilvl w:val="0"/>
          <w:numId w:val="40"/>
        </w:numPr>
        <w:spacing w:line="240" w:lineRule="auto"/>
        <w:jc w:val="both"/>
        <w:rPr>
          <w:rFonts w:ascii="Times New Roman" w:hAnsi="Times New Roman"/>
          <w:sz w:val="24"/>
          <w:szCs w:val="24"/>
        </w:rPr>
      </w:pPr>
      <w:r w:rsidRPr="000B4715">
        <w:rPr>
          <w:rFonts w:ascii="Times New Roman" w:hAnsi="Times New Roman"/>
          <w:sz w:val="24"/>
          <w:szCs w:val="24"/>
        </w:rPr>
        <w:t>снижение объема обеспечения участников клиринга в денежном виде;</w:t>
      </w:r>
    </w:p>
    <w:p w14:paraId="79D348B2" w14:textId="77777777" w:rsidR="00EF390D" w:rsidRPr="000B4715" w:rsidRDefault="00EF390D" w:rsidP="00441380">
      <w:pPr>
        <w:pStyle w:val="a3"/>
        <w:numPr>
          <w:ilvl w:val="0"/>
          <w:numId w:val="40"/>
        </w:numPr>
        <w:spacing w:line="240" w:lineRule="auto"/>
        <w:jc w:val="both"/>
        <w:rPr>
          <w:rFonts w:ascii="Times New Roman" w:hAnsi="Times New Roman"/>
          <w:sz w:val="24"/>
          <w:szCs w:val="24"/>
        </w:rPr>
      </w:pPr>
      <w:r w:rsidRPr="000B4715">
        <w:rPr>
          <w:rFonts w:ascii="Times New Roman" w:hAnsi="Times New Roman"/>
          <w:sz w:val="24"/>
          <w:szCs w:val="24"/>
        </w:rPr>
        <w:t>усиление ожиданий финансовым рынком снижения ключевой ставки по рублям Банком России;</w:t>
      </w:r>
    </w:p>
    <w:p w14:paraId="3998C595" w14:textId="77777777" w:rsidR="00EF390D" w:rsidRPr="000B4715" w:rsidRDefault="00EF390D" w:rsidP="00441380">
      <w:pPr>
        <w:pStyle w:val="a3"/>
        <w:numPr>
          <w:ilvl w:val="0"/>
          <w:numId w:val="40"/>
        </w:numPr>
        <w:spacing w:line="240" w:lineRule="auto"/>
        <w:jc w:val="both"/>
        <w:rPr>
          <w:rFonts w:ascii="Times New Roman" w:hAnsi="Times New Roman"/>
          <w:sz w:val="24"/>
          <w:szCs w:val="24"/>
        </w:rPr>
      </w:pPr>
      <w:r w:rsidRPr="000B4715">
        <w:rPr>
          <w:rFonts w:ascii="Times New Roman" w:hAnsi="Times New Roman"/>
          <w:sz w:val="24"/>
          <w:szCs w:val="24"/>
        </w:rPr>
        <w:t>продолжающаяся тенденция сокращения числа участников клиринга в связи с отзывом Банком России лицензий у кредитных организаций.</w:t>
      </w:r>
    </w:p>
    <w:p w14:paraId="34E0B4C7"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В отчетном году продолжалось снижение обеспечения участников клиринга в рублях и более значительно в долларах США (см. Таблицу 1), что обусловлено как внешними факторами (санкции, и, как следствие, снижение ликвидности российских банков в долларах США), так и внутренними (снижение доли обеспечения в долларах С</w:t>
      </w:r>
      <w:r w:rsidRPr="00EA2597">
        <w:rPr>
          <w:rFonts w:ascii="Times New Roman" w:hAnsi="Times New Roman" w:cs="Times New Roman"/>
          <w:bCs/>
          <w:sz w:val="24"/>
          <w:szCs w:val="24"/>
        </w:rPr>
        <w:t>ША и российских рублях в пользу евро, драгоценных металлов и ценных бумаг). При этом, снижение обеспечения в рублях в пассивах НКЦ было компенсировано ростом собственных средств с 47678 млн рублей в 2015 году в среднегодовом выражении до 56387 млн в 2016 году (+8709 млн или 18%).</w:t>
      </w:r>
    </w:p>
    <w:p w14:paraId="2B84135B" w14:textId="77777777" w:rsidR="00EF390D" w:rsidRDefault="00EF390D" w:rsidP="00EF390D">
      <w:pPr>
        <w:ind w:firstLine="360"/>
        <w:jc w:val="right"/>
        <w:rPr>
          <w:sz w:val="24"/>
          <w:szCs w:val="24"/>
        </w:rPr>
      </w:pPr>
      <w:r w:rsidRPr="00C41C7C">
        <w:rPr>
          <w:rFonts w:ascii="Times New Roman" w:hAnsi="Times New Roman" w:cs="Times New Roman"/>
          <w:sz w:val="24"/>
          <w:szCs w:val="24"/>
        </w:rPr>
        <w:lastRenderedPageBreak/>
        <w:t>Таблица 1</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1532"/>
        <w:gridCol w:w="1418"/>
        <w:gridCol w:w="1546"/>
      </w:tblGrid>
      <w:tr w:rsidR="00EF390D" w:rsidRPr="002E2B02" w14:paraId="64C11975" w14:textId="77777777" w:rsidTr="00290B38">
        <w:trPr>
          <w:jc w:val="center"/>
        </w:trPr>
        <w:tc>
          <w:tcPr>
            <w:tcW w:w="4552" w:type="dxa"/>
            <w:shd w:val="clear" w:color="auto" w:fill="auto"/>
          </w:tcPr>
          <w:p w14:paraId="04E75477"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rPr>
              <w:t>Обеспечение участников клиринга, среднегодовое значение</w:t>
            </w:r>
          </w:p>
        </w:tc>
        <w:tc>
          <w:tcPr>
            <w:tcW w:w="1532" w:type="dxa"/>
            <w:shd w:val="clear" w:color="auto" w:fill="auto"/>
          </w:tcPr>
          <w:p w14:paraId="39A01ADE"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RUB</w:t>
            </w:r>
            <w:r w:rsidRPr="0002361F">
              <w:rPr>
                <w:rFonts w:ascii="Times New Roman" w:hAnsi="Times New Roman" w:cs="Times New Roman"/>
                <w:b/>
                <w:sz w:val="24"/>
                <w:szCs w:val="24"/>
              </w:rPr>
              <w:t>, млн</w:t>
            </w:r>
          </w:p>
        </w:tc>
        <w:tc>
          <w:tcPr>
            <w:tcW w:w="1418" w:type="dxa"/>
            <w:shd w:val="clear" w:color="auto" w:fill="auto"/>
          </w:tcPr>
          <w:p w14:paraId="4E3394FC"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USD</w:t>
            </w:r>
            <w:r w:rsidRPr="0002361F">
              <w:rPr>
                <w:rFonts w:ascii="Times New Roman" w:hAnsi="Times New Roman" w:cs="Times New Roman"/>
                <w:b/>
                <w:sz w:val="24"/>
                <w:szCs w:val="24"/>
              </w:rPr>
              <w:t>, млн</w:t>
            </w:r>
          </w:p>
        </w:tc>
        <w:tc>
          <w:tcPr>
            <w:tcW w:w="1546" w:type="dxa"/>
            <w:shd w:val="clear" w:color="auto" w:fill="auto"/>
          </w:tcPr>
          <w:p w14:paraId="2BE75553"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EUR</w:t>
            </w:r>
            <w:r w:rsidRPr="0002361F">
              <w:rPr>
                <w:rFonts w:ascii="Times New Roman" w:hAnsi="Times New Roman" w:cs="Times New Roman"/>
                <w:b/>
                <w:sz w:val="24"/>
                <w:szCs w:val="24"/>
              </w:rPr>
              <w:t>, млн</w:t>
            </w:r>
          </w:p>
        </w:tc>
      </w:tr>
      <w:tr w:rsidR="00EF390D" w:rsidRPr="002E2B02" w14:paraId="08EE220D" w14:textId="77777777" w:rsidTr="00290B38">
        <w:trPr>
          <w:jc w:val="center"/>
        </w:trPr>
        <w:tc>
          <w:tcPr>
            <w:tcW w:w="4552" w:type="dxa"/>
            <w:shd w:val="clear" w:color="auto" w:fill="auto"/>
          </w:tcPr>
          <w:p w14:paraId="5EFA8235"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2015</w:t>
            </w:r>
          </w:p>
        </w:tc>
        <w:tc>
          <w:tcPr>
            <w:tcW w:w="1532" w:type="dxa"/>
            <w:shd w:val="clear" w:color="auto" w:fill="auto"/>
          </w:tcPr>
          <w:p w14:paraId="4B6209E3"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80 689</w:t>
            </w:r>
          </w:p>
        </w:tc>
        <w:tc>
          <w:tcPr>
            <w:tcW w:w="1418" w:type="dxa"/>
            <w:shd w:val="clear" w:color="auto" w:fill="auto"/>
          </w:tcPr>
          <w:p w14:paraId="0B22331E"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6 090</w:t>
            </w:r>
          </w:p>
        </w:tc>
        <w:tc>
          <w:tcPr>
            <w:tcW w:w="1546" w:type="dxa"/>
            <w:shd w:val="clear" w:color="auto" w:fill="auto"/>
          </w:tcPr>
          <w:p w14:paraId="3A0FBDB9"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4 891</w:t>
            </w:r>
          </w:p>
        </w:tc>
      </w:tr>
      <w:tr w:rsidR="00EF390D" w:rsidRPr="002E2B02" w14:paraId="4F8DAB94" w14:textId="77777777" w:rsidTr="00290B38">
        <w:trPr>
          <w:jc w:val="center"/>
        </w:trPr>
        <w:tc>
          <w:tcPr>
            <w:tcW w:w="4552" w:type="dxa"/>
            <w:shd w:val="clear" w:color="auto" w:fill="auto"/>
          </w:tcPr>
          <w:p w14:paraId="329CF6E9"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2016</w:t>
            </w:r>
          </w:p>
        </w:tc>
        <w:tc>
          <w:tcPr>
            <w:tcW w:w="1532" w:type="dxa"/>
            <w:shd w:val="clear" w:color="auto" w:fill="auto"/>
          </w:tcPr>
          <w:p w14:paraId="4AB9063C"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74 258</w:t>
            </w:r>
          </w:p>
        </w:tc>
        <w:tc>
          <w:tcPr>
            <w:tcW w:w="1418" w:type="dxa"/>
            <w:shd w:val="clear" w:color="auto" w:fill="auto"/>
          </w:tcPr>
          <w:p w14:paraId="3731117A"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4 139</w:t>
            </w:r>
          </w:p>
        </w:tc>
        <w:tc>
          <w:tcPr>
            <w:tcW w:w="1546" w:type="dxa"/>
            <w:shd w:val="clear" w:color="auto" w:fill="auto"/>
          </w:tcPr>
          <w:p w14:paraId="70783B73"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5 128</w:t>
            </w:r>
          </w:p>
        </w:tc>
      </w:tr>
      <w:tr w:rsidR="00EF390D" w:rsidRPr="002E2B02" w14:paraId="488081FF" w14:textId="77777777" w:rsidTr="00290B38">
        <w:trPr>
          <w:jc w:val="center"/>
        </w:trPr>
        <w:tc>
          <w:tcPr>
            <w:tcW w:w="4552" w:type="dxa"/>
            <w:shd w:val="clear" w:color="auto" w:fill="auto"/>
          </w:tcPr>
          <w:p w14:paraId="08FC2FE6"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млн</w:t>
            </w:r>
          </w:p>
        </w:tc>
        <w:tc>
          <w:tcPr>
            <w:tcW w:w="1532" w:type="dxa"/>
            <w:shd w:val="clear" w:color="auto" w:fill="auto"/>
          </w:tcPr>
          <w:p w14:paraId="4DC649F2"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- 6 431</w:t>
            </w:r>
          </w:p>
        </w:tc>
        <w:tc>
          <w:tcPr>
            <w:tcW w:w="1418" w:type="dxa"/>
            <w:shd w:val="clear" w:color="auto" w:fill="auto"/>
          </w:tcPr>
          <w:p w14:paraId="4B0F9604"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-1 951</w:t>
            </w:r>
          </w:p>
        </w:tc>
        <w:tc>
          <w:tcPr>
            <w:tcW w:w="1546" w:type="dxa"/>
            <w:shd w:val="clear" w:color="auto" w:fill="auto"/>
          </w:tcPr>
          <w:p w14:paraId="2FFAEDC6"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+237</w:t>
            </w:r>
          </w:p>
        </w:tc>
      </w:tr>
      <w:tr w:rsidR="00EF390D" w:rsidRPr="002E2B02" w14:paraId="4689414F" w14:textId="77777777" w:rsidTr="00290B38">
        <w:trPr>
          <w:jc w:val="center"/>
        </w:trPr>
        <w:tc>
          <w:tcPr>
            <w:tcW w:w="4552" w:type="dxa"/>
            <w:shd w:val="clear" w:color="auto" w:fill="auto"/>
          </w:tcPr>
          <w:p w14:paraId="0507EEE7"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w:t>
            </w:r>
          </w:p>
        </w:tc>
        <w:tc>
          <w:tcPr>
            <w:tcW w:w="1532" w:type="dxa"/>
            <w:shd w:val="clear" w:color="auto" w:fill="auto"/>
          </w:tcPr>
          <w:p w14:paraId="1C64D08A"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-8%</w:t>
            </w:r>
          </w:p>
        </w:tc>
        <w:tc>
          <w:tcPr>
            <w:tcW w:w="1418" w:type="dxa"/>
            <w:shd w:val="clear" w:color="auto" w:fill="auto"/>
          </w:tcPr>
          <w:p w14:paraId="62A0EF95"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-32%</w:t>
            </w:r>
          </w:p>
        </w:tc>
        <w:tc>
          <w:tcPr>
            <w:tcW w:w="1546" w:type="dxa"/>
            <w:shd w:val="clear" w:color="auto" w:fill="auto"/>
          </w:tcPr>
          <w:p w14:paraId="531422D6"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+5%</w:t>
            </w:r>
          </w:p>
        </w:tc>
      </w:tr>
    </w:tbl>
    <w:p w14:paraId="1A9B5E2D" w14:textId="77777777" w:rsidR="00EF390D" w:rsidRPr="0002361F" w:rsidRDefault="00EF390D" w:rsidP="00EF390D">
      <w:pPr>
        <w:ind w:firstLine="360"/>
        <w:jc w:val="both"/>
        <w:rPr>
          <w:rFonts w:ascii="Times New Roman" w:hAnsi="Times New Roman" w:cs="Times New Roman"/>
          <w:sz w:val="24"/>
          <w:szCs w:val="24"/>
        </w:rPr>
      </w:pPr>
    </w:p>
    <w:p w14:paraId="55789C18"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 xml:space="preserve">Таким образом, в 2016 </w:t>
      </w:r>
      <w:r w:rsidRPr="00EA2597">
        <w:rPr>
          <w:rFonts w:ascii="Times New Roman" w:hAnsi="Times New Roman" w:cs="Times New Roman"/>
          <w:bCs/>
          <w:sz w:val="24"/>
          <w:szCs w:val="24"/>
        </w:rPr>
        <w:t>году формировались факторы, ведущие к ожиданиям снижения доходов Банка от операций на финансовых рынках. В этих условиях основные усилия при проведении операций на финансовых рынках были сосредоточены на изменении структуры активов с целью снижения влияния рыночных тенденций на динамику процентного дохода.</w:t>
      </w:r>
    </w:p>
    <w:p w14:paraId="0F0923F5"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В условиях накапливающихся ожиданий снижения ключевой ставки по рублям, определяющей стратегией было формирование долгосрочных активов по действующим ставкам с целью обеспечения высокого уровня процентны</w:t>
      </w:r>
      <w:r w:rsidRPr="00EA2597">
        <w:rPr>
          <w:rFonts w:ascii="Times New Roman" w:hAnsi="Times New Roman" w:cs="Times New Roman"/>
          <w:bCs/>
          <w:sz w:val="24"/>
          <w:szCs w:val="24"/>
        </w:rPr>
        <w:t>х доходов как в текущем году, так и в перспективе. Поэтому основные усилия были направлены на увеличение доли ценных бумаг в общем объеме активов, приносящих процентный доход. Так, доля ценных бумаг в рублевых активах увеличилась с 62 до 74% в среднегодовом выражении по сравнению с 2015 годом. При этом доля краткосрочных доходных рублевых активов сократилась с 26 до 18% в среднегодовом выражении. Такое перераспределение было возможным, поскольку одновременно со снижением объема обеспечения участников клиринга в рублях снижалась и волатильность рублевых пассивов.</w:t>
      </w:r>
    </w:p>
    <w:p w14:paraId="6CB51C4F"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Существенные изменения претерпели и валютные активы. Снижение пассивов в долларах США предполагало, соответственно, и снижение процентного дохода по валютным активам, особенно на фоне низких ставок. Такое положение послужило причиной реализации стратегии, направленной на уменьшение доли денежных средств на корреспондентских счетах в пользу более доходных финансовых инструментов. В результате был существенно увеличен портфель еврооблигаций (см. Таблицу 2).</w:t>
      </w:r>
    </w:p>
    <w:p w14:paraId="7B0BE647" w14:textId="77777777" w:rsidR="00EF390D" w:rsidRPr="0002361F" w:rsidRDefault="00EF390D" w:rsidP="00EF390D">
      <w:pPr>
        <w:ind w:firstLine="360"/>
        <w:jc w:val="right"/>
        <w:rPr>
          <w:rFonts w:ascii="Times New Roman" w:hAnsi="Times New Roman" w:cs="Times New Roman"/>
          <w:sz w:val="24"/>
          <w:szCs w:val="24"/>
        </w:rPr>
      </w:pPr>
      <w:r w:rsidRPr="0002361F">
        <w:rPr>
          <w:rFonts w:ascii="Times New Roman" w:hAnsi="Times New Roman" w:cs="Times New Roman"/>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268"/>
        <w:gridCol w:w="2453"/>
      </w:tblGrid>
      <w:tr w:rsidR="00EF390D" w:rsidRPr="002906F3" w14:paraId="703EF96C" w14:textId="77777777" w:rsidTr="00290B38">
        <w:trPr>
          <w:jc w:val="center"/>
        </w:trPr>
        <w:tc>
          <w:tcPr>
            <w:tcW w:w="4156" w:type="dxa"/>
            <w:shd w:val="clear" w:color="auto" w:fill="auto"/>
          </w:tcPr>
          <w:p w14:paraId="128E1B12"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rPr>
              <w:t>Объем портфеля еврооблигаций (среднегодовое значение)</w:t>
            </w:r>
          </w:p>
        </w:tc>
        <w:tc>
          <w:tcPr>
            <w:tcW w:w="2268" w:type="dxa"/>
            <w:shd w:val="clear" w:color="auto" w:fill="auto"/>
          </w:tcPr>
          <w:p w14:paraId="70B13CF4"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USD</w:t>
            </w:r>
            <w:r w:rsidRPr="0002361F">
              <w:rPr>
                <w:rFonts w:ascii="Times New Roman" w:hAnsi="Times New Roman" w:cs="Times New Roman"/>
                <w:b/>
                <w:sz w:val="24"/>
                <w:szCs w:val="24"/>
              </w:rPr>
              <w:t xml:space="preserve"> в рублевом эквиваленте, млн</w:t>
            </w:r>
          </w:p>
        </w:tc>
        <w:tc>
          <w:tcPr>
            <w:tcW w:w="2453" w:type="dxa"/>
            <w:shd w:val="clear" w:color="auto" w:fill="auto"/>
          </w:tcPr>
          <w:p w14:paraId="5A7C5E6A"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EUR</w:t>
            </w:r>
            <w:r w:rsidRPr="0002361F">
              <w:rPr>
                <w:rFonts w:ascii="Times New Roman" w:hAnsi="Times New Roman" w:cs="Times New Roman"/>
                <w:b/>
                <w:sz w:val="24"/>
                <w:szCs w:val="24"/>
              </w:rPr>
              <w:t xml:space="preserve"> в рублевом эквиваленте, млн</w:t>
            </w:r>
          </w:p>
        </w:tc>
      </w:tr>
      <w:tr w:rsidR="00EF390D" w:rsidRPr="002906F3" w14:paraId="366CD9CA" w14:textId="77777777" w:rsidTr="00290B38">
        <w:trPr>
          <w:jc w:val="center"/>
        </w:trPr>
        <w:tc>
          <w:tcPr>
            <w:tcW w:w="4156" w:type="dxa"/>
            <w:shd w:val="clear" w:color="auto" w:fill="auto"/>
          </w:tcPr>
          <w:p w14:paraId="3AF39A2C"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2015</w:t>
            </w:r>
          </w:p>
        </w:tc>
        <w:tc>
          <w:tcPr>
            <w:tcW w:w="2268" w:type="dxa"/>
            <w:shd w:val="clear" w:color="auto" w:fill="auto"/>
          </w:tcPr>
          <w:p w14:paraId="2E6E603A"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19 056</w:t>
            </w:r>
          </w:p>
        </w:tc>
        <w:tc>
          <w:tcPr>
            <w:tcW w:w="2453" w:type="dxa"/>
            <w:shd w:val="clear" w:color="auto" w:fill="auto"/>
          </w:tcPr>
          <w:p w14:paraId="5B6E6D88"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896</w:t>
            </w:r>
          </w:p>
        </w:tc>
      </w:tr>
      <w:tr w:rsidR="00EF390D" w:rsidRPr="002906F3" w14:paraId="52713070" w14:textId="77777777" w:rsidTr="00290B38">
        <w:trPr>
          <w:jc w:val="center"/>
        </w:trPr>
        <w:tc>
          <w:tcPr>
            <w:tcW w:w="4156" w:type="dxa"/>
            <w:shd w:val="clear" w:color="auto" w:fill="auto"/>
          </w:tcPr>
          <w:p w14:paraId="08EBFCFE"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2016</w:t>
            </w:r>
          </w:p>
        </w:tc>
        <w:tc>
          <w:tcPr>
            <w:tcW w:w="2268" w:type="dxa"/>
            <w:shd w:val="clear" w:color="auto" w:fill="auto"/>
          </w:tcPr>
          <w:p w14:paraId="6055513F"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71 765</w:t>
            </w:r>
          </w:p>
        </w:tc>
        <w:tc>
          <w:tcPr>
            <w:tcW w:w="2453" w:type="dxa"/>
            <w:shd w:val="clear" w:color="auto" w:fill="auto"/>
          </w:tcPr>
          <w:p w14:paraId="441AC7D6"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10 318</w:t>
            </w:r>
          </w:p>
        </w:tc>
      </w:tr>
      <w:tr w:rsidR="00EF390D" w:rsidRPr="002906F3" w14:paraId="7152D53B" w14:textId="77777777" w:rsidTr="00290B38">
        <w:trPr>
          <w:jc w:val="center"/>
        </w:trPr>
        <w:tc>
          <w:tcPr>
            <w:tcW w:w="4156" w:type="dxa"/>
            <w:shd w:val="clear" w:color="auto" w:fill="auto"/>
          </w:tcPr>
          <w:p w14:paraId="5B5C0E67"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млн рублей</w:t>
            </w:r>
          </w:p>
        </w:tc>
        <w:tc>
          <w:tcPr>
            <w:tcW w:w="2268" w:type="dxa"/>
            <w:shd w:val="clear" w:color="auto" w:fill="auto"/>
          </w:tcPr>
          <w:p w14:paraId="75A17DD3"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+ 52 709</w:t>
            </w:r>
          </w:p>
        </w:tc>
        <w:tc>
          <w:tcPr>
            <w:tcW w:w="2453" w:type="dxa"/>
            <w:shd w:val="clear" w:color="auto" w:fill="auto"/>
          </w:tcPr>
          <w:p w14:paraId="4F6503E2"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+ 9 422</w:t>
            </w:r>
          </w:p>
        </w:tc>
      </w:tr>
      <w:tr w:rsidR="00EF390D" w:rsidRPr="002906F3" w14:paraId="6E25B73A" w14:textId="77777777" w:rsidTr="00290B38">
        <w:trPr>
          <w:jc w:val="center"/>
        </w:trPr>
        <w:tc>
          <w:tcPr>
            <w:tcW w:w="4156" w:type="dxa"/>
            <w:shd w:val="clear" w:color="auto" w:fill="auto"/>
          </w:tcPr>
          <w:p w14:paraId="11CB3A5D"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w:t>
            </w:r>
          </w:p>
        </w:tc>
        <w:tc>
          <w:tcPr>
            <w:tcW w:w="2268" w:type="dxa"/>
            <w:shd w:val="clear" w:color="auto" w:fill="auto"/>
          </w:tcPr>
          <w:p w14:paraId="3C8AB410"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+ 277%</w:t>
            </w:r>
          </w:p>
        </w:tc>
        <w:tc>
          <w:tcPr>
            <w:tcW w:w="2453" w:type="dxa"/>
            <w:shd w:val="clear" w:color="auto" w:fill="auto"/>
          </w:tcPr>
          <w:p w14:paraId="302A9F15"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+ 1 052%</w:t>
            </w:r>
          </w:p>
        </w:tc>
      </w:tr>
    </w:tbl>
    <w:p w14:paraId="37F31AAA" w14:textId="77777777" w:rsidR="00EF390D" w:rsidRPr="0002361F" w:rsidRDefault="00EF390D" w:rsidP="00EF390D">
      <w:pPr>
        <w:ind w:firstLine="360"/>
        <w:jc w:val="both"/>
        <w:rPr>
          <w:rFonts w:ascii="Times New Roman" w:hAnsi="Times New Roman" w:cs="Times New Roman"/>
          <w:sz w:val="24"/>
          <w:szCs w:val="24"/>
        </w:rPr>
      </w:pPr>
    </w:p>
    <w:p w14:paraId="0452C97F"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lastRenderedPageBreak/>
        <w:t>Помимо еврооблигаций, с целью дополнительной диверсификации валютных активов, как по эмитентам, так и по срокам, НКЦ в 2016 году начал операции с казначейскими облигациями США.</w:t>
      </w:r>
      <w:r w:rsidRPr="00EA2597">
        <w:rPr>
          <w:rFonts w:ascii="Times New Roman" w:hAnsi="Times New Roman" w:cs="Times New Roman"/>
          <w:bCs/>
          <w:sz w:val="24"/>
          <w:szCs w:val="24"/>
        </w:rPr>
        <w:t xml:space="preserve">   С целью повышения доходности валютных активов в 2016 году НКЦ также более активно проводил операции обратного РЕПО (см. Таблицу 3). </w:t>
      </w:r>
    </w:p>
    <w:p w14:paraId="15804742" w14:textId="77777777" w:rsidR="0073322E" w:rsidRDefault="0073322E" w:rsidP="00EF390D">
      <w:pPr>
        <w:ind w:firstLine="360"/>
        <w:jc w:val="right"/>
        <w:rPr>
          <w:rFonts w:ascii="Times New Roman" w:hAnsi="Times New Roman" w:cs="Times New Roman"/>
          <w:sz w:val="24"/>
          <w:szCs w:val="24"/>
        </w:rPr>
      </w:pPr>
    </w:p>
    <w:p w14:paraId="753A7E9F" w14:textId="77777777" w:rsidR="0073322E" w:rsidRDefault="0073322E" w:rsidP="00EF390D">
      <w:pPr>
        <w:ind w:firstLine="360"/>
        <w:jc w:val="right"/>
        <w:rPr>
          <w:rFonts w:ascii="Times New Roman" w:hAnsi="Times New Roman" w:cs="Times New Roman"/>
          <w:sz w:val="24"/>
          <w:szCs w:val="24"/>
        </w:rPr>
      </w:pPr>
    </w:p>
    <w:p w14:paraId="7708C987" w14:textId="77777777" w:rsidR="00EF390D" w:rsidRPr="0002361F" w:rsidRDefault="00EF390D" w:rsidP="00EF390D">
      <w:pPr>
        <w:ind w:firstLine="360"/>
        <w:jc w:val="right"/>
        <w:rPr>
          <w:rFonts w:ascii="Times New Roman" w:hAnsi="Times New Roman" w:cs="Times New Roman"/>
          <w:sz w:val="24"/>
          <w:szCs w:val="24"/>
        </w:rPr>
      </w:pPr>
      <w:r w:rsidRPr="0002361F">
        <w:rPr>
          <w:rFonts w:ascii="Times New Roman" w:hAnsi="Times New Roman" w:cs="Times New Roman"/>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268"/>
        <w:gridCol w:w="2453"/>
      </w:tblGrid>
      <w:tr w:rsidR="00EF390D" w:rsidRPr="002906F3" w14:paraId="712340AC" w14:textId="77777777" w:rsidTr="00290B38">
        <w:trPr>
          <w:jc w:val="center"/>
        </w:trPr>
        <w:tc>
          <w:tcPr>
            <w:tcW w:w="4156" w:type="dxa"/>
            <w:shd w:val="clear" w:color="auto" w:fill="auto"/>
          </w:tcPr>
          <w:p w14:paraId="27282952"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rPr>
              <w:t>Объем портфеля обратного РЕПО (среднегодовое значение)</w:t>
            </w:r>
          </w:p>
        </w:tc>
        <w:tc>
          <w:tcPr>
            <w:tcW w:w="2268" w:type="dxa"/>
            <w:shd w:val="clear" w:color="auto" w:fill="auto"/>
          </w:tcPr>
          <w:p w14:paraId="4AC5EA35"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USD</w:t>
            </w:r>
            <w:r w:rsidRPr="0002361F">
              <w:rPr>
                <w:rFonts w:ascii="Times New Roman" w:hAnsi="Times New Roman" w:cs="Times New Roman"/>
                <w:b/>
                <w:sz w:val="24"/>
                <w:szCs w:val="24"/>
              </w:rPr>
              <w:t xml:space="preserve"> в рублевом эквиваленте, млн</w:t>
            </w:r>
          </w:p>
        </w:tc>
        <w:tc>
          <w:tcPr>
            <w:tcW w:w="2453" w:type="dxa"/>
            <w:shd w:val="clear" w:color="auto" w:fill="auto"/>
          </w:tcPr>
          <w:p w14:paraId="25B6CEAB" w14:textId="77777777" w:rsidR="00EF390D" w:rsidRPr="0002361F" w:rsidRDefault="00EF390D" w:rsidP="00290B38">
            <w:pPr>
              <w:jc w:val="center"/>
              <w:rPr>
                <w:rFonts w:ascii="Times New Roman" w:hAnsi="Times New Roman" w:cs="Times New Roman"/>
                <w:b/>
                <w:sz w:val="24"/>
                <w:szCs w:val="24"/>
              </w:rPr>
            </w:pPr>
            <w:r w:rsidRPr="0002361F">
              <w:rPr>
                <w:rFonts w:ascii="Times New Roman" w:hAnsi="Times New Roman" w:cs="Times New Roman"/>
                <w:b/>
                <w:sz w:val="24"/>
                <w:szCs w:val="24"/>
                <w:lang w:val="en-US"/>
              </w:rPr>
              <w:t>EUR</w:t>
            </w:r>
            <w:r w:rsidRPr="0002361F">
              <w:rPr>
                <w:rFonts w:ascii="Times New Roman" w:hAnsi="Times New Roman" w:cs="Times New Roman"/>
                <w:b/>
                <w:sz w:val="24"/>
                <w:szCs w:val="24"/>
              </w:rPr>
              <w:t xml:space="preserve"> в рублевом эквиваленте, млн</w:t>
            </w:r>
          </w:p>
        </w:tc>
      </w:tr>
      <w:tr w:rsidR="00EF390D" w:rsidRPr="002906F3" w14:paraId="5178A4E9" w14:textId="77777777" w:rsidTr="00290B38">
        <w:trPr>
          <w:jc w:val="center"/>
        </w:trPr>
        <w:tc>
          <w:tcPr>
            <w:tcW w:w="4156" w:type="dxa"/>
            <w:shd w:val="clear" w:color="auto" w:fill="auto"/>
          </w:tcPr>
          <w:p w14:paraId="7074FC6B"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2015</w:t>
            </w:r>
          </w:p>
        </w:tc>
        <w:tc>
          <w:tcPr>
            <w:tcW w:w="2268" w:type="dxa"/>
            <w:shd w:val="clear" w:color="auto" w:fill="auto"/>
          </w:tcPr>
          <w:p w14:paraId="5304917A"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14 895</w:t>
            </w:r>
          </w:p>
        </w:tc>
        <w:tc>
          <w:tcPr>
            <w:tcW w:w="2453" w:type="dxa"/>
            <w:shd w:val="clear" w:color="auto" w:fill="auto"/>
          </w:tcPr>
          <w:p w14:paraId="714DD1DB"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10 940</w:t>
            </w:r>
          </w:p>
        </w:tc>
      </w:tr>
      <w:tr w:rsidR="00EF390D" w:rsidRPr="002906F3" w14:paraId="525EE313" w14:textId="77777777" w:rsidTr="00290B38">
        <w:trPr>
          <w:jc w:val="center"/>
        </w:trPr>
        <w:tc>
          <w:tcPr>
            <w:tcW w:w="4156" w:type="dxa"/>
            <w:shd w:val="clear" w:color="auto" w:fill="auto"/>
          </w:tcPr>
          <w:p w14:paraId="1C5B5D48"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2016</w:t>
            </w:r>
          </w:p>
        </w:tc>
        <w:tc>
          <w:tcPr>
            <w:tcW w:w="2268" w:type="dxa"/>
            <w:shd w:val="clear" w:color="auto" w:fill="auto"/>
          </w:tcPr>
          <w:p w14:paraId="78165670"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34 424</w:t>
            </w:r>
          </w:p>
        </w:tc>
        <w:tc>
          <w:tcPr>
            <w:tcW w:w="2453" w:type="dxa"/>
            <w:shd w:val="clear" w:color="auto" w:fill="auto"/>
          </w:tcPr>
          <w:p w14:paraId="0BFF0B3D"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9 662</w:t>
            </w:r>
          </w:p>
        </w:tc>
      </w:tr>
      <w:tr w:rsidR="00EF390D" w:rsidRPr="002906F3" w14:paraId="4248C607" w14:textId="77777777" w:rsidTr="00290B38">
        <w:trPr>
          <w:jc w:val="center"/>
        </w:trPr>
        <w:tc>
          <w:tcPr>
            <w:tcW w:w="4156" w:type="dxa"/>
            <w:shd w:val="clear" w:color="auto" w:fill="auto"/>
          </w:tcPr>
          <w:p w14:paraId="1D3A276C"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млн рублей</w:t>
            </w:r>
          </w:p>
        </w:tc>
        <w:tc>
          <w:tcPr>
            <w:tcW w:w="2268" w:type="dxa"/>
            <w:shd w:val="clear" w:color="auto" w:fill="auto"/>
          </w:tcPr>
          <w:p w14:paraId="5B0713B4"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+ 19 529</w:t>
            </w:r>
          </w:p>
        </w:tc>
        <w:tc>
          <w:tcPr>
            <w:tcW w:w="2453" w:type="dxa"/>
            <w:shd w:val="clear" w:color="auto" w:fill="auto"/>
          </w:tcPr>
          <w:p w14:paraId="398BC672"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- 1 278</w:t>
            </w:r>
          </w:p>
        </w:tc>
      </w:tr>
      <w:tr w:rsidR="00EF390D" w:rsidRPr="002906F3" w14:paraId="68B42B52" w14:textId="77777777" w:rsidTr="00290B38">
        <w:trPr>
          <w:jc w:val="center"/>
        </w:trPr>
        <w:tc>
          <w:tcPr>
            <w:tcW w:w="4156" w:type="dxa"/>
            <w:shd w:val="clear" w:color="auto" w:fill="auto"/>
          </w:tcPr>
          <w:p w14:paraId="7CE1C05F"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Изменение, %</w:t>
            </w:r>
          </w:p>
        </w:tc>
        <w:tc>
          <w:tcPr>
            <w:tcW w:w="2268" w:type="dxa"/>
            <w:shd w:val="clear" w:color="auto" w:fill="auto"/>
          </w:tcPr>
          <w:p w14:paraId="7B9E07CD"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+ 131%</w:t>
            </w:r>
          </w:p>
        </w:tc>
        <w:tc>
          <w:tcPr>
            <w:tcW w:w="2453" w:type="dxa"/>
            <w:shd w:val="clear" w:color="auto" w:fill="auto"/>
          </w:tcPr>
          <w:p w14:paraId="789E3715" w14:textId="77777777" w:rsidR="00EF390D" w:rsidRPr="0002361F" w:rsidRDefault="00EF390D" w:rsidP="00290B38">
            <w:pPr>
              <w:jc w:val="center"/>
              <w:rPr>
                <w:rFonts w:ascii="Times New Roman" w:hAnsi="Times New Roman" w:cs="Times New Roman"/>
                <w:sz w:val="24"/>
                <w:szCs w:val="24"/>
              </w:rPr>
            </w:pPr>
            <w:r w:rsidRPr="0002361F">
              <w:rPr>
                <w:rFonts w:ascii="Times New Roman" w:hAnsi="Times New Roman" w:cs="Times New Roman"/>
                <w:sz w:val="24"/>
                <w:szCs w:val="24"/>
              </w:rPr>
              <w:t>- 12%</w:t>
            </w:r>
          </w:p>
        </w:tc>
      </w:tr>
    </w:tbl>
    <w:p w14:paraId="62EECB05" w14:textId="77777777" w:rsidR="00EF390D" w:rsidRPr="0002361F" w:rsidRDefault="00EF390D" w:rsidP="00EF390D">
      <w:pPr>
        <w:spacing w:line="240" w:lineRule="auto"/>
        <w:ind w:firstLine="360"/>
        <w:jc w:val="both"/>
        <w:rPr>
          <w:rFonts w:ascii="Times New Roman" w:hAnsi="Times New Roman" w:cs="Times New Roman"/>
          <w:sz w:val="24"/>
          <w:szCs w:val="24"/>
        </w:rPr>
      </w:pPr>
    </w:p>
    <w:p w14:paraId="7DEF5DAC"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НКЦ продолжает уделять значительное внимание кредитному качеству активов и, в первую очередь, портфеля ценных бумаг. В течение 2016 года высокое кредитное качество обеспечивалось</w:t>
      </w:r>
      <w:r w:rsidRPr="00EA2597">
        <w:rPr>
          <w:rFonts w:ascii="Times New Roman" w:hAnsi="Times New Roman" w:cs="Times New Roman"/>
          <w:bCs/>
          <w:sz w:val="24"/>
          <w:szCs w:val="24"/>
        </w:rPr>
        <w:t>, в том числе, за счет поддержания высокой доли облигаций Российской Федерации в портфеле НКЦ. В частности, доля государственных облигаций в рублях в портфеле НКЦ в 2016 году выросла почти на 7% в среднегодовом выражении по сравнению с 2015 годом (до 63,13 с 56,28%).</w:t>
      </w:r>
    </w:p>
    <w:p w14:paraId="62E98E09"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Операции с ценными бумагами осуществлялись с постоянным контролем за одним из показателей меры риска – дюрацией портфеля. В течение 2016 года дюрация всего портфеля НКЦ поддерживалась практически неизменной: 1,33 года на 31.12.2016г против 1,28 года на 31.12.2015г.</w:t>
      </w:r>
    </w:p>
    <w:p w14:paraId="34FAE788" w14:textId="77777777" w:rsidR="00EF390D" w:rsidRPr="0002361F" w:rsidRDefault="00EF390D" w:rsidP="00EA2597">
      <w:pPr>
        <w:spacing w:line="240" w:lineRule="auto"/>
        <w:ind w:firstLine="567"/>
        <w:jc w:val="both"/>
        <w:rPr>
          <w:rFonts w:ascii="Times New Roman" w:hAnsi="Times New Roman" w:cs="Times New Roman"/>
          <w:color w:val="000000"/>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В рамках сопровождения клиринговой деятельности НКЦ в отчетном</w:t>
      </w:r>
      <w:r w:rsidRPr="00EA2597">
        <w:rPr>
          <w:rFonts w:ascii="Times New Roman" w:hAnsi="Times New Roman" w:cs="Times New Roman"/>
          <w:bCs/>
          <w:sz w:val="24"/>
          <w:szCs w:val="24"/>
        </w:rPr>
        <w:t xml:space="preserve"> году продолжил проведение операций с драгоценными металлами. В течение года совершены операции Location</w:t>
      </w:r>
      <w:r w:rsidRPr="007801F8">
        <w:rPr>
          <w:rFonts w:ascii="Times New Roman" w:hAnsi="Times New Roman" w:cs="Times New Roman"/>
          <w:bCs/>
          <w:sz w:val="24"/>
          <w:szCs w:val="24"/>
        </w:rPr>
        <w:t xml:space="preserve"> </w:t>
      </w:r>
      <w:r w:rsidRPr="00EA2597">
        <w:rPr>
          <w:rFonts w:ascii="Times New Roman" w:hAnsi="Times New Roman" w:cs="Times New Roman"/>
          <w:bCs/>
          <w:sz w:val="24"/>
          <w:szCs w:val="24"/>
        </w:rPr>
        <w:t>SWAP</w:t>
      </w:r>
      <w:r w:rsidRPr="007801F8">
        <w:rPr>
          <w:rFonts w:ascii="Times New Roman" w:hAnsi="Times New Roman" w:cs="Times New Roman"/>
          <w:bCs/>
          <w:sz w:val="24"/>
          <w:szCs w:val="24"/>
        </w:rPr>
        <w:t xml:space="preserve"> с золотом в объеме 200 кг и операции приема/выдачи физического золота в объеме 885кг, серебра в объеме 298 кг.</w:t>
      </w:r>
      <w:r w:rsidRPr="00EA2597">
        <w:rPr>
          <w:rFonts w:ascii="Times New Roman" w:hAnsi="Times New Roman" w:cs="Times New Roman"/>
          <w:bCs/>
          <w:sz w:val="24"/>
          <w:szCs w:val="24"/>
        </w:rPr>
        <w:t xml:space="preserve"> Также с целью более эффективного использования остатков драгоценных металлов на обезличенных металлических счетах НКЦ начал проводить операции по размещению золота в депозиты. Общая сумма размещенных депозитов составила 7216 кг золота</w:t>
      </w:r>
    </w:p>
    <w:p w14:paraId="18911457"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В 2016 году продолжалось совершенствование процедур дефолт-менеджмента. На основании фактически осуществленных сделок по переносу позиций участников клиринга при технических дефолтах или закрытия позиций при отзыве лицензий были формализованы процедуры дефолт-менеджмента и взаим</w:t>
      </w:r>
      <w:r w:rsidRPr="00EA2597">
        <w:rPr>
          <w:rFonts w:ascii="Times New Roman" w:hAnsi="Times New Roman" w:cs="Times New Roman"/>
          <w:bCs/>
          <w:sz w:val="24"/>
          <w:szCs w:val="24"/>
        </w:rPr>
        <w:t xml:space="preserve">одействие между подразделениями НКЦ при их проведении. В рамках этой деятельности  разработаны Регламент взаимодействия Центра Казначейских операций с подразделениями НКЦ при осуществлении им операций в рамках процедур дефолт-менеджмента на валютном рынке и рынке драгоценных металлов, Регламент взаимодействия Центра Казначейских операций с подразделениями НКЦ при осуществлении им операций в рамках процедур дефолт-менеджмента на срочном рынке и внесены изменения в Регламент взаимодействия Центра </w:t>
      </w:r>
      <w:r w:rsidRPr="00EA2597">
        <w:rPr>
          <w:rFonts w:ascii="Times New Roman" w:hAnsi="Times New Roman" w:cs="Times New Roman"/>
          <w:bCs/>
          <w:sz w:val="24"/>
          <w:szCs w:val="24"/>
        </w:rPr>
        <w:lastRenderedPageBreak/>
        <w:t xml:space="preserve">Казначейских операций с подразделениями НКЦ при осуществлении им операций в рамках процедур дефолт-менеджмента на фондовом рынке, при выполнении функций центрального контрагента. </w:t>
      </w:r>
    </w:p>
    <w:p w14:paraId="10C60F78"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Количество и объем операций на финансовых рынках в рамках процедур дефолт-менеджмента и</w:t>
      </w:r>
      <w:r w:rsidRPr="00EA2597">
        <w:rPr>
          <w:rFonts w:ascii="Times New Roman" w:hAnsi="Times New Roman" w:cs="Times New Roman"/>
          <w:bCs/>
          <w:sz w:val="24"/>
          <w:szCs w:val="24"/>
        </w:rPr>
        <w:t>зменились незначительно по сравнению с 2015 годом (см. Таблицу 4). Продолжающееся сокращение числа участников клиринга в связи с отзывом Банком России лицензий у кредитных организаций</w:t>
      </w:r>
      <w:r w:rsidRPr="00EA2597" w:rsidDel="00720F4C">
        <w:rPr>
          <w:rFonts w:ascii="Times New Roman" w:hAnsi="Times New Roman" w:cs="Times New Roman"/>
          <w:bCs/>
          <w:sz w:val="24"/>
          <w:szCs w:val="24"/>
        </w:rPr>
        <w:t xml:space="preserve"> </w:t>
      </w:r>
      <w:r w:rsidRPr="00EA2597">
        <w:rPr>
          <w:rFonts w:ascii="Times New Roman" w:hAnsi="Times New Roman" w:cs="Times New Roman"/>
          <w:bCs/>
          <w:sz w:val="24"/>
          <w:szCs w:val="24"/>
        </w:rPr>
        <w:t xml:space="preserve">привело к увеличению числа и объема закрываемых позиций. Однако по-прежнему наибольшее количество сделок совершается в рамках переноса позиций участников, т.е. технических дефолтов. Стабильность и сравнительно небольшое количество сделок в рамках дефолт-менеджмента и их объемов от года к году (см. Рисунок 1) позволяет сделать вывод о высокой степени надежности рынков с участием центрального контрагента. </w:t>
      </w:r>
    </w:p>
    <w:p w14:paraId="194C3B79" w14:textId="77777777" w:rsidR="00DD479B" w:rsidRDefault="00EF390D" w:rsidP="00EF390D">
      <w:pPr>
        <w:ind w:firstLine="36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C92525F" w14:textId="77777777" w:rsidR="00EF390D" w:rsidRPr="00C41C7C" w:rsidRDefault="00EF390D" w:rsidP="00DD479B">
      <w:pPr>
        <w:ind w:firstLine="360"/>
        <w:jc w:val="right"/>
        <w:rPr>
          <w:rFonts w:ascii="Times New Roman" w:hAnsi="Times New Roman" w:cs="Times New Roman"/>
          <w:sz w:val="24"/>
          <w:szCs w:val="24"/>
        </w:rPr>
      </w:pPr>
      <w:r w:rsidRPr="00C41C7C">
        <w:rPr>
          <w:rFonts w:ascii="Times New Roman" w:hAnsi="Times New Roman" w:cs="Times New Roman"/>
          <w:sz w:val="24"/>
          <w:szCs w:val="24"/>
        </w:rPr>
        <w:t>Таблица 4.</w:t>
      </w:r>
    </w:p>
    <w:tbl>
      <w:tblPr>
        <w:tblW w:w="9214" w:type="dxa"/>
        <w:tblInd w:w="108" w:type="dxa"/>
        <w:tblLook w:val="04A0" w:firstRow="1" w:lastRow="0" w:firstColumn="1" w:lastColumn="0" w:noHBand="0" w:noVBand="1"/>
      </w:tblPr>
      <w:tblGrid>
        <w:gridCol w:w="3817"/>
        <w:gridCol w:w="1183"/>
        <w:gridCol w:w="1341"/>
        <w:gridCol w:w="1456"/>
        <w:gridCol w:w="1417"/>
      </w:tblGrid>
      <w:tr w:rsidR="00EF390D" w:rsidRPr="002D1C86" w14:paraId="3C7483D1" w14:textId="77777777" w:rsidTr="00290B38">
        <w:trPr>
          <w:trHeight w:val="780"/>
        </w:trPr>
        <w:tc>
          <w:tcPr>
            <w:tcW w:w="3817"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346ECFF1"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Операции</w:t>
            </w:r>
          </w:p>
        </w:tc>
        <w:tc>
          <w:tcPr>
            <w:tcW w:w="1183" w:type="dxa"/>
            <w:tcBorders>
              <w:top w:val="single" w:sz="12" w:space="0" w:color="auto"/>
              <w:left w:val="nil"/>
              <w:bottom w:val="single" w:sz="12" w:space="0" w:color="auto"/>
              <w:right w:val="single" w:sz="8" w:space="0" w:color="auto"/>
            </w:tcBorders>
            <w:shd w:val="clear" w:color="auto" w:fill="auto"/>
            <w:vAlign w:val="center"/>
            <w:hideMark/>
          </w:tcPr>
          <w:p w14:paraId="1A2C2AB1"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Кол-во операций</w:t>
            </w:r>
          </w:p>
        </w:tc>
        <w:tc>
          <w:tcPr>
            <w:tcW w:w="1341" w:type="dxa"/>
            <w:tcBorders>
              <w:top w:val="single" w:sz="12" w:space="0" w:color="auto"/>
              <w:left w:val="nil"/>
              <w:bottom w:val="single" w:sz="12" w:space="0" w:color="auto"/>
              <w:right w:val="single" w:sz="12" w:space="0" w:color="auto"/>
            </w:tcBorders>
            <w:shd w:val="clear" w:color="auto" w:fill="auto"/>
            <w:vAlign w:val="center"/>
            <w:hideMark/>
          </w:tcPr>
          <w:p w14:paraId="2B6E8F7C"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Изменение к 2015, %</w:t>
            </w:r>
          </w:p>
        </w:tc>
        <w:tc>
          <w:tcPr>
            <w:tcW w:w="1456" w:type="dxa"/>
            <w:tcBorders>
              <w:top w:val="single" w:sz="12" w:space="0" w:color="auto"/>
              <w:left w:val="nil"/>
              <w:bottom w:val="single" w:sz="12" w:space="0" w:color="auto"/>
              <w:right w:val="single" w:sz="8" w:space="0" w:color="auto"/>
            </w:tcBorders>
            <w:shd w:val="clear" w:color="auto" w:fill="auto"/>
            <w:vAlign w:val="center"/>
            <w:hideMark/>
          </w:tcPr>
          <w:p w14:paraId="4B8350F4"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Объем, млн рублей</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14:paraId="07C5705E"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Изменение к 2015, %</w:t>
            </w:r>
          </w:p>
        </w:tc>
      </w:tr>
      <w:tr w:rsidR="00EF390D" w:rsidRPr="002D1C86" w14:paraId="3EDB6CA1" w14:textId="77777777" w:rsidTr="00290B38">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CCFFFF"/>
            <w:vAlign w:val="center"/>
            <w:hideMark/>
          </w:tcPr>
          <w:p w14:paraId="5CF1AF35" w14:textId="77777777" w:rsidR="00EF390D" w:rsidRPr="00C41C7C" w:rsidRDefault="00EF390D" w:rsidP="00290B38">
            <w:pPr>
              <w:jc w:val="center"/>
              <w:rPr>
                <w:rFonts w:ascii="Times New Roman" w:hAnsi="Times New Roman" w:cs="Times New Roman"/>
                <w:color w:val="000000"/>
                <w:sz w:val="24"/>
                <w:szCs w:val="24"/>
              </w:rPr>
            </w:pPr>
            <w:r w:rsidRPr="00C41C7C">
              <w:rPr>
                <w:rFonts w:ascii="Times New Roman" w:hAnsi="Times New Roman" w:cs="Times New Roman"/>
                <w:color w:val="000000"/>
                <w:sz w:val="24"/>
                <w:szCs w:val="24"/>
              </w:rPr>
              <w:t>Валютный рынок</w:t>
            </w:r>
          </w:p>
        </w:tc>
      </w:tr>
      <w:tr w:rsidR="00EF390D" w:rsidRPr="002D1C86" w14:paraId="125552FE"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2E3374E"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Перенос позиций (СВОП)</w:t>
            </w:r>
          </w:p>
        </w:tc>
        <w:tc>
          <w:tcPr>
            <w:tcW w:w="1183" w:type="dxa"/>
            <w:tcBorders>
              <w:top w:val="nil"/>
              <w:left w:val="nil"/>
              <w:bottom w:val="single" w:sz="8" w:space="0" w:color="auto"/>
              <w:right w:val="single" w:sz="8" w:space="0" w:color="auto"/>
            </w:tcBorders>
            <w:shd w:val="clear" w:color="auto" w:fill="auto"/>
            <w:vAlign w:val="center"/>
            <w:hideMark/>
          </w:tcPr>
          <w:p w14:paraId="61CD6481" w14:textId="77777777" w:rsidR="00EF390D" w:rsidRPr="002D1C86" w:rsidRDefault="00EF390D" w:rsidP="00290B38">
            <w:pPr>
              <w:jc w:val="right"/>
              <w:rPr>
                <w:color w:val="000000"/>
                <w:sz w:val="24"/>
                <w:szCs w:val="24"/>
              </w:rPr>
            </w:pPr>
            <w:r w:rsidRPr="002D1C86">
              <w:rPr>
                <w:color w:val="000000"/>
                <w:sz w:val="24"/>
                <w:szCs w:val="24"/>
              </w:rPr>
              <w:t> </w:t>
            </w:r>
          </w:p>
        </w:tc>
        <w:tc>
          <w:tcPr>
            <w:tcW w:w="1341" w:type="dxa"/>
            <w:tcBorders>
              <w:top w:val="nil"/>
              <w:left w:val="nil"/>
              <w:bottom w:val="single" w:sz="8" w:space="0" w:color="auto"/>
              <w:right w:val="single" w:sz="12" w:space="0" w:color="auto"/>
            </w:tcBorders>
            <w:shd w:val="clear" w:color="auto" w:fill="auto"/>
            <w:vAlign w:val="center"/>
            <w:hideMark/>
          </w:tcPr>
          <w:p w14:paraId="1F959969" w14:textId="77777777" w:rsidR="00EF390D" w:rsidRPr="002D1C86" w:rsidRDefault="00EF390D" w:rsidP="00290B38">
            <w:pPr>
              <w:jc w:val="right"/>
              <w:rPr>
                <w:color w:val="000000"/>
                <w:sz w:val="24"/>
                <w:szCs w:val="24"/>
              </w:rPr>
            </w:pPr>
            <w:r w:rsidRPr="002D1C86">
              <w:rPr>
                <w:color w:val="000000"/>
                <w:sz w:val="24"/>
                <w:szCs w:val="24"/>
              </w:rPr>
              <w:t> </w:t>
            </w:r>
          </w:p>
        </w:tc>
        <w:tc>
          <w:tcPr>
            <w:tcW w:w="1456" w:type="dxa"/>
            <w:tcBorders>
              <w:top w:val="nil"/>
              <w:left w:val="nil"/>
              <w:bottom w:val="single" w:sz="8" w:space="0" w:color="auto"/>
              <w:right w:val="single" w:sz="8" w:space="0" w:color="auto"/>
            </w:tcBorders>
            <w:shd w:val="clear" w:color="auto" w:fill="auto"/>
            <w:vAlign w:val="center"/>
            <w:hideMark/>
          </w:tcPr>
          <w:p w14:paraId="492B14E1" w14:textId="77777777" w:rsidR="00EF390D" w:rsidRPr="002D1C86" w:rsidRDefault="00EF390D" w:rsidP="00290B38">
            <w:pPr>
              <w:jc w:val="right"/>
              <w:rPr>
                <w:color w:val="000000"/>
                <w:sz w:val="24"/>
                <w:szCs w:val="24"/>
              </w:rPr>
            </w:pPr>
            <w:r w:rsidRPr="002D1C86">
              <w:rPr>
                <w:color w:val="000000"/>
                <w:sz w:val="24"/>
                <w:szCs w:val="24"/>
              </w:rPr>
              <w:t> </w:t>
            </w:r>
          </w:p>
        </w:tc>
        <w:tc>
          <w:tcPr>
            <w:tcW w:w="1417" w:type="dxa"/>
            <w:tcBorders>
              <w:top w:val="nil"/>
              <w:left w:val="nil"/>
              <w:bottom w:val="single" w:sz="8" w:space="0" w:color="auto"/>
              <w:right w:val="single" w:sz="12" w:space="0" w:color="auto"/>
            </w:tcBorders>
            <w:shd w:val="clear" w:color="auto" w:fill="auto"/>
            <w:vAlign w:val="center"/>
            <w:hideMark/>
          </w:tcPr>
          <w:p w14:paraId="14CCDD5F" w14:textId="77777777" w:rsidR="00EF390D" w:rsidRPr="002D1C86" w:rsidRDefault="00EF390D" w:rsidP="00290B38">
            <w:pPr>
              <w:jc w:val="right"/>
              <w:rPr>
                <w:color w:val="000000"/>
                <w:sz w:val="24"/>
                <w:szCs w:val="24"/>
              </w:rPr>
            </w:pPr>
            <w:r w:rsidRPr="002D1C86">
              <w:rPr>
                <w:color w:val="000000"/>
                <w:sz w:val="24"/>
                <w:szCs w:val="24"/>
              </w:rPr>
              <w:t> </w:t>
            </w:r>
          </w:p>
        </w:tc>
      </w:tr>
      <w:tr w:rsidR="00EF390D" w:rsidRPr="002D1C86" w14:paraId="41049E8D"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6E5D86B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USD</w:t>
            </w:r>
          </w:p>
        </w:tc>
        <w:tc>
          <w:tcPr>
            <w:tcW w:w="1183" w:type="dxa"/>
            <w:tcBorders>
              <w:top w:val="nil"/>
              <w:left w:val="nil"/>
              <w:bottom w:val="single" w:sz="8" w:space="0" w:color="auto"/>
              <w:right w:val="single" w:sz="8" w:space="0" w:color="auto"/>
            </w:tcBorders>
            <w:shd w:val="clear" w:color="auto" w:fill="auto"/>
            <w:vAlign w:val="center"/>
            <w:hideMark/>
          </w:tcPr>
          <w:p w14:paraId="15059C9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205</w:t>
            </w:r>
          </w:p>
        </w:tc>
        <w:tc>
          <w:tcPr>
            <w:tcW w:w="1341" w:type="dxa"/>
            <w:tcBorders>
              <w:top w:val="nil"/>
              <w:left w:val="nil"/>
              <w:bottom w:val="single" w:sz="8" w:space="0" w:color="auto"/>
              <w:right w:val="single" w:sz="12" w:space="0" w:color="auto"/>
            </w:tcBorders>
            <w:shd w:val="clear" w:color="auto" w:fill="auto"/>
            <w:vAlign w:val="center"/>
            <w:hideMark/>
          </w:tcPr>
          <w:p w14:paraId="1354B6E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-31%</w:t>
            </w:r>
          </w:p>
        </w:tc>
        <w:tc>
          <w:tcPr>
            <w:tcW w:w="1456" w:type="dxa"/>
            <w:tcBorders>
              <w:top w:val="nil"/>
              <w:left w:val="nil"/>
              <w:bottom w:val="single" w:sz="8" w:space="0" w:color="auto"/>
              <w:right w:val="single" w:sz="8" w:space="0" w:color="auto"/>
            </w:tcBorders>
            <w:shd w:val="clear" w:color="auto" w:fill="auto"/>
            <w:vAlign w:val="center"/>
            <w:hideMark/>
          </w:tcPr>
          <w:p w14:paraId="33F98D4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74 596</w:t>
            </w:r>
          </w:p>
        </w:tc>
        <w:tc>
          <w:tcPr>
            <w:tcW w:w="1417" w:type="dxa"/>
            <w:tcBorders>
              <w:top w:val="nil"/>
              <w:left w:val="nil"/>
              <w:bottom w:val="single" w:sz="8" w:space="0" w:color="auto"/>
              <w:right w:val="single" w:sz="12" w:space="0" w:color="auto"/>
            </w:tcBorders>
            <w:shd w:val="clear" w:color="auto" w:fill="auto"/>
            <w:vAlign w:val="center"/>
            <w:hideMark/>
          </w:tcPr>
          <w:p w14:paraId="07AE33C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w:t>
            </w:r>
          </w:p>
        </w:tc>
      </w:tr>
      <w:tr w:rsidR="00EF390D" w:rsidRPr="002D1C86" w14:paraId="01CE3448"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6943517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EUR</w:t>
            </w:r>
          </w:p>
        </w:tc>
        <w:tc>
          <w:tcPr>
            <w:tcW w:w="1183" w:type="dxa"/>
            <w:tcBorders>
              <w:top w:val="nil"/>
              <w:left w:val="nil"/>
              <w:bottom w:val="single" w:sz="8" w:space="0" w:color="auto"/>
              <w:right w:val="single" w:sz="8" w:space="0" w:color="auto"/>
            </w:tcBorders>
            <w:shd w:val="clear" w:color="auto" w:fill="auto"/>
            <w:vAlign w:val="center"/>
            <w:hideMark/>
          </w:tcPr>
          <w:p w14:paraId="56998F6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117</w:t>
            </w:r>
          </w:p>
        </w:tc>
        <w:tc>
          <w:tcPr>
            <w:tcW w:w="1341" w:type="dxa"/>
            <w:tcBorders>
              <w:top w:val="nil"/>
              <w:left w:val="nil"/>
              <w:bottom w:val="single" w:sz="8" w:space="0" w:color="auto"/>
              <w:right w:val="single" w:sz="12" w:space="0" w:color="auto"/>
            </w:tcBorders>
            <w:shd w:val="clear" w:color="auto" w:fill="auto"/>
            <w:vAlign w:val="center"/>
            <w:hideMark/>
          </w:tcPr>
          <w:p w14:paraId="5C1E892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w:t>
            </w:r>
          </w:p>
        </w:tc>
        <w:tc>
          <w:tcPr>
            <w:tcW w:w="1456" w:type="dxa"/>
            <w:tcBorders>
              <w:top w:val="nil"/>
              <w:left w:val="nil"/>
              <w:bottom w:val="single" w:sz="8" w:space="0" w:color="auto"/>
              <w:right w:val="single" w:sz="8" w:space="0" w:color="auto"/>
            </w:tcBorders>
            <w:shd w:val="clear" w:color="auto" w:fill="auto"/>
            <w:vAlign w:val="center"/>
            <w:hideMark/>
          </w:tcPr>
          <w:p w14:paraId="1A8176B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8 518</w:t>
            </w:r>
          </w:p>
        </w:tc>
        <w:tc>
          <w:tcPr>
            <w:tcW w:w="1417" w:type="dxa"/>
            <w:tcBorders>
              <w:top w:val="nil"/>
              <w:left w:val="nil"/>
              <w:bottom w:val="single" w:sz="8" w:space="0" w:color="auto"/>
              <w:right w:val="single" w:sz="12" w:space="0" w:color="auto"/>
            </w:tcBorders>
            <w:shd w:val="clear" w:color="auto" w:fill="auto"/>
            <w:vAlign w:val="center"/>
            <w:hideMark/>
          </w:tcPr>
          <w:p w14:paraId="73B5000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-34%</w:t>
            </w:r>
          </w:p>
        </w:tc>
      </w:tr>
      <w:tr w:rsidR="00EF390D" w:rsidRPr="002D1C86" w14:paraId="6EC5ACBB"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5EB862D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CNY</w:t>
            </w:r>
          </w:p>
        </w:tc>
        <w:tc>
          <w:tcPr>
            <w:tcW w:w="1183" w:type="dxa"/>
            <w:tcBorders>
              <w:top w:val="nil"/>
              <w:left w:val="nil"/>
              <w:bottom w:val="single" w:sz="8" w:space="0" w:color="auto"/>
              <w:right w:val="single" w:sz="8" w:space="0" w:color="auto"/>
            </w:tcBorders>
            <w:shd w:val="clear" w:color="auto" w:fill="auto"/>
            <w:vAlign w:val="center"/>
            <w:hideMark/>
          </w:tcPr>
          <w:p w14:paraId="62B4537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21</w:t>
            </w:r>
          </w:p>
        </w:tc>
        <w:tc>
          <w:tcPr>
            <w:tcW w:w="1341" w:type="dxa"/>
            <w:tcBorders>
              <w:top w:val="nil"/>
              <w:left w:val="nil"/>
              <w:bottom w:val="single" w:sz="8" w:space="0" w:color="auto"/>
              <w:right w:val="single" w:sz="12" w:space="0" w:color="auto"/>
            </w:tcBorders>
            <w:shd w:val="clear" w:color="auto" w:fill="auto"/>
            <w:vAlign w:val="center"/>
            <w:hideMark/>
          </w:tcPr>
          <w:p w14:paraId="3AF2845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40%</w:t>
            </w:r>
          </w:p>
        </w:tc>
        <w:tc>
          <w:tcPr>
            <w:tcW w:w="1456" w:type="dxa"/>
            <w:tcBorders>
              <w:top w:val="nil"/>
              <w:left w:val="nil"/>
              <w:bottom w:val="single" w:sz="8" w:space="0" w:color="auto"/>
              <w:right w:val="single" w:sz="8" w:space="0" w:color="auto"/>
            </w:tcBorders>
            <w:shd w:val="clear" w:color="auto" w:fill="auto"/>
            <w:vAlign w:val="center"/>
            <w:hideMark/>
          </w:tcPr>
          <w:p w14:paraId="04CB2F4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1 541</w:t>
            </w:r>
          </w:p>
        </w:tc>
        <w:tc>
          <w:tcPr>
            <w:tcW w:w="1417" w:type="dxa"/>
            <w:tcBorders>
              <w:top w:val="nil"/>
              <w:left w:val="nil"/>
              <w:bottom w:val="single" w:sz="8" w:space="0" w:color="auto"/>
              <w:right w:val="single" w:sz="12" w:space="0" w:color="auto"/>
            </w:tcBorders>
            <w:shd w:val="clear" w:color="auto" w:fill="auto"/>
            <w:vAlign w:val="center"/>
            <w:hideMark/>
          </w:tcPr>
          <w:p w14:paraId="01E2A44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218%</w:t>
            </w:r>
          </w:p>
        </w:tc>
      </w:tr>
      <w:tr w:rsidR="00EF390D" w:rsidRPr="002D1C86" w14:paraId="0FDC3E72"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308079D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GBP</w:t>
            </w:r>
          </w:p>
        </w:tc>
        <w:tc>
          <w:tcPr>
            <w:tcW w:w="1183" w:type="dxa"/>
            <w:tcBorders>
              <w:top w:val="nil"/>
              <w:left w:val="nil"/>
              <w:bottom w:val="single" w:sz="8" w:space="0" w:color="auto"/>
              <w:right w:val="single" w:sz="8" w:space="0" w:color="auto"/>
            </w:tcBorders>
            <w:shd w:val="clear" w:color="auto" w:fill="auto"/>
            <w:vAlign w:val="center"/>
            <w:hideMark/>
          </w:tcPr>
          <w:p w14:paraId="4BCE4FD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w:t>
            </w:r>
          </w:p>
        </w:tc>
        <w:tc>
          <w:tcPr>
            <w:tcW w:w="1341" w:type="dxa"/>
            <w:tcBorders>
              <w:top w:val="nil"/>
              <w:left w:val="nil"/>
              <w:bottom w:val="single" w:sz="8" w:space="0" w:color="auto"/>
              <w:right w:val="single" w:sz="12" w:space="0" w:color="auto"/>
            </w:tcBorders>
            <w:shd w:val="clear" w:color="auto" w:fill="auto"/>
            <w:vAlign w:val="center"/>
            <w:hideMark/>
          </w:tcPr>
          <w:p w14:paraId="44D8FFA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-59%</w:t>
            </w:r>
          </w:p>
        </w:tc>
        <w:tc>
          <w:tcPr>
            <w:tcW w:w="1456" w:type="dxa"/>
            <w:tcBorders>
              <w:top w:val="nil"/>
              <w:left w:val="nil"/>
              <w:bottom w:val="single" w:sz="8" w:space="0" w:color="auto"/>
              <w:right w:val="single" w:sz="8" w:space="0" w:color="auto"/>
            </w:tcBorders>
            <w:shd w:val="clear" w:color="auto" w:fill="auto"/>
            <w:vAlign w:val="center"/>
            <w:hideMark/>
          </w:tcPr>
          <w:p w14:paraId="53D4BE1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133</w:t>
            </w:r>
          </w:p>
        </w:tc>
        <w:tc>
          <w:tcPr>
            <w:tcW w:w="1417" w:type="dxa"/>
            <w:tcBorders>
              <w:top w:val="nil"/>
              <w:left w:val="nil"/>
              <w:bottom w:val="single" w:sz="8" w:space="0" w:color="auto"/>
              <w:right w:val="single" w:sz="12" w:space="0" w:color="auto"/>
            </w:tcBorders>
            <w:shd w:val="clear" w:color="auto" w:fill="auto"/>
            <w:vAlign w:val="center"/>
            <w:hideMark/>
          </w:tcPr>
          <w:p w14:paraId="238DBEC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-50%</w:t>
            </w:r>
          </w:p>
        </w:tc>
      </w:tr>
      <w:tr w:rsidR="00EF390D" w:rsidRPr="002D1C86" w14:paraId="579F1F15"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F545BB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HKD</w:t>
            </w:r>
          </w:p>
        </w:tc>
        <w:tc>
          <w:tcPr>
            <w:tcW w:w="1183" w:type="dxa"/>
            <w:tcBorders>
              <w:top w:val="nil"/>
              <w:left w:val="nil"/>
              <w:bottom w:val="single" w:sz="8" w:space="0" w:color="auto"/>
              <w:right w:val="single" w:sz="8" w:space="0" w:color="auto"/>
            </w:tcBorders>
            <w:shd w:val="clear" w:color="auto" w:fill="auto"/>
            <w:vAlign w:val="center"/>
            <w:hideMark/>
          </w:tcPr>
          <w:p w14:paraId="324EDC6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w:t>
            </w:r>
          </w:p>
        </w:tc>
        <w:tc>
          <w:tcPr>
            <w:tcW w:w="1341" w:type="dxa"/>
            <w:tcBorders>
              <w:top w:val="nil"/>
              <w:left w:val="nil"/>
              <w:bottom w:val="single" w:sz="8" w:space="0" w:color="auto"/>
              <w:right w:val="single" w:sz="12" w:space="0" w:color="auto"/>
            </w:tcBorders>
            <w:shd w:val="clear" w:color="auto" w:fill="auto"/>
            <w:vAlign w:val="center"/>
            <w:hideMark/>
          </w:tcPr>
          <w:p w14:paraId="16698D3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50%</w:t>
            </w:r>
          </w:p>
        </w:tc>
        <w:tc>
          <w:tcPr>
            <w:tcW w:w="1456" w:type="dxa"/>
            <w:tcBorders>
              <w:top w:val="nil"/>
              <w:left w:val="nil"/>
              <w:bottom w:val="single" w:sz="8" w:space="0" w:color="auto"/>
              <w:right w:val="single" w:sz="8" w:space="0" w:color="auto"/>
            </w:tcBorders>
            <w:shd w:val="clear" w:color="auto" w:fill="auto"/>
            <w:vAlign w:val="center"/>
            <w:hideMark/>
          </w:tcPr>
          <w:p w14:paraId="6A5A78B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4 965</w:t>
            </w:r>
          </w:p>
        </w:tc>
        <w:tc>
          <w:tcPr>
            <w:tcW w:w="1417" w:type="dxa"/>
            <w:tcBorders>
              <w:top w:val="nil"/>
              <w:left w:val="nil"/>
              <w:bottom w:val="single" w:sz="8" w:space="0" w:color="auto"/>
              <w:right w:val="single" w:sz="12" w:space="0" w:color="auto"/>
            </w:tcBorders>
            <w:shd w:val="clear" w:color="auto" w:fill="auto"/>
            <w:vAlign w:val="center"/>
            <w:hideMark/>
          </w:tcPr>
          <w:p w14:paraId="2BD64EF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496400%</w:t>
            </w:r>
          </w:p>
        </w:tc>
      </w:tr>
      <w:tr w:rsidR="00EF390D" w:rsidRPr="002D1C86" w14:paraId="6E1EF78E"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E7856E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BYR</w:t>
            </w:r>
          </w:p>
        </w:tc>
        <w:tc>
          <w:tcPr>
            <w:tcW w:w="1183" w:type="dxa"/>
            <w:tcBorders>
              <w:top w:val="nil"/>
              <w:left w:val="nil"/>
              <w:bottom w:val="single" w:sz="8" w:space="0" w:color="auto"/>
              <w:right w:val="single" w:sz="8" w:space="0" w:color="auto"/>
            </w:tcBorders>
            <w:shd w:val="clear" w:color="auto" w:fill="auto"/>
            <w:vAlign w:val="center"/>
            <w:hideMark/>
          </w:tcPr>
          <w:p w14:paraId="39AB83F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341" w:type="dxa"/>
            <w:tcBorders>
              <w:top w:val="nil"/>
              <w:left w:val="nil"/>
              <w:bottom w:val="single" w:sz="8" w:space="0" w:color="auto"/>
              <w:right w:val="single" w:sz="12" w:space="0" w:color="auto"/>
            </w:tcBorders>
            <w:shd w:val="clear" w:color="auto" w:fill="auto"/>
            <w:vAlign w:val="center"/>
            <w:hideMark/>
          </w:tcPr>
          <w:p w14:paraId="03F2413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c>
          <w:tcPr>
            <w:tcW w:w="1456" w:type="dxa"/>
            <w:tcBorders>
              <w:top w:val="nil"/>
              <w:left w:val="nil"/>
              <w:bottom w:val="single" w:sz="8" w:space="0" w:color="auto"/>
              <w:right w:val="single" w:sz="8" w:space="0" w:color="auto"/>
            </w:tcBorders>
            <w:shd w:val="clear" w:color="auto" w:fill="auto"/>
            <w:vAlign w:val="center"/>
            <w:hideMark/>
          </w:tcPr>
          <w:p w14:paraId="7FBDCF4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417" w:type="dxa"/>
            <w:tcBorders>
              <w:top w:val="nil"/>
              <w:left w:val="nil"/>
              <w:bottom w:val="single" w:sz="8" w:space="0" w:color="auto"/>
              <w:right w:val="single" w:sz="12" w:space="0" w:color="auto"/>
            </w:tcBorders>
            <w:shd w:val="clear" w:color="auto" w:fill="auto"/>
            <w:vAlign w:val="center"/>
            <w:hideMark/>
          </w:tcPr>
          <w:p w14:paraId="2FC6866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r>
      <w:tr w:rsidR="00EF390D" w:rsidRPr="002D1C86" w14:paraId="1C9D7D0D"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350BF02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SLV</w:t>
            </w:r>
          </w:p>
        </w:tc>
        <w:tc>
          <w:tcPr>
            <w:tcW w:w="1183" w:type="dxa"/>
            <w:tcBorders>
              <w:top w:val="nil"/>
              <w:left w:val="nil"/>
              <w:bottom w:val="single" w:sz="8" w:space="0" w:color="auto"/>
              <w:right w:val="single" w:sz="8" w:space="0" w:color="auto"/>
            </w:tcBorders>
            <w:shd w:val="clear" w:color="auto" w:fill="auto"/>
            <w:vAlign w:val="center"/>
            <w:hideMark/>
          </w:tcPr>
          <w:p w14:paraId="2608116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w:t>
            </w:r>
          </w:p>
        </w:tc>
        <w:tc>
          <w:tcPr>
            <w:tcW w:w="1341" w:type="dxa"/>
            <w:tcBorders>
              <w:top w:val="nil"/>
              <w:left w:val="nil"/>
              <w:bottom w:val="single" w:sz="8" w:space="0" w:color="auto"/>
              <w:right w:val="single" w:sz="12" w:space="0" w:color="auto"/>
            </w:tcBorders>
            <w:shd w:val="clear" w:color="auto" w:fill="auto"/>
            <w:vAlign w:val="center"/>
            <w:hideMark/>
          </w:tcPr>
          <w:p w14:paraId="1E90A07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456" w:type="dxa"/>
            <w:tcBorders>
              <w:top w:val="nil"/>
              <w:left w:val="nil"/>
              <w:bottom w:val="single" w:sz="8" w:space="0" w:color="auto"/>
              <w:right w:val="single" w:sz="8" w:space="0" w:color="auto"/>
            </w:tcBorders>
            <w:shd w:val="clear" w:color="auto" w:fill="auto"/>
            <w:vAlign w:val="center"/>
            <w:hideMark/>
          </w:tcPr>
          <w:p w14:paraId="2D67EAD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0,068</w:t>
            </w:r>
          </w:p>
        </w:tc>
        <w:tc>
          <w:tcPr>
            <w:tcW w:w="1417" w:type="dxa"/>
            <w:tcBorders>
              <w:top w:val="nil"/>
              <w:left w:val="nil"/>
              <w:bottom w:val="single" w:sz="8" w:space="0" w:color="auto"/>
              <w:right w:val="single" w:sz="12" w:space="0" w:color="auto"/>
            </w:tcBorders>
            <w:shd w:val="clear" w:color="auto" w:fill="auto"/>
            <w:vAlign w:val="center"/>
            <w:hideMark/>
          </w:tcPr>
          <w:p w14:paraId="06A9012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w:t>
            </w:r>
          </w:p>
        </w:tc>
      </w:tr>
      <w:tr w:rsidR="00EF390D" w:rsidRPr="002D1C86" w14:paraId="3597F28F"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60D30D5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CHF</w:t>
            </w:r>
          </w:p>
        </w:tc>
        <w:tc>
          <w:tcPr>
            <w:tcW w:w="1183" w:type="dxa"/>
            <w:tcBorders>
              <w:top w:val="nil"/>
              <w:left w:val="nil"/>
              <w:bottom w:val="single" w:sz="8" w:space="0" w:color="auto"/>
              <w:right w:val="single" w:sz="8" w:space="0" w:color="auto"/>
            </w:tcBorders>
            <w:shd w:val="clear" w:color="auto" w:fill="auto"/>
            <w:vAlign w:val="center"/>
            <w:hideMark/>
          </w:tcPr>
          <w:p w14:paraId="1BB30C6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w:t>
            </w:r>
          </w:p>
        </w:tc>
        <w:tc>
          <w:tcPr>
            <w:tcW w:w="1341" w:type="dxa"/>
            <w:tcBorders>
              <w:top w:val="nil"/>
              <w:left w:val="nil"/>
              <w:bottom w:val="single" w:sz="8" w:space="0" w:color="auto"/>
              <w:right w:val="single" w:sz="12" w:space="0" w:color="auto"/>
            </w:tcBorders>
            <w:shd w:val="clear" w:color="auto" w:fill="auto"/>
            <w:vAlign w:val="center"/>
            <w:hideMark/>
          </w:tcPr>
          <w:p w14:paraId="3EF0CBA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36C18A8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w:t>
            </w:r>
          </w:p>
        </w:tc>
        <w:tc>
          <w:tcPr>
            <w:tcW w:w="1417" w:type="dxa"/>
            <w:tcBorders>
              <w:top w:val="nil"/>
              <w:left w:val="nil"/>
              <w:bottom w:val="single" w:sz="8" w:space="0" w:color="auto"/>
              <w:right w:val="single" w:sz="12" w:space="0" w:color="auto"/>
            </w:tcBorders>
            <w:shd w:val="clear" w:color="auto" w:fill="auto"/>
            <w:vAlign w:val="center"/>
            <w:hideMark/>
          </w:tcPr>
          <w:p w14:paraId="39EC341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48FF4DA9"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2141305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GLD</w:t>
            </w:r>
          </w:p>
        </w:tc>
        <w:tc>
          <w:tcPr>
            <w:tcW w:w="1183" w:type="dxa"/>
            <w:tcBorders>
              <w:top w:val="nil"/>
              <w:left w:val="nil"/>
              <w:bottom w:val="single" w:sz="8" w:space="0" w:color="auto"/>
              <w:right w:val="single" w:sz="8" w:space="0" w:color="auto"/>
            </w:tcBorders>
            <w:shd w:val="clear" w:color="auto" w:fill="auto"/>
            <w:vAlign w:val="center"/>
            <w:hideMark/>
          </w:tcPr>
          <w:p w14:paraId="5CE9468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w:t>
            </w:r>
          </w:p>
        </w:tc>
        <w:tc>
          <w:tcPr>
            <w:tcW w:w="1341" w:type="dxa"/>
            <w:tcBorders>
              <w:top w:val="nil"/>
              <w:left w:val="nil"/>
              <w:bottom w:val="single" w:sz="8" w:space="0" w:color="auto"/>
              <w:right w:val="single" w:sz="12" w:space="0" w:color="auto"/>
            </w:tcBorders>
            <w:shd w:val="clear" w:color="auto" w:fill="auto"/>
            <w:vAlign w:val="center"/>
            <w:hideMark/>
          </w:tcPr>
          <w:p w14:paraId="7C42EA8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2E2D10B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0,006</w:t>
            </w:r>
          </w:p>
        </w:tc>
        <w:tc>
          <w:tcPr>
            <w:tcW w:w="1417" w:type="dxa"/>
            <w:tcBorders>
              <w:top w:val="nil"/>
              <w:left w:val="nil"/>
              <w:bottom w:val="single" w:sz="8" w:space="0" w:color="auto"/>
              <w:right w:val="single" w:sz="12" w:space="0" w:color="auto"/>
            </w:tcBorders>
            <w:shd w:val="clear" w:color="auto" w:fill="auto"/>
            <w:vAlign w:val="center"/>
            <w:hideMark/>
          </w:tcPr>
          <w:p w14:paraId="11E63EA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128E4772"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5532BE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183" w:type="dxa"/>
            <w:tcBorders>
              <w:top w:val="nil"/>
              <w:left w:val="nil"/>
              <w:bottom w:val="single" w:sz="8" w:space="0" w:color="auto"/>
              <w:right w:val="single" w:sz="8" w:space="0" w:color="auto"/>
            </w:tcBorders>
            <w:shd w:val="clear" w:color="auto" w:fill="auto"/>
            <w:vAlign w:val="center"/>
            <w:hideMark/>
          </w:tcPr>
          <w:p w14:paraId="62C913A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57034DA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34C7AA2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6AD899B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531CC265" w14:textId="77777777" w:rsidTr="00290B38">
        <w:trPr>
          <w:trHeight w:val="570"/>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77578FFE"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 xml:space="preserve">Регулирование маржинальных требований </w:t>
            </w:r>
          </w:p>
        </w:tc>
        <w:tc>
          <w:tcPr>
            <w:tcW w:w="1183" w:type="dxa"/>
            <w:tcBorders>
              <w:top w:val="nil"/>
              <w:left w:val="nil"/>
              <w:bottom w:val="single" w:sz="8" w:space="0" w:color="auto"/>
              <w:right w:val="single" w:sz="8" w:space="0" w:color="auto"/>
            </w:tcBorders>
            <w:shd w:val="clear" w:color="auto" w:fill="auto"/>
            <w:vAlign w:val="center"/>
            <w:hideMark/>
          </w:tcPr>
          <w:p w14:paraId="753BEA3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16957CB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7FDEB45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1DB8BC4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6BA359DC"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115A702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RUB</w:t>
            </w:r>
          </w:p>
        </w:tc>
        <w:tc>
          <w:tcPr>
            <w:tcW w:w="1183" w:type="dxa"/>
            <w:tcBorders>
              <w:top w:val="nil"/>
              <w:left w:val="nil"/>
              <w:bottom w:val="single" w:sz="8" w:space="0" w:color="auto"/>
              <w:right w:val="single" w:sz="8" w:space="0" w:color="auto"/>
            </w:tcBorders>
            <w:shd w:val="clear" w:color="auto" w:fill="auto"/>
            <w:vAlign w:val="center"/>
            <w:hideMark/>
          </w:tcPr>
          <w:p w14:paraId="558DBC1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34</w:t>
            </w:r>
          </w:p>
        </w:tc>
        <w:tc>
          <w:tcPr>
            <w:tcW w:w="1341" w:type="dxa"/>
            <w:tcBorders>
              <w:top w:val="nil"/>
              <w:left w:val="nil"/>
              <w:bottom w:val="single" w:sz="8" w:space="0" w:color="auto"/>
              <w:right w:val="single" w:sz="12" w:space="0" w:color="auto"/>
            </w:tcBorders>
            <w:shd w:val="clear" w:color="auto" w:fill="auto"/>
            <w:vAlign w:val="center"/>
            <w:hideMark/>
          </w:tcPr>
          <w:p w14:paraId="3974DCF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143%</w:t>
            </w:r>
          </w:p>
        </w:tc>
        <w:tc>
          <w:tcPr>
            <w:tcW w:w="1456" w:type="dxa"/>
            <w:tcBorders>
              <w:top w:val="nil"/>
              <w:left w:val="nil"/>
              <w:bottom w:val="single" w:sz="8" w:space="0" w:color="auto"/>
              <w:right w:val="single" w:sz="8" w:space="0" w:color="auto"/>
            </w:tcBorders>
            <w:shd w:val="clear" w:color="auto" w:fill="auto"/>
            <w:vAlign w:val="center"/>
            <w:hideMark/>
          </w:tcPr>
          <w:p w14:paraId="534D2B0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911</w:t>
            </w:r>
          </w:p>
        </w:tc>
        <w:tc>
          <w:tcPr>
            <w:tcW w:w="1417" w:type="dxa"/>
            <w:tcBorders>
              <w:top w:val="nil"/>
              <w:left w:val="nil"/>
              <w:bottom w:val="single" w:sz="8" w:space="0" w:color="auto"/>
              <w:right w:val="single" w:sz="12" w:space="0" w:color="auto"/>
            </w:tcBorders>
            <w:shd w:val="clear" w:color="auto" w:fill="auto"/>
            <w:vAlign w:val="center"/>
            <w:hideMark/>
          </w:tcPr>
          <w:p w14:paraId="5278495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34%</w:t>
            </w:r>
          </w:p>
        </w:tc>
      </w:tr>
      <w:tr w:rsidR="00EF390D" w:rsidRPr="002D1C86" w14:paraId="593C9D3E"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74BB4E65"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Закрытие позиций</w:t>
            </w:r>
          </w:p>
        </w:tc>
        <w:tc>
          <w:tcPr>
            <w:tcW w:w="1183" w:type="dxa"/>
            <w:tcBorders>
              <w:top w:val="nil"/>
              <w:left w:val="nil"/>
              <w:bottom w:val="single" w:sz="8" w:space="0" w:color="auto"/>
              <w:right w:val="single" w:sz="8" w:space="0" w:color="auto"/>
            </w:tcBorders>
            <w:shd w:val="clear" w:color="auto" w:fill="auto"/>
            <w:vAlign w:val="center"/>
            <w:hideMark/>
          </w:tcPr>
          <w:p w14:paraId="50BB741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4261C33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3B8AF08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5C3ADCF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3F46CBD8"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5692A5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USD</w:t>
            </w:r>
          </w:p>
        </w:tc>
        <w:tc>
          <w:tcPr>
            <w:tcW w:w="1183" w:type="dxa"/>
            <w:tcBorders>
              <w:top w:val="nil"/>
              <w:left w:val="nil"/>
              <w:bottom w:val="single" w:sz="8" w:space="0" w:color="auto"/>
              <w:right w:val="single" w:sz="8" w:space="0" w:color="auto"/>
            </w:tcBorders>
            <w:shd w:val="clear" w:color="auto" w:fill="auto"/>
            <w:vAlign w:val="center"/>
            <w:hideMark/>
          </w:tcPr>
          <w:p w14:paraId="2E8B1FA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9</w:t>
            </w:r>
          </w:p>
        </w:tc>
        <w:tc>
          <w:tcPr>
            <w:tcW w:w="1341" w:type="dxa"/>
            <w:tcBorders>
              <w:top w:val="nil"/>
              <w:left w:val="nil"/>
              <w:bottom w:val="single" w:sz="8" w:space="0" w:color="auto"/>
              <w:right w:val="single" w:sz="12" w:space="0" w:color="auto"/>
            </w:tcBorders>
            <w:shd w:val="clear" w:color="auto" w:fill="auto"/>
            <w:vAlign w:val="center"/>
            <w:hideMark/>
          </w:tcPr>
          <w:p w14:paraId="2A49484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-36%</w:t>
            </w:r>
          </w:p>
        </w:tc>
        <w:tc>
          <w:tcPr>
            <w:tcW w:w="1456" w:type="dxa"/>
            <w:tcBorders>
              <w:top w:val="nil"/>
              <w:left w:val="nil"/>
              <w:bottom w:val="single" w:sz="8" w:space="0" w:color="auto"/>
              <w:right w:val="single" w:sz="8" w:space="0" w:color="auto"/>
            </w:tcBorders>
            <w:shd w:val="clear" w:color="auto" w:fill="auto"/>
            <w:vAlign w:val="center"/>
            <w:hideMark/>
          </w:tcPr>
          <w:p w14:paraId="58663E4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796</w:t>
            </w:r>
          </w:p>
        </w:tc>
        <w:tc>
          <w:tcPr>
            <w:tcW w:w="1417" w:type="dxa"/>
            <w:tcBorders>
              <w:top w:val="nil"/>
              <w:left w:val="nil"/>
              <w:bottom w:val="single" w:sz="8" w:space="0" w:color="auto"/>
              <w:right w:val="single" w:sz="12" w:space="0" w:color="auto"/>
            </w:tcBorders>
            <w:shd w:val="clear" w:color="auto" w:fill="auto"/>
            <w:vAlign w:val="center"/>
            <w:hideMark/>
          </w:tcPr>
          <w:p w14:paraId="65711BD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-96%</w:t>
            </w:r>
          </w:p>
        </w:tc>
      </w:tr>
      <w:tr w:rsidR="00EF390D" w:rsidRPr="002D1C86" w14:paraId="1941C41B"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1A07002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lastRenderedPageBreak/>
              <w:t>EUR</w:t>
            </w:r>
          </w:p>
        </w:tc>
        <w:tc>
          <w:tcPr>
            <w:tcW w:w="1183" w:type="dxa"/>
            <w:tcBorders>
              <w:top w:val="nil"/>
              <w:left w:val="nil"/>
              <w:bottom w:val="single" w:sz="8" w:space="0" w:color="auto"/>
              <w:right w:val="single" w:sz="8" w:space="0" w:color="auto"/>
            </w:tcBorders>
            <w:shd w:val="clear" w:color="auto" w:fill="auto"/>
            <w:vAlign w:val="center"/>
            <w:hideMark/>
          </w:tcPr>
          <w:p w14:paraId="199D941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6</w:t>
            </w:r>
          </w:p>
        </w:tc>
        <w:tc>
          <w:tcPr>
            <w:tcW w:w="1341" w:type="dxa"/>
            <w:tcBorders>
              <w:top w:val="nil"/>
              <w:left w:val="nil"/>
              <w:bottom w:val="single" w:sz="8" w:space="0" w:color="auto"/>
              <w:right w:val="single" w:sz="12" w:space="0" w:color="auto"/>
            </w:tcBorders>
            <w:shd w:val="clear" w:color="auto" w:fill="auto"/>
            <w:vAlign w:val="center"/>
            <w:hideMark/>
          </w:tcPr>
          <w:p w14:paraId="4D47DC0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-45%</w:t>
            </w:r>
          </w:p>
        </w:tc>
        <w:tc>
          <w:tcPr>
            <w:tcW w:w="1456" w:type="dxa"/>
            <w:tcBorders>
              <w:top w:val="nil"/>
              <w:left w:val="nil"/>
              <w:bottom w:val="single" w:sz="8" w:space="0" w:color="auto"/>
              <w:right w:val="single" w:sz="8" w:space="0" w:color="auto"/>
            </w:tcBorders>
            <w:shd w:val="clear" w:color="auto" w:fill="auto"/>
            <w:vAlign w:val="center"/>
            <w:hideMark/>
          </w:tcPr>
          <w:p w14:paraId="58CFC01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1 325</w:t>
            </w:r>
          </w:p>
        </w:tc>
        <w:tc>
          <w:tcPr>
            <w:tcW w:w="1417" w:type="dxa"/>
            <w:tcBorders>
              <w:top w:val="nil"/>
              <w:left w:val="nil"/>
              <w:bottom w:val="single" w:sz="8" w:space="0" w:color="auto"/>
              <w:right w:val="single" w:sz="12" w:space="0" w:color="auto"/>
            </w:tcBorders>
            <w:shd w:val="clear" w:color="auto" w:fill="auto"/>
            <w:vAlign w:val="center"/>
            <w:hideMark/>
          </w:tcPr>
          <w:p w14:paraId="350844B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-80%</w:t>
            </w:r>
          </w:p>
        </w:tc>
      </w:tr>
      <w:tr w:rsidR="00EF390D" w:rsidRPr="002D1C86" w14:paraId="14717A36" w14:textId="77777777" w:rsidTr="00290B38">
        <w:trPr>
          <w:trHeight w:val="255"/>
        </w:trPr>
        <w:tc>
          <w:tcPr>
            <w:tcW w:w="3817" w:type="dxa"/>
            <w:tcBorders>
              <w:top w:val="nil"/>
              <w:left w:val="single" w:sz="12" w:space="0" w:color="auto"/>
              <w:bottom w:val="single" w:sz="12" w:space="0" w:color="auto"/>
              <w:right w:val="single" w:sz="8" w:space="0" w:color="auto"/>
            </w:tcBorders>
            <w:shd w:val="clear" w:color="auto" w:fill="auto"/>
            <w:vAlign w:val="center"/>
            <w:hideMark/>
          </w:tcPr>
          <w:p w14:paraId="0B0CF13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CNY</w:t>
            </w:r>
          </w:p>
        </w:tc>
        <w:tc>
          <w:tcPr>
            <w:tcW w:w="1183" w:type="dxa"/>
            <w:tcBorders>
              <w:top w:val="nil"/>
              <w:left w:val="nil"/>
              <w:bottom w:val="single" w:sz="12" w:space="0" w:color="auto"/>
              <w:right w:val="single" w:sz="8" w:space="0" w:color="auto"/>
            </w:tcBorders>
            <w:shd w:val="clear" w:color="auto" w:fill="auto"/>
            <w:vAlign w:val="center"/>
            <w:hideMark/>
          </w:tcPr>
          <w:p w14:paraId="0A8D8CD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341" w:type="dxa"/>
            <w:tcBorders>
              <w:top w:val="nil"/>
              <w:left w:val="nil"/>
              <w:bottom w:val="single" w:sz="12" w:space="0" w:color="auto"/>
              <w:right w:val="single" w:sz="12" w:space="0" w:color="auto"/>
            </w:tcBorders>
            <w:shd w:val="clear" w:color="auto" w:fill="auto"/>
            <w:vAlign w:val="center"/>
            <w:hideMark/>
          </w:tcPr>
          <w:p w14:paraId="735FE14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12" w:space="0" w:color="auto"/>
              <w:right w:val="single" w:sz="8" w:space="0" w:color="auto"/>
            </w:tcBorders>
            <w:shd w:val="clear" w:color="auto" w:fill="auto"/>
            <w:vAlign w:val="center"/>
            <w:hideMark/>
          </w:tcPr>
          <w:p w14:paraId="40513E5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12" w:space="0" w:color="auto"/>
              <w:right w:val="single" w:sz="12" w:space="0" w:color="auto"/>
            </w:tcBorders>
            <w:shd w:val="clear" w:color="auto" w:fill="auto"/>
            <w:vAlign w:val="center"/>
            <w:hideMark/>
          </w:tcPr>
          <w:p w14:paraId="07D1BDF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60DCBF8C" w14:textId="77777777" w:rsidTr="00290B38">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CCFFFF"/>
            <w:vAlign w:val="center"/>
            <w:hideMark/>
          </w:tcPr>
          <w:p w14:paraId="606A160C"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Фондовый рынок</w:t>
            </w:r>
          </w:p>
        </w:tc>
      </w:tr>
      <w:tr w:rsidR="00EF390D" w:rsidRPr="002D1C86" w14:paraId="55DD799A"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FAD3B00"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Перенос позиций (РЕПО+СВОП+К/П)</w:t>
            </w:r>
          </w:p>
        </w:tc>
        <w:tc>
          <w:tcPr>
            <w:tcW w:w="1183" w:type="dxa"/>
            <w:tcBorders>
              <w:top w:val="nil"/>
              <w:left w:val="nil"/>
              <w:bottom w:val="single" w:sz="8" w:space="0" w:color="auto"/>
              <w:right w:val="single" w:sz="8" w:space="0" w:color="auto"/>
            </w:tcBorders>
            <w:shd w:val="clear" w:color="auto" w:fill="auto"/>
            <w:vAlign w:val="center"/>
            <w:hideMark/>
          </w:tcPr>
          <w:p w14:paraId="03BD1A0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089BA29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55B9F30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59ACD11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51286B7A"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2C8EEF8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RUB</w:t>
            </w:r>
          </w:p>
        </w:tc>
        <w:tc>
          <w:tcPr>
            <w:tcW w:w="1183" w:type="dxa"/>
            <w:tcBorders>
              <w:top w:val="nil"/>
              <w:left w:val="nil"/>
              <w:bottom w:val="single" w:sz="8" w:space="0" w:color="auto"/>
              <w:right w:val="single" w:sz="8" w:space="0" w:color="auto"/>
            </w:tcBorders>
            <w:shd w:val="clear" w:color="auto" w:fill="auto"/>
            <w:vAlign w:val="center"/>
            <w:hideMark/>
          </w:tcPr>
          <w:p w14:paraId="0287B4B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536</w:t>
            </w:r>
          </w:p>
        </w:tc>
        <w:tc>
          <w:tcPr>
            <w:tcW w:w="1341" w:type="dxa"/>
            <w:tcBorders>
              <w:top w:val="nil"/>
              <w:left w:val="nil"/>
              <w:bottom w:val="single" w:sz="8" w:space="0" w:color="auto"/>
              <w:right w:val="single" w:sz="12" w:space="0" w:color="auto"/>
            </w:tcBorders>
            <w:shd w:val="clear" w:color="auto" w:fill="auto"/>
            <w:vAlign w:val="center"/>
            <w:hideMark/>
          </w:tcPr>
          <w:p w14:paraId="2B2C531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-17%</w:t>
            </w:r>
          </w:p>
        </w:tc>
        <w:tc>
          <w:tcPr>
            <w:tcW w:w="1456" w:type="dxa"/>
            <w:tcBorders>
              <w:top w:val="nil"/>
              <w:left w:val="nil"/>
              <w:bottom w:val="single" w:sz="8" w:space="0" w:color="auto"/>
              <w:right w:val="single" w:sz="8" w:space="0" w:color="auto"/>
            </w:tcBorders>
            <w:shd w:val="clear" w:color="auto" w:fill="auto"/>
            <w:vAlign w:val="center"/>
            <w:hideMark/>
          </w:tcPr>
          <w:p w14:paraId="5E7CF3F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37 282</w:t>
            </w:r>
          </w:p>
        </w:tc>
        <w:tc>
          <w:tcPr>
            <w:tcW w:w="1417" w:type="dxa"/>
            <w:tcBorders>
              <w:top w:val="nil"/>
              <w:left w:val="nil"/>
              <w:bottom w:val="single" w:sz="8" w:space="0" w:color="auto"/>
              <w:right w:val="single" w:sz="12" w:space="0" w:color="auto"/>
            </w:tcBorders>
            <w:shd w:val="clear" w:color="auto" w:fill="auto"/>
            <w:vAlign w:val="center"/>
            <w:hideMark/>
          </w:tcPr>
          <w:p w14:paraId="7AA96F8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9%</w:t>
            </w:r>
          </w:p>
        </w:tc>
      </w:tr>
      <w:tr w:rsidR="00EF390D" w:rsidRPr="002D1C86" w14:paraId="48278187"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16B014A5"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Закрытие позиций (Купля-продажа+ЛН+Т+2)</w:t>
            </w:r>
          </w:p>
        </w:tc>
        <w:tc>
          <w:tcPr>
            <w:tcW w:w="1183" w:type="dxa"/>
            <w:tcBorders>
              <w:top w:val="nil"/>
              <w:left w:val="nil"/>
              <w:bottom w:val="single" w:sz="8" w:space="0" w:color="auto"/>
              <w:right w:val="single" w:sz="8" w:space="0" w:color="auto"/>
            </w:tcBorders>
            <w:shd w:val="clear" w:color="auto" w:fill="auto"/>
            <w:vAlign w:val="center"/>
            <w:hideMark/>
          </w:tcPr>
          <w:p w14:paraId="7C14B1F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40FB46A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02D1BE3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437A5BF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25BD9BBC" w14:textId="77777777" w:rsidTr="00290B38">
        <w:trPr>
          <w:trHeight w:val="255"/>
        </w:trPr>
        <w:tc>
          <w:tcPr>
            <w:tcW w:w="3817" w:type="dxa"/>
            <w:tcBorders>
              <w:top w:val="nil"/>
              <w:left w:val="single" w:sz="12" w:space="0" w:color="auto"/>
              <w:bottom w:val="single" w:sz="12" w:space="0" w:color="auto"/>
              <w:right w:val="single" w:sz="8" w:space="0" w:color="auto"/>
            </w:tcBorders>
            <w:shd w:val="clear" w:color="auto" w:fill="auto"/>
            <w:vAlign w:val="center"/>
            <w:hideMark/>
          </w:tcPr>
          <w:p w14:paraId="2EA1049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RUB</w:t>
            </w:r>
          </w:p>
        </w:tc>
        <w:tc>
          <w:tcPr>
            <w:tcW w:w="1183" w:type="dxa"/>
            <w:tcBorders>
              <w:top w:val="nil"/>
              <w:left w:val="nil"/>
              <w:bottom w:val="single" w:sz="12" w:space="0" w:color="auto"/>
              <w:right w:val="single" w:sz="8" w:space="0" w:color="auto"/>
            </w:tcBorders>
            <w:shd w:val="clear" w:color="auto" w:fill="auto"/>
            <w:vAlign w:val="center"/>
            <w:hideMark/>
          </w:tcPr>
          <w:p w14:paraId="723ADC7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13</w:t>
            </w:r>
          </w:p>
        </w:tc>
        <w:tc>
          <w:tcPr>
            <w:tcW w:w="1341" w:type="dxa"/>
            <w:tcBorders>
              <w:top w:val="nil"/>
              <w:left w:val="nil"/>
              <w:bottom w:val="single" w:sz="8" w:space="0" w:color="auto"/>
              <w:right w:val="single" w:sz="12" w:space="0" w:color="auto"/>
            </w:tcBorders>
            <w:shd w:val="clear" w:color="auto" w:fill="auto"/>
            <w:vAlign w:val="center"/>
            <w:hideMark/>
          </w:tcPr>
          <w:p w14:paraId="5727B9F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117%</w:t>
            </w:r>
          </w:p>
        </w:tc>
        <w:tc>
          <w:tcPr>
            <w:tcW w:w="1456" w:type="dxa"/>
            <w:tcBorders>
              <w:top w:val="nil"/>
              <w:left w:val="nil"/>
              <w:bottom w:val="single" w:sz="12" w:space="0" w:color="auto"/>
              <w:right w:val="single" w:sz="8" w:space="0" w:color="auto"/>
            </w:tcBorders>
            <w:shd w:val="clear" w:color="auto" w:fill="auto"/>
            <w:vAlign w:val="center"/>
            <w:hideMark/>
          </w:tcPr>
          <w:p w14:paraId="2A16D7C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18 434</w:t>
            </w:r>
          </w:p>
        </w:tc>
        <w:tc>
          <w:tcPr>
            <w:tcW w:w="1417" w:type="dxa"/>
            <w:tcBorders>
              <w:top w:val="nil"/>
              <w:left w:val="nil"/>
              <w:bottom w:val="single" w:sz="8" w:space="0" w:color="auto"/>
              <w:right w:val="single" w:sz="12" w:space="0" w:color="auto"/>
            </w:tcBorders>
            <w:shd w:val="clear" w:color="auto" w:fill="auto"/>
            <w:vAlign w:val="center"/>
            <w:hideMark/>
          </w:tcPr>
          <w:p w14:paraId="4960E85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2560%</w:t>
            </w:r>
          </w:p>
        </w:tc>
      </w:tr>
      <w:tr w:rsidR="00EF390D" w:rsidRPr="002D1C86" w14:paraId="4EB87917" w14:textId="77777777" w:rsidTr="00290B38">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CCFFFF"/>
            <w:vAlign w:val="center"/>
            <w:hideMark/>
          </w:tcPr>
          <w:p w14:paraId="760C3E21"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Срочный  рынок</w:t>
            </w:r>
          </w:p>
        </w:tc>
      </w:tr>
      <w:tr w:rsidR="00EF390D" w:rsidRPr="002D1C86" w14:paraId="4852D9CA"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160A4000" w14:textId="77777777" w:rsidR="00EF390D" w:rsidRPr="0002361F" w:rsidRDefault="00EF390D" w:rsidP="00290B38">
            <w:pPr>
              <w:rPr>
                <w:rFonts w:ascii="Times New Roman" w:hAnsi="Times New Roman" w:cs="Times New Roman"/>
                <w:i/>
                <w:iCs/>
                <w:color w:val="000000"/>
              </w:rPr>
            </w:pPr>
            <w:r w:rsidRPr="0002361F">
              <w:rPr>
                <w:rFonts w:ascii="Times New Roman" w:hAnsi="Times New Roman" w:cs="Times New Roman"/>
                <w:i/>
                <w:iCs/>
                <w:color w:val="000000"/>
              </w:rPr>
              <w:t>Закрытие позиций</w:t>
            </w:r>
          </w:p>
        </w:tc>
        <w:tc>
          <w:tcPr>
            <w:tcW w:w="1183" w:type="dxa"/>
            <w:tcBorders>
              <w:top w:val="nil"/>
              <w:left w:val="nil"/>
              <w:bottom w:val="single" w:sz="8" w:space="0" w:color="auto"/>
              <w:right w:val="single" w:sz="8" w:space="0" w:color="auto"/>
            </w:tcBorders>
            <w:shd w:val="clear" w:color="auto" w:fill="auto"/>
            <w:vAlign w:val="center"/>
            <w:hideMark/>
          </w:tcPr>
          <w:p w14:paraId="2245EEE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341" w:type="dxa"/>
            <w:tcBorders>
              <w:top w:val="nil"/>
              <w:left w:val="nil"/>
              <w:bottom w:val="single" w:sz="8" w:space="0" w:color="auto"/>
              <w:right w:val="single" w:sz="12" w:space="0" w:color="auto"/>
            </w:tcBorders>
            <w:shd w:val="clear" w:color="auto" w:fill="auto"/>
            <w:vAlign w:val="center"/>
            <w:hideMark/>
          </w:tcPr>
          <w:p w14:paraId="6FEB08E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26C08E5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17" w:type="dxa"/>
            <w:tcBorders>
              <w:top w:val="nil"/>
              <w:left w:val="nil"/>
              <w:bottom w:val="single" w:sz="8" w:space="0" w:color="auto"/>
              <w:right w:val="single" w:sz="12" w:space="0" w:color="auto"/>
            </w:tcBorders>
            <w:shd w:val="clear" w:color="auto" w:fill="auto"/>
            <w:vAlign w:val="center"/>
            <w:hideMark/>
          </w:tcPr>
          <w:p w14:paraId="4421309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40A4C080" w14:textId="77777777" w:rsidTr="00290B38">
        <w:trPr>
          <w:trHeight w:val="255"/>
        </w:trPr>
        <w:tc>
          <w:tcPr>
            <w:tcW w:w="3817" w:type="dxa"/>
            <w:tcBorders>
              <w:top w:val="nil"/>
              <w:left w:val="single" w:sz="12" w:space="0" w:color="auto"/>
              <w:bottom w:val="single" w:sz="12" w:space="0" w:color="auto"/>
              <w:right w:val="single" w:sz="8" w:space="0" w:color="auto"/>
            </w:tcBorders>
            <w:shd w:val="clear" w:color="auto" w:fill="auto"/>
            <w:vAlign w:val="center"/>
            <w:hideMark/>
          </w:tcPr>
          <w:p w14:paraId="2D7A03A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RUB</w:t>
            </w:r>
          </w:p>
        </w:tc>
        <w:tc>
          <w:tcPr>
            <w:tcW w:w="1183" w:type="dxa"/>
            <w:tcBorders>
              <w:top w:val="nil"/>
              <w:left w:val="nil"/>
              <w:bottom w:val="single" w:sz="12" w:space="0" w:color="auto"/>
              <w:right w:val="single" w:sz="8" w:space="0" w:color="auto"/>
            </w:tcBorders>
            <w:shd w:val="clear" w:color="auto" w:fill="auto"/>
            <w:vAlign w:val="center"/>
            <w:hideMark/>
          </w:tcPr>
          <w:p w14:paraId="3CEB25BD"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w:t>
            </w:r>
          </w:p>
        </w:tc>
        <w:tc>
          <w:tcPr>
            <w:tcW w:w="1341" w:type="dxa"/>
            <w:tcBorders>
              <w:top w:val="nil"/>
              <w:left w:val="nil"/>
              <w:bottom w:val="single" w:sz="12" w:space="0" w:color="auto"/>
              <w:right w:val="single" w:sz="12" w:space="0" w:color="auto"/>
            </w:tcBorders>
            <w:shd w:val="clear" w:color="auto" w:fill="auto"/>
            <w:vAlign w:val="center"/>
            <w:hideMark/>
          </w:tcPr>
          <w:p w14:paraId="2413981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c>
          <w:tcPr>
            <w:tcW w:w="1456" w:type="dxa"/>
            <w:tcBorders>
              <w:top w:val="nil"/>
              <w:left w:val="nil"/>
              <w:bottom w:val="single" w:sz="12" w:space="0" w:color="auto"/>
              <w:right w:val="single" w:sz="8" w:space="0" w:color="auto"/>
            </w:tcBorders>
            <w:shd w:val="clear" w:color="auto" w:fill="auto"/>
            <w:vAlign w:val="center"/>
            <w:hideMark/>
          </w:tcPr>
          <w:p w14:paraId="1EBF127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88</w:t>
            </w:r>
          </w:p>
        </w:tc>
        <w:tc>
          <w:tcPr>
            <w:tcW w:w="1417" w:type="dxa"/>
            <w:tcBorders>
              <w:top w:val="nil"/>
              <w:left w:val="nil"/>
              <w:bottom w:val="single" w:sz="12" w:space="0" w:color="auto"/>
              <w:right w:val="single" w:sz="12" w:space="0" w:color="auto"/>
            </w:tcBorders>
            <w:shd w:val="clear" w:color="auto" w:fill="auto"/>
            <w:vAlign w:val="center"/>
            <w:hideMark/>
          </w:tcPr>
          <w:p w14:paraId="2334EE4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389%</w:t>
            </w:r>
          </w:p>
        </w:tc>
      </w:tr>
      <w:tr w:rsidR="00EF390D" w:rsidRPr="002D1C86" w14:paraId="5B6BF33D" w14:textId="77777777" w:rsidTr="00290B38">
        <w:trPr>
          <w:trHeight w:val="255"/>
        </w:trPr>
        <w:tc>
          <w:tcPr>
            <w:tcW w:w="9214" w:type="dxa"/>
            <w:gridSpan w:val="5"/>
            <w:tcBorders>
              <w:top w:val="single" w:sz="12" w:space="0" w:color="auto"/>
              <w:left w:val="single" w:sz="12" w:space="0" w:color="auto"/>
              <w:bottom w:val="single" w:sz="8" w:space="0" w:color="auto"/>
              <w:right w:val="single" w:sz="12" w:space="0" w:color="000000"/>
            </w:tcBorders>
            <w:shd w:val="clear" w:color="000000" w:fill="FFFFCC"/>
            <w:vAlign w:val="center"/>
            <w:hideMark/>
          </w:tcPr>
          <w:p w14:paraId="0B79D1A2" w14:textId="77777777" w:rsidR="00EF390D" w:rsidRPr="0002361F" w:rsidRDefault="00EF390D" w:rsidP="00290B38">
            <w:pPr>
              <w:jc w:val="center"/>
              <w:rPr>
                <w:rFonts w:ascii="Times New Roman" w:hAnsi="Times New Roman" w:cs="Times New Roman"/>
                <w:color w:val="000000"/>
                <w:sz w:val="24"/>
                <w:szCs w:val="24"/>
              </w:rPr>
            </w:pPr>
            <w:r w:rsidRPr="0002361F">
              <w:rPr>
                <w:rFonts w:ascii="Times New Roman" w:hAnsi="Times New Roman" w:cs="Times New Roman"/>
                <w:color w:val="000000"/>
                <w:sz w:val="24"/>
                <w:szCs w:val="24"/>
              </w:rPr>
              <w:t>ИТОГО</w:t>
            </w:r>
          </w:p>
        </w:tc>
      </w:tr>
      <w:tr w:rsidR="00EF390D" w:rsidRPr="002D1C86" w14:paraId="57917431"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575F5EA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USD</w:t>
            </w:r>
          </w:p>
        </w:tc>
        <w:tc>
          <w:tcPr>
            <w:tcW w:w="1183" w:type="dxa"/>
            <w:tcBorders>
              <w:top w:val="nil"/>
              <w:left w:val="nil"/>
              <w:bottom w:val="single" w:sz="8" w:space="0" w:color="auto"/>
              <w:right w:val="single" w:sz="8" w:space="0" w:color="auto"/>
            </w:tcBorders>
            <w:shd w:val="clear" w:color="auto" w:fill="auto"/>
            <w:vAlign w:val="center"/>
            <w:hideMark/>
          </w:tcPr>
          <w:p w14:paraId="00BDF67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214</w:t>
            </w:r>
          </w:p>
        </w:tc>
        <w:tc>
          <w:tcPr>
            <w:tcW w:w="1341" w:type="dxa"/>
            <w:tcBorders>
              <w:top w:val="nil"/>
              <w:left w:val="nil"/>
              <w:bottom w:val="single" w:sz="8" w:space="0" w:color="auto"/>
              <w:right w:val="single" w:sz="12" w:space="0" w:color="auto"/>
            </w:tcBorders>
            <w:shd w:val="clear" w:color="auto" w:fill="auto"/>
            <w:vAlign w:val="center"/>
            <w:hideMark/>
          </w:tcPr>
          <w:p w14:paraId="12A4307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-31%</w:t>
            </w:r>
          </w:p>
        </w:tc>
        <w:tc>
          <w:tcPr>
            <w:tcW w:w="1456" w:type="dxa"/>
            <w:tcBorders>
              <w:top w:val="nil"/>
              <w:left w:val="nil"/>
              <w:bottom w:val="single" w:sz="8" w:space="0" w:color="auto"/>
              <w:right w:val="single" w:sz="8" w:space="0" w:color="auto"/>
            </w:tcBorders>
            <w:shd w:val="clear" w:color="auto" w:fill="auto"/>
            <w:vAlign w:val="center"/>
            <w:hideMark/>
          </w:tcPr>
          <w:p w14:paraId="3FE4B9F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75 392</w:t>
            </w:r>
          </w:p>
        </w:tc>
        <w:tc>
          <w:tcPr>
            <w:tcW w:w="1417" w:type="dxa"/>
            <w:tcBorders>
              <w:top w:val="nil"/>
              <w:left w:val="nil"/>
              <w:bottom w:val="single" w:sz="8" w:space="0" w:color="auto"/>
              <w:right w:val="single" w:sz="12" w:space="0" w:color="auto"/>
            </w:tcBorders>
            <w:shd w:val="clear" w:color="auto" w:fill="auto"/>
            <w:vAlign w:val="center"/>
            <w:hideMark/>
          </w:tcPr>
          <w:p w14:paraId="44BE676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-27%</w:t>
            </w:r>
          </w:p>
        </w:tc>
      </w:tr>
      <w:tr w:rsidR="00EF390D" w:rsidRPr="002D1C86" w14:paraId="05F07B38"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223683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EUR</w:t>
            </w:r>
          </w:p>
        </w:tc>
        <w:tc>
          <w:tcPr>
            <w:tcW w:w="1183" w:type="dxa"/>
            <w:tcBorders>
              <w:top w:val="nil"/>
              <w:left w:val="nil"/>
              <w:bottom w:val="single" w:sz="8" w:space="0" w:color="auto"/>
              <w:right w:val="single" w:sz="8" w:space="0" w:color="auto"/>
            </w:tcBorders>
            <w:shd w:val="clear" w:color="auto" w:fill="auto"/>
            <w:vAlign w:val="center"/>
            <w:hideMark/>
          </w:tcPr>
          <w:p w14:paraId="2362262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123</w:t>
            </w:r>
          </w:p>
        </w:tc>
        <w:tc>
          <w:tcPr>
            <w:tcW w:w="1341" w:type="dxa"/>
            <w:tcBorders>
              <w:top w:val="nil"/>
              <w:left w:val="nil"/>
              <w:bottom w:val="single" w:sz="8" w:space="0" w:color="auto"/>
              <w:right w:val="single" w:sz="12" w:space="0" w:color="auto"/>
            </w:tcBorders>
            <w:shd w:val="clear" w:color="auto" w:fill="auto"/>
            <w:vAlign w:val="center"/>
            <w:hideMark/>
          </w:tcPr>
          <w:p w14:paraId="075F738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w:t>
            </w:r>
          </w:p>
        </w:tc>
        <w:tc>
          <w:tcPr>
            <w:tcW w:w="1456" w:type="dxa"/>
            <w:tcBorders>
              <w:top w:val="nil"/>
              <w:left w:val="nil"/>
              <w:bottom w:val="single" w:sz="8" w:space="0" w:color="auto"/>
              <w:right w:val="single" w:sz="8" w:space="0" w:color="auto"/>
            </w:tcBorders>
            <w:shd w:val="clear" w:color="auto" w:fill="auto"/>
            <w:vAlign w:val="center"/>
            <w:hideMark/>
          </w:tcPr>
          <w:p w14:paraId="73DFD11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9 843</w:t>
            </w:r>
          </w:p>
        </w:tc>
        <w:tc>
          <w:tcPr>
            <w:tcW w:w="1417" w:type="dxa"/>
            <w:tcBorders>
              <w:top w:val="nil"/>
              <w:left w:val="nil"/>
              <w:bottom w:val="single" w:sz="8" w:space="0" w:color="auto"/>
              <w:right w:val="single" w:sz="12" w:space="0" w:color="auto"/>
            </w:tcBorders>
            <w:shd w:val="clear" w:color="auto" w:fill="auto"/>
            <w:vAlign w:val="center"/>
            <w:hideMark/>
          </w:tcPr>
          <w:p w14:paraId="6C65516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-50%</w:t>
            </w:r>
          </w:p>
        </w:tc>
      </w:tr>
      <w:tr w:rsidR="00EF390D" w:rsidRPr="002D1C86" w14:paraId="0FD3DE4B"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75B3B9A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CNY</w:t>
            </w:r>
          </w:p>
        </w:tc>
        <w:tc>
          <w:tcPr>
            <w:tcW w:w="1183" w:type="dxa"/>
            <w:tcBorders>
              <w:top w:val="nil"/>
              <w:left w:val="nil"/>
              <w:bottom w:val="single" w:sz="8" w:space="0" w:color="auto"/>
              <w:right w:val="single" w:sz="8" w:space="0" w:color="auto"/>
            </w:tcBorders>
            <w:shd w:val="clear" w:color="auto" w:fill="auto"/>
            <w:vAlign w:val="center"/>
            <w:hideMark/>
          </w:tcPr>
          <w:p w14:paraId="0AE54EB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21</w:t>
            </w:r>
          </w:p>
        </w:tc>
        <w:tc>
          <w:tcPr>
            <w:tcW w:w="1341" w:type="dxa"/>
            <w:tcBorders>
              <w:top w:val="nil"/>
              <w:left w:val="nil"/>
              <w:bottom w:val="single" w:sz="8" w:space="0" w:color="auto"/>
              <w:right w:val="single" w:sz="12" w:space="0" w:color="auto"/>
            </w:tcBorders>
            <w:shd w:val="clear" w:color="auto" w:fill="auto"/>
            <w:vAlign w:val="center"/>
            <w:hideMark/>
          </w:tcPr>
          <w:p w14:paraId="1A09E52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40%</w:t>
            </w:r>
          </w:p>
        </w:tc>
        <w:tc>
          <w:tcPr>
            <w:tcW w:w="1456" w:type="dxa"/>
            <w:tcBorders>
              <w:top w:val="nil"/>
              <w:left w:val="nil"/>
              <w:bottom w:val="single" w:sz="8" w:space="0" w:color="auto"/>
              <w:right w:val="single" w:sz="8" w:space="0" w:color="auto"/>
            </w:tcBorders>
            <w:shd w:val="clear" w:color="auto" w:fill="auto"/>
            <w:vAlign w:val="center"/>
            <w:hideMark/>
          </w:tcPr>
          <w:p w14:paraId="08A8C9C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1 541</w:t>
            </w:r>
          </w:p>
        </w:tc>
        <w:tc>
          <w:tcPr>
            <w:tcW w:w="1417" w:type="dxa"/>
            <w:tcBorders>
              <w:top w:val="nil"/>
              <w:left w:val="nil"/>
              <w:bottom w:val="single" w:sz="8" w:space="0" w:color="auto"/>
              <w:right w:val="single" w:sz="12" w:space="0" w:color="auto"/>
            </w:tcBorders>
            <w:shd w:val="clear" w:color="auto" w:fill="auto"/>
            <w:vAlign w:val="center"/>
            <w:hideMark/>
          </w:tcPr>
          <w:p w14:paraId="4E50E0F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218%</w:t>
            </w:r>
          </w:p>
        </w:tc>
      </w:tr>
      <w:tr w:rsidR="00EF390D" w:rsidRPr="002D1C86" w14:paraId="657920B4"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4E03A64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GBP</w:t>
            </w:r>
          </w:p>
        </w:tc>
        <w:tc>
          <w:tcPr>
            <w:tcW w:w="1183" w:type="dxa"/>
            <w:tcBorders>
              <w:top w:val="nil"/>
              <w:left w:val="nil"/>
              <w:bottom w:val="single" w:sz="8" w:space="0" w:color="auto"/>
              <w:right w:val="single" w:sz="8" w:space="0" w:color="auto"/>
            </w:tcBorders>
            <w:shd w:val="clear" w:color="auto" w:fill="auto"/>
            <w:vAlign w:val="center"/>
            <w:hideMark/>
          </w:tcPr>
          <w:p w14:paraId="7D0FEDFA"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w:t>
            </w:r>
          </w:p>
        </w:tc>
        <w:tc>
          <w:tcPr>
            <w:tcW w:w="1341" w:type="dxa"/>
            <w:tcBorders>
              <w:top w:val="nil"/>
              <w:left w:val="nil"/>
              <w:bottom w:val="single" w:sz="8" w:space="0" w:color="auto"/>
              <w:right w:val="single" w:sz="12" w:space="0" w:color="auto"/>
            </w:tcBorders>
            <w:shd w:val="clear" w:color="auto" w:fill="auto"/>
            <w:vAlign w:val="center"/>
            <w:hideMark/>
          </w:tcPr>
          <w:p w14:paraId="6729826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-59%</w:t>
            </w:r>
          </w:p>
        </w:tc>
        <w:tc>
          <w:tcPr>
            <w:tcW w:w="1456" w:type="dxa"/>
            <w:tcBorders>
              <w:top w:val="nil"/>
              <w:left w:val="nil"/>
              <w:bottom w:val="single" w:sz="8" w:space="0" w:color="auto"/>
              <w:right w:val="single" w:sz="8" w:space="0" w:color="auto"/>
            </w:tcBorders>
            <w:shd w:val="clear" w:color="auto" w:fill="auto"/>
            <w:vAlign w:val="center"/>
            <w:hideMark/>
          </w:tcPr>
          <w:p w14:paraId="3E7BDF77"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133</w:t>
            </w:r>
          </w:p>
        </w:tc>
        <w:tc>
          <w:tcPr>
            <w:tcW w:w="1417" w:type="dxa"/>
            <w:tcBorders>
              <w:top w:val="nil"/>
              <w:left w:val="nil"/>
              <w:bottom w:val="single" w:sz="8" w:space="0" w:color="auto"/>
              <w:right w:val="single" w:sz="12" w:space="0" w:color="auto"/>
            </w:tcBorders>
            <w:shd w:val="clear" w:color="auto" w:fill="auto"/>
            <w:vAlign w:val="center"/>
            <w:hideMark/>
          </w:tcPr>
          <w:p w14:paraId="3138A75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-50%</w:t>
            </w:r>
          </w:p>
        </w:tc>
      </w:tr>
      <w:tr w:rsidR="00EF390D" w:rsidRPr="002D1C86" w14:paraId="63150F14"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72E880A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HKD</w:t>
            </w:r>
          </w:p>
        </w:tc>
        <w:tc>
          <w:tcPr>
            <w:tcW w:w="1183" w:type="dxa"/>
            <w:tcBorders>
              <w:top w:val="nil"/>
              <w:left w:val="nil"/>
              <w:bottom w:val="single" w:sz="8" w:space="0" w:color="auto"/>
              <w:right w:val="single" w:sz="8" w:space="0" w:color="auto"/>
            </w:tcBorders>
            <w:shd w:val="clear" w:color="auto" w:fill="auto"/>
            <w:vAlign w:val="center"/>
            <w:hideMark/>
          </w:tcPr>
          <w:p w14:paraId="5C9BF8F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3</w:t>
            </w:r>
          </w:p>
        </w:tc>
        <w:tc>
          <w:tcPr>
            <w:tcW w:w="1341" w:type="dxa"/>
            <w:tcBorders>
              <w:top w:val="nil"/>
              <w:left w:val="nil"/>
              <w:bottom w:val="single" w:sz="8" w:space="0" w:color="auto"/>
              <w:right w:val="single" w:sz="12" w:space="0" w:color="auto"/>
            </w:tcBorders>
            <w:shd w:val="clear" w:color="auto" w:fill="auto"/>
            <w:vAlign w:val="center"/>
            <w:hideMark/>
          </w:tcPr>
          <w:p w14:paraId="66AA9FB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50%</w:t>
            </w:r>
          </w:p>
        </w:tc>
        <w:tc>
          <w:tcPr>
            <w:tcW w:w="1456" w:type="dxa"/>
            <w:tcBorders>
              <w:top w:val="nil"/>
              <w:left w:val="nil"/>
              <w:bottom w:val="single" w:sz="8" w:space="0" w:color="auto"/>
              <w:right w:val="single" w:sz="8" w:space="0" w:color="auto"/>
            </w:tcBorders>
            <w:shd w:val="clear" w:color="auto" w:fill="auto"/>
            <w:vAlign w:val="center"/>
            <w:hideMark/>
          </w:tcPr>
          <w:p w14:paraId="3ABD87E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4 965</w:t>
            </w:r>
          </w:p>
        </w:tc>
        <w:tc>
          <w:tcPr>
            <w:tcW w:w="1417" w:type="dxa"/>
            <w:tcBorders>
              <w:top w:val="nil"/>
              <w:left w:val="nil"/>
              <w:bottom w:val="single" w:sz="8" w:space="0" w:color="auto"/>
              <w:right w:val="single" w:sz="12" w:space="0" w:color="auto"/>
            </w:tcBorders>
            <w:shd w:val="clear" w:color="auto" w:fill="auto"/>
            <w:vAlign w:val="center"/>
            <w:hideMark/>
          </w:tcPr>
          <w:p w14:paraId="14141FC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496400%</w:t>
            </w:r>
          </w:p>
        </w:tc>
      </w:tr>
      <w:tr w:rsidR="00EF390D" w:rsidRPr="002D1C86" w14:paraId="083B9426"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39F06C0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BYR</w:t>
            </w:r>
          </w:p>
        </w:tc>
        <w:tc>
          <w:tcPr>
            <w:tcW w:w="1183" w:type="dxa"/>
            <w:tcBorders>
              <w:top w:val="nil"/>
              <w:left w:val="nil"/>
              <w:bottom w:val="single" w:sz="8" w:space="0" w:color="auto"/>
              <w:right w:val="single" w:sz="8" w:space="0" w:color="auto"/>
            </w:tcBorders>
            <w:shd w:val="clear" w:color="auto" w:fill="auto"/>
            <w:vAlign w:val="center"/>
            <w:hideMark/>
          </w:tcPr>
          <w:p w14:paraId="576D0263"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341" w:type="dxa"/>
            <w:tcBorders>
              <w:top w:val="nil"/>
              <w:left w:val="nil"/>
              <w:bottom w:val="single" w:sz="8" w:space="0" w:color="auto"/>
              <w:right w:val="single" w:sz="12" w:space="0" w:color="auto"/>
            </w:tcBorders>
            <w:shd w:val="clear" w:color="auto" w:fill="auto"/>
            <w:vAlign w:val="center"/>
            <w:hideMark/>
          </w:tcPr>
          <w:p w14:paraId="0C01728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c>
          <w:tcPr>
            <w:tcW w:w="1456" w:type="dxa"/>
            <w:tcBorders>
              <w:top w:val="nil"/>
              <w:left w:val="nil"/>
              <w:bottom w:val="single" w:sz="8" w:space="0" w:color="auto"/>
              <w:right w:val="single" w:sz="8" w:space="0" w:color="auto"/>
            </w:tcBorders>
            <w:shd w:val="clear" w:color="auto" w:fill="auto"/>
            <w:vAlign w:val="center"/>
            <w:hideMark/>
          </w:tcPr>
          <w:p w14:paraId="2E92468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417" w:type="dxa"/>
            <w:tcBorders>
              <w:top w:val="nil"/>
              <w:left w:val="nil"/>
              <w:bottom w:val="single" w:sz="8" w:space="0" w:color="auto"/>
              <w:right w:val="single" w:sz="12" w:space="0" w:color="auto"/>
            </w:tcBorders>
            <w:shd w:val="clear" w:color="auto" w:fill="auto"/>
            <w:vAlign w:val="center"/>
            <w:hideMark/>
          </w:tcPr>
          <w:p w14:paraId="3CA7B0E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r>
      <w:tr w:rsidR="00EF390D" w:rsidRPr="002D1C86" w14:paraId="6C2C95D0"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70AF28A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CHF</w:t>
            </w:r>
          </w:p>
        </w:tc>
        <w:tc>
          <w:tcPr>
            <w:tcW w:w="1183" w:type="dxa"/>
            <w:tcBorders>
              <w:top w:val="nil"/>
              <w:left w:val="nil"/>
              <w:bottom w:val="single" w:sz="8" w:space="0" w:color="auto"/>
              <w:right w:val="single" w:sz="8" w:space="0" w:color="auto"/>
            </w:tcBorders>
            <w:shd w:val="clear" w:color="auto" w:fill="auto"/>
            <w:vAlign w:val="center"/>
            <w:hideMark/>
          </w:tcPr>
          <w:p w14:paraId="0AB881D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2</w:t>
            </w:r>
          </w:p>
        </w:tc>
        <w:tc>
          <w:tcPr>
            <w:tcW w:w="1341" w:type="dxa"/>
            <w:tcBorders>
              <w:top w:val="nil"/>
              <w:left w:val="nil"/>
              <w:bottom w:val="single" w:sz="8" w:space="0" w:color="auto"/>
              <w:right w:val="single" w:sz="12" w:space="0" w:color="auto"/>
            </w:tcBorders>
            <w:shd w:val="clear" w:color="auto" w:fill="auto"/>
            <w:vAlign w:val="center"/>
            <w:hideMark/>
          </w:tcPr>
          <w:p w14:paraId="635ACF6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2DD48821"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4</w:t>
            </w:r>
          </w:p>
        </w:tc>
        <w:tc>
          <w:tcPr>
            <w:tcW w:w="1417" w:type="dxa"/>
            <w:tcBorders>
              <w:top w:val="nil"/>
              <w:left w:val="nil"/>
              <w:bottom w:val="single" w:sz="8" w:space="0" w:color="auto"/>
              <w:right w:val="single" w:sz="12" w:space="0" w:color="auto"/>
            </w:tcBorders>
            <w:shd w:val="clear" w:color="auto" w:fill="auto"/>
            <w:vAlign w:val="center"/>
            <w:hideMark/>
          </w:tcPr>
          <w:p w14:paraId="4D77134F"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21C3888A"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057C3DC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GLD</w:t>
            </w:r>
          </w:p>
        </w:tc>
        <w:tc>
          <w:tcPr>
            <w:tcW w:w="1183" w:type="dxa"/>
            <w:tcBorders>
              <w:top w:val="nil"/>
              <w:left w:val="nil"/>
              <w:bottom w:val="single" w:sz="8" w:space="0" w:color="auto"/>
              <w:right w:val="single" w:sz="8" w:space="0" w:color="auto"/>
            </w:tcBorders>
            <w:shd w:val="clear" w:color="auto" w:fill="auto"/>
            <w:vAlign w:val="center"/>
            <w:hideMark/>
          </w:tcPr>
          <w:p w14:paraId="0A5AE6D2"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w:t>
            </w:r>
          </w:p>
        </w:tc>
        <w:tc>
          <w:tcPr>
            <w:tcW w:w="1341" w:type="dxa"/>
            <w:tcBorders>
              <w:top w:val="nil"/>
              <w:left w:val="nil"/>
              <w:bottom w:val="single" w:sz="8" w:space="0" w:color="auto"/>
              <w:right w:val="single" w:sz="12" w:space="0" w:color="auto"/>
            </w:tcBorders>
            <w:shd w:val="clear" w:color="auto" w:fill="auto"/>
            <w:vAlign w:val="center"/>
            <w:hideMark/>
          </w:tcPr>
          <w:p w14:paraId="5C55AC80"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c>
          <w:tcPr>
            <w:tcW w:w="1456" w:type="dxa"/>
            <w:tcBorders>
              <w:top w:val="nil"/>
              <w:left w:val="nil"/>
              <w:bottom w:val="single" w:sz="8" w:space="0" w:color="auto"/>
              <w:right w:val="single" w:sz="8" w:space="0" w:color="auto"/>
            </w:tcBorders>
            <w:shd w:val="clear" w:color="auto" w:fill="auto"/>
            <w:vAlign w:val="center"/>
            <w:hideMark/>
          </w:tcPr>
          <w:p w14:paraId="5DC79CC4"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417" w:type="dxa"/>
            <w:tcBorders>
              <w:top w:val="nil"/>
              <w:left w:val="nil"/>
              <w:bottom w:val="single" w:sz="8" w:space="0" w:color="auto"/>
              <w:right w:val="single" w:sz="12" w:space="0" w:color="auto"/>
            </w:tcBorders>
            <w:shd w:val="clear" w:color="auto" w:fill="auto"/>
            <w:vAlign w:val="center"/>
            <w:hideMark/>
          </w:tcPr>
          <w:p w14:paraId="4DD5E51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 </w:t>
            </w:r>
          </w:p>
        </w:tc>
      </w:tr>
      <w:tr w:rsidR="00EF390D" w:rsidRPr="002D1C86" w14:paraId="51BCE91A" w14:textId="77777777" w:rsidTr="00290B38">
        <w:trPr>
          <w:trHeight w:val="255"/>
        </w:trPr>
        <w:tc>
          <w:tcPr>
            <w:tcW w:w="3817" w:type="dxa"/>
            <w:tcBorders>
              <w:top w:val="nil"/>
              <w:left w:val="single" w:sz="12" w:space="0" w:color="auto"/>
              <w:bottom w:val="single" w:sz="8" w:space="0" w:color="auto"/>
              <w:right w:val="single" w:sz="8" w:space="0" w:color="auto"/>
            </w:tcBorders>
            <w:shd w:val="clear" w:color="auto" w:fill="auto"/>
            <w:vAlign w:val="center"/>
            <w:hideMark/>
          </w:tcPr>
          <w:p w14:paraId="6559EB66"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SLV</w:t>
            </w:r>
          </w:p>
        </w:tc>
        <w:tc>
          <w:tcPr>
            <w:tcW w:w="1183" w:type="dxa"/>
            <w:tcBorders>
              <w:top w:val="nil"/>
              <w:left w:val="nil"/>
              <w:bottom w:val="single" w:sz="8" w:space="0" w:color="auto"/>
              <w:right w:val="single" w:sz="8" w:space="0" w:color="auto"/>
            </w:tcBorders>
            <w:shd w:val="clear" w:color="auto" w:fill="auto"/>
            <w:vAlign w:val="center"/>
            <w:hideMark/>
          </w:tcPr>
          <w:p w14:paraId="45A89D05"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341" w:type="dxa"/>
            <w:tcBorders>
              <w:top w:val="nil"/>
              <w:left w:val="nil"/>
              <w:bottom w:val="single" w:sz="8" w:space="0" w:color="auto"/>
              <w:right w:val="single" w:sz="12" w:space="0" w:color="auto"/>
            </w:tcBorders>
            <w:shd w:val="clear" w:color="auto" w:fill="auto"/>
            <w:vAlign w:val="center"/>
            <w:hideMark/>
          </w:tcPr>
          <w:p w14:paraId="709C910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-100%</w:t>
            </w:r>
          </w:p>
        </w:tc>
        <w:tc>
          <w:tcPr>
            <w:tcW w:w="1456" w:type="dxa"/>
            <w:tcBorders>
              <w:top w:val="nil"/>
              <w:left w:val="nil"/>
              <w:bottom w:val="single" w:sz="8" w:space="0" w:color="auto"/>
              <w:right w:val="single" w:sz="8" w:space="0" w:color="auto"/>
            </w:tcBorders>
            <w:shd w:val="clear" w:color="auto" w:fill="auto"/>
            <w:vAlign w:val="center"/>
            <w:hideMark/>
          </w:tcPr>
          <w:p w14:paraId="4175571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0</w:t>
            </w:r>
          </w:p>
        </w:tc>
        <w:tc>
          <w:tcPr>
            <w:tcW w:w="1417" w:type="dxa"/>
            <w:tcBorders>
              <w:top w:val="nil"/>
              <w:left w:val="nil"/>
              <w:bottom w:val="single" w:sz="8" w:space="0" w:color="auto"/>
              <w:right w:val="single" w:sz="12" w:space="0" w:color="auto"/>
            </w:tcBorders>
            <w:shd w:val="clear" w:color="auto" w:fill="auto"/>
            <w:vAlign w:val="center"/>
            <w:hideMark/>
          </w:tcPr>
          <w:p w14:paraId="4D9B168C"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11%</w:t>
            </w:r>
          </w:p>
        </w:tc>
      </w:tr>
      <w:tr w:rsidR="00EF390D" w:rsidRPr="002D1C86" w14:paraId="6EB079E8" w14:textId="77777777" w:rsidTr="00290B38">
        <w:trPr>
          <w:trHeight w:val="255"/>
        </w:trPr>
        <w:tc>
          <w:tcPr>
            <w:tcW w:w="3817" w:type="dxa"/>
            <w:tcBorders>
              <w:top w:val="nil"/>
              <w:left w:val="single" w:sz="12" w:space="0" w:color="auto"/>
              <w:bottom w:val="single" w:sz="12" w:space="0" w:color="auto"/>
              <w:right w:val="single" w:sz="8" w:space="0" w:color="auto"/>
            </w:tcBorders>
            <w:shd w:val="clear" w:color="auto" w:fill="auto"/>
            <w:vAlign w:val="center"/>
            <w:hideMark/>
          </w:tcPr>
          <w:p w14:paraId="57476808"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RUB</w:t>
            </w:r>
          </w:p>
        </w:tc>
        <w:tc>
          <w:tcPr>
            <w:tcW w:w="1183" w:type="dxa"/>
            <w:tcBorders>
              <w:top w:val="nil"/>
              <w:left w:val="nil"/>
              <w:bottom w:val="single" w:sz="12" w:space="0" w:color="auto"/>
              <w:right w:val="single" w:sz="8" w:space="0" w:color="auto"/>
            </w:tcBorders>
            <w:shd w:val="clear" w:color="auto" w:fill="auto"/>
            <w:vAlign w:val="center"/>
            <w:hideMark/>
          </w:tcPr>
          <w:p w14:paraId="696ECFB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587</w:t>
            </w:r>
          </w:p>
        </w:tc>
        <w:tc>
          <w:tcPr>
            <w:tcW w:w="1341" w:type="dxa"/>
            <w:tcBorders>
              <w:top w:val="nil"/>
              <w:left w:val="nil"/>
              <w:bottom w:val="single" w:sz="12" w:space="0" w:color="auto"/>
              <w:right w:val="single" w:sz="12" w:space="0" w:color="auto"/>
            </w:tcBorders>
            <w:shd w:val="clear" w:color="auto" w:fill="auto"/>
            <w:vAlign w:val="center"/>
            <w:hideMark/>
          </w:tcPr>
          <w:p w14:paraId="5B23DDB9"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-12%</w:t>
            </w:r>
          </w:p>
        </w:tc>
        <w:tc>
          <w:tcPr>
            <w:tcW w:w="1456" w:type="dxa"/>
            <w:tcBorders>
              <w:top w:val="nil"/>
              <w:left w:val="nil"/>
              <w:bottom w:val="single" w:sz="12" w:space="0" w:color="auto"/>
              <w:right w:val="single" w:sz="8" w:space="0" w:color="auto"/>
            </w:tcBorders>
            <w:shd w:val="clear" w:color="auto" w:fill="auto"/>
            <w:vAlign w:val="center"/>
            <w:hideMark/>
          </w:tcPr>
          <w:p w14:paraId="09FDE32B"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56 715</w:t>
            </w:r>
          </w:p>
        </w:tc>
        <w:tc>
          <w:tcPr>
            <w:tcW w:w="1417" w:type="dxa"/>
            <w:tcBorders>
              <w:top w:val="nil"/>
              <w:left w:val="nil"/>
              <w:bottom w:val="single" w:sz="12" w:space="0" w:color="auto"/>
              <w:right w:val="single" w:sz="12" w:space="0" w:color="auto"/>
            </w:tcBorders>
            <w:shd w:val="clear" w:color="auto" w:fill="auto"/>
            <w:vAlign w:val="center"/>
            <w:hideMark/>
          </w:tcPr>
          <w:p w14:paraId="6C009DBE" w14:textId="77777777" w:rsidR="00EF390D" w:rsidRPr="0002361F" w:rsidRDefault="00EF390D" w:rsidP="00290B38">
            <w:pPr>
              <w:jc w:val="right"/>
              <w:rPr>
                <w:rFonts w:ascii="Times New Roman" w:hAnsi="Times New Roman" w:cs="Times New Roman"/>
                <w:color w:val="000000"/>
              </w:rPr>
            </w:pPr>
            <w:r w:rsidRPr="0002361F">
              <w:rPr>
                <w:rFonts w:ascii="Times New Roman" w:hAnsi="Times New Roman" w:cs="Times New Roman"/>
                <w:color w:val="000000"/>
              </w:rPr>
              <w:t>59%</w:t>
            </w:r>
          </w:p>
        </w:tc>
      </w:tr>
    </w:tbl>
    <w:p w14:paraId="0341AB1A" w14:textId="77777777" w:rsidR="00EF390D" w:rsidRDefault="00EF390D" w:rsidP="00EF390D">
      <w:pPr>
        <w:ind w:firstLine="360"/>
        <w:jc w:val="both"/>
        <w:rPr>
          <w:sz w:val="24"/>
          <w:szCs w:val="24"/>
        </w:rPr>
      </w:pPr>
    </w:p>
    <w:p w14:paraId="60189D2F" w14:textId="77777777" w:rsidR="0073322E" w:rsidRDefault="0073322E" w:rsidP="00EF390D">
      <w:pPr>
        <w:ind w:left="7788"/>
        <w:jc w:val="both"/>
        <w:rPr>
          <w:rFonts w:ascii="Times New Roman" w:hAnsi="Times New Roman" w:cs="Times New Roman"/>
          <w:sz w:val="24"/>
          <w:szCs w:val="24"/>
        </w:rPr>
      </w:pPr>
    </w:p>
    <w:p w14:paraId="6CC92E7D" w14:textId="77777777" w:rsidR="0046503D" w:rsidRDefault="0046503D" w:rsidP="00EF390D">
      <w:pPr>
        <w:ind w:left="7788"/>
        <w:jc w:val="both"/>
        <w:rPr>
          <w:rFonts w:ascii="Times New Roman" w:hAnsi="Times New Roman" w:cs="Times New Roman"/>
          <w:sz w:val="24"/>
          <w:szCs w:val="24"/>
        </w:rPr>
      </w:pPr>
    </w:p>
    <w:p w14:paraId="7D0969F7" w14:textId="77777777" w:rsidR="0046503D" w:rsidRDefault="0046503D" w:rsidP="00EF390D">
      <w:pPr>
        <w:ind w:left="7788"/>
        <w:jc w:val="both"/>
        <w:rPr>
          <w:rFonts w:ascii="Times New Roman" w:hAnsi="Times New Roman" w:cs="Times New Roman"/>
          <w:sz w:val="24"/>
          <w:szCs w:val="24"/>
        </w:rPr>
      </w:pPr>
    </w:p>
    <w:p w14:paraId="6D3332F9" w14:textId="77777777" w:rsidR="0046503D" w:rsidRDefault="0046503D" w:rsidP="00EF390D">
      <w:pPr>
        <w:ind w:left="7788"/>
        <w:jc w:val="both"/>
        <w:rPr>
          <w:rFonts w:ascii="Times New Roman" w:hAnsi="Times New Roman" w:cs="Times New Roman"/>
          <w:sz w:val="24"/>
          <w:szCs w:val="24"/>
        </w:rPr>
      </w:pPr>
    </w:p>
    <w:p w14:paraId="6037593D" w14:textId="77777777" w:rsidR="0046503D" w:rsidRDefault="0046503D" w:rsidP="00EF390D">
      <w:pPr>
        <w:ind w:left="7788"/>
        <w:jc w:val="both"/>
        <w:rPr>
          <w:rFonts w:ascii="Times New Roman" w:hAnsi="Times New Roman" w:cs="Times New Roman"/>
          <w:sz w:val="24"/>
          <w:szCs w:val="24"/>
        </w:rPr>
      </w:pPr>
    </w:p>
    <w:p w14:paraId="466770D2" w14:textId="77777777" w:rsidR="0046503D" w:rsidRDefault="0046503D" w:rsidP="00EF390D">
      <w:pPr>
        <w:ind w:left="7788"/>
        <w:jc w:val="both"/>
        <w:rPr>
          <w:rFonts w:ascii="Times New Roman" w:hAnsi="Times New Roman" w:cs="Times New Roman"/>
          <w:sz w:val="24"/>
          <w:szCs w:val="24"/>
        </w:rPr>
      </w:pPr>
    </w:p>
    <w:p w14:paraId="09600534" w14:textId="77777777" w:rsidR="0046503D" w:rsidRDefault="0046503D" w:rsidP="00EF390D">
      <w:pPr>
        <w:ind w:left="7788"/>
        <w:jc w:val="both"/>
        <w:rPr>
          <w:rFonts w:ascii="Times New Roman" w:hAnsi="Times New Roman" w:cs="Times New Roman"/>
          <w:sz w:val="24"/>
          <w:szCs w:val="24"/>
        </w:rPr>
      </w:pPr>
    </w:p>
    <w:p w14:paraId="43B4585C" w14:textId="77777777" w:rsidR="0046503D" w:rsidRDefault="0046503D" w:rsidP="00EF390D">
      <w:pPr>
        <w:ind w:left="7788"/>
        <w:jc w:val="both"/>
        <w:rPr>
          <w:rFonts w:ascii="Times New Roman" w:hAnsi="Times New Roman" w:cs="Times New Roman"/>
          <w:sz w:val="24"/>
          <w:szCs w:val="24"/>
        </w:rPr>
      </w:pPr>
    </w:p>
    <w:p w14:paraId="78AE8B4C" w14:textId="77777777" w:rsidR="0046503D" w:rsidRDefault="0046503D" w:rsidP="00EF390D">
      <w:pPr>
        <w:ind w:left="7788"/>
        <w:jc w:val="both"/>
        <w:rPr>
          <w:rFonts w:ascii="Times New Roman" w:hAnsi="Times New Roman" w:cs="Times New Roman"/>
          <w:sz w:val="24"/>
          <w:szCs w:val="24"/>
        </w:rPr>
      </w:pPr>
    </w:p>
    <w:p w14:paraId="094DB4A1" w14:textId="77777777" w:rsidR="00EF390D" w:rsidRPr="00B44CAF" w:rsidRDefault="00EF390D" w:rsidP="00EF390D">
      <w:pPr>
        <w:ind w:left="7788"/>
        <w:jc w:val="both"/>
        <w:rPr>
          <w:rFonts w:ascii="Times New Roman" w:hAnsi="Times New Roman" w:cs="Times New Roman"/>
          <w:sz w:val="24"/>
          <w:szCs w:val="24"/>
        </w:rPr>
      </w:pPr>
      <w:r w:rsidRPr="00B44CAF">
        <w:rPr>
          <w:rFonts w:ascii="Times New Roman" w:hAnsi="Times New Roman" w:cs="Times New Roman"/>
          <w:sz w:val="24"/>
          <w:szCs w:val="24"/>
        </w:rPr>
        <w:t>Рисунок 1</w:t>
      </w:r>
    </w:p>
    <w:p w14:paraId="0517301A" w14:textId="77777777" w:rsidR="00EF390D" w:rsidRDefault="00EF390D" w:rsidP="00EF390D">
      <w:pPr>
        <w:ind w:firstLine="360"/>
        <w:jc w:val="both"/>
        <w:rPr>
          <w:sz w:val="24"/>
          <w:szCs w:val="24"/>
        </w:rPr>
      </w:pPr>
      <w:r w:rsidRPr="00044B57">
        <w:rPr>
          <w:noProof/>
          <w:lang w:eastAsia="ru-RU"/>
        </w:rPr>
        <w:drawing>
          <wp:inline distT="0" distB="0" distL="0" distR="0" wp14:anchorId="3261C308" wp14:editId="6B83D50F">
            <wp:extent cx="5582285" cy="3761740"/>
            <wp:effectExtent l="0" t="0" r="18415" b="1016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9D14F9" w14:textId="77777777" w:rsidR="00EF390D" w:rsidRPr="0002361F" w:rsidRDefault="00EF390D" w:rsidP="00EF390D">
      <w:pPr>
        <w:ind w:firstLine="357"/>
        <w:jc w:val="both"/>
        <w:rPr>
          <w:rFonts w:ascii="Times New Roman" w:hAnsi="Times New Roman" w:cs="Times New Roman"/>
          <w:sz w:val="24"/>
          <w:szCs w:val="24"/>
        </w:rPr>
      </w:pPr>
    </w:p>
    <w:p w14:paraId="563A869A" w14:textId="77777777" w:rsidR="00EF390D" w:rsidRPr="0002361F" w:rsidRDefault="00EF390D" w:rsidP="00EA2597">
      <w:pPr>
        <w:spacing w:line="240" w:lineRule="auto"/>
        <w:ind w:firstLine="567"/>
        <w:jc w:val="both"/>
        <w:rPr>
          <w:rFonts w:ascii="Times New Roman" w:hAnsi="Times New Roman" w:cs="Times New Roman"/>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В 2016 году продолжалась работа по повышению эффективности проведения расчетов по итогам торгов на валютном рынке Московской Биржи. Для удобства участников клиринга был открыт дополнительный клиринговый счет в китайских юанях.</w:t>
      </w:r>
      <w:r w:rsidRPr="0002361F">
        <w:rPr>
          <w:rFonts w:ascii="Times New Roman" w:hAnsi="Times New Roman" w:cs="Times New Roman"/>
          <w:sz w:val="24"/>
          <w:szCs w:val="24"/>
        </w:rPr>
        <w:t xml:space="preserve"> </w:t>
      </w:r>
    </w:p>
    <w:p w14:paraId="1E4A9558" w14:textId="77777777" w:rsidR="00EF390D" w:rsidRPr="00EA2597" w:rsidRDefault="00EF390D" w:rsidP="00EA2597">
      <w:pPr>
        <w:spacing w:line="240" w:lineRule="auto"/>
        <w:ind w:firstLine="567"/>
        <w:jc w:val="both"/>
        <w:rPr>
          <w:rFonts w:ascii="Times New Roman" w:hAnsi="Times New Roman" w:cs="Times New Roman"/>
          <w:bCs/>
          <w:sz w:val="24"/>
          <w:szCs w:val="24"/>
        </w:rPr>
      </w:pPr>
      <w:r w:rsidRPr="007801F8">
        <w:rPr>
          <w:rFonts w:ascii="Times New Roman" w:hAnsi="Times New Roman" w:cs="Times New Roman"/>
          <w:bCs/>
          <w:sz w:val="24"/>
          <w:szCs w:val="24"/>
        </w:rPr>
        <w:t xml:space="preserve">В целях развития торгов национальными валютами стран СНГ была продолжена работа по установлению корреспондентских отношений с </w:t>
      </w:r>
      <w:r w:rsidRPr="00EA2597">
        <w:rPr>
          <w:rFonts w:ascii="Times New Roman" w:hAnsi="Times New Roman" w:cs="Times New Roman"/>
          <w:bCs/>
          <w:sz w:val="24"/>
          <w:szCs w:val="24"/>
        </w:rPr>
        <w:t xml:space="preserve">национальными Центральными Банками стран СНГ. В частности, был открыт корреспондентский счет в казахстанских тенге в Национальном Банке Республики Казахстан и начата работа по подключению к национальной платежной системе Республики Казахстан, что в дальнейшем позволит проводить торги казахстанским тенге на валютном рынке Московской Биржи на условиях частичного предварительного обеспечения. </w:t>
      </w:r>
    </w:p>
    <w:p w14:paraId="2E500AD1" w14:textId="0F316BB8" w:rsidR="00EF390D" w:rsidRPr="00EA2597" w:rsidRDefault="00EF390D" w:rsidP="00EA2597">
      <w:pPr>
        <w:spacing w:line="240" w:lineRule="auto"/>
        <w:ind w:firstLine="567"/>
        <w:jc w:val="both"/>
        <w:rPr>
          <w:rFonts w:ascii="Times New Roman" w:hAnsi="Times New Roman" w:cs="Times New Roman"/>
          <w:bCs/>
          <w:sz w:val="24"/>
          <w:szCs w:val="24"/>
        </w:rPr>
      </w:pPr>
      <w:r w:rsidRPr="0002361F">
        <w:rPr>
          <w:rFonts w:ascii="Times New Roman" w:hAnsi="Times New Roman" w:cs="Times New Roman"/>
          <w:sz w:val="24"/>
          <w:szCs w:val="24"/>
        </w:rPr>
        <w:t xml:space="preserve"> </w:t>
      </w:r>
      <w:r w:rsidRPr="007801F8">
        <w:rPr>
          <w:rFonts w:ascii="Times New Roman" w:hAnsi="Times New Roman" w:cs="Times New Roman"/>
          <w:bCs/>
          <w:sz w:val="24"/>
          <w:szCs w:val="24"/>
        </w:rPr>
        <w:t xml:space="preserve">Портфель активов НКЦ сформирован в 2016 году, исходя из прогнозов о постепенном снижении ставок на российском финансовом рынке. Ожидается, что основное движение рынка в этом направлении состоится в </w:t>
      </w:r>
      <w:r w:rsidR="00C94C92" w:rsidRPr="00EA2597">
        <w:rPr>
          <w:rFonts w:ascii="Times New Roman" w:hAnsi="Times New Roman" w:cs="Times New Roman"/>
          <w:bCs/>
          <w:sz w:val="24"/>
          <w:szCs w:val="24"/>
        </w:rPr>
        <w:t xml:space="preserve">2017 </w:t>
      </w:r>
      <w:r w:rsidRPr="00EA2597">
        <w:rPr>
          <w:rFonts w:ascii="Times New Roman" w:hAnsi="Times New Roman" w:cs="Times New Roman"/>
          <w:bCs/>
          <w:sz w:val="24"/>
          <w:szCs w:val="24"/>
        </w:rPr>
        <w:t>году, и актуальной станет задача построения стратегии формирования активов при низком уровне рублевых ставок, при сохранении не критичных уровн</w:t>
      </w:r>
      <w:r w:rsidR="0046503D">
        <w:rPr>
          <w:rFonts w:ascii="Times New Roman" w:hAnsi="Times New Roman" w:cs="Times New Roman"/>
          <w:bCs/>
          <w:sz w:val="24"/>
          <w:szCs w:val="24"/>
        </w:rPr>
        <w:t>ей</w:t>
      </w:r>
      <w:r w:rsidRPr="00EA2597">
        <w:rPr>
          <w:rFonts w:ascii="Times New Roman" w:hAnsi="Times New Roman" w:cs="Times New Roman"/>
          <w:bCs/>
          <w:sz w:val="24"/>
          <w:szCs w:val="24"/>
        </w:rPr>
        <w:t xml:space="preserve"> кредитного, процентного рисков и риска ликвидности.</w:t>
      </w:r>
    </w:p>
    <w:p w14:paraId="4FBBB018" w14:textId="77777777" w:rsidR="00EF390D" w:rsidRDefault="00EF390D" w:rsidP="00B44CAF">
      <w:pPr>
        <w:spacing w:line="240" w:lineRule="auto"/>
      </w:pPr>
    </w:p>
    <w:p w14:paraId="6E5F5D16" w14:textId="77777777" w:rsidR="002602D9" w:rsidRDefault="002602D9" w:rsidP="002602D9">
      <w:pPr>
        <w:jc w:val="center"/>
        <w:rPr>
          <w:rFonts w:ascii="Times New Roman" w:eastAsia="Times New Roman" w:hAnsi="Times New Roman" w:cs="Times New Roman"/>
          <w:b/>
          <w:sz w:val="28"/>
          <w:szCs w:val="28"/>
          <w:lang w:eastAsia="ru-RU"/>
        </w:rPr>
      </w:pPr>
      <w:r w:rsidRPr="00B10EF7">
        <w:rPr>
          <w:rFonts w:ascii="Times New Roman" w:eastAsia="Times New Roman" w:hAnsi="Times New Roman" w:cs="Times New Roman"/>
          <w:b/>
          <w:sz w:val="28"/>
          <w:szCs w:val="28"/>
          <w:lang w:eastAsia="ru-RU"/>
        </w:rPr>
        <w:lastRenderedPageBreak/>
        <w:t>7. Управление рисками, включая меры по поддержанию качества управления НКЦ как ЦК</w:t>
      </w:r>
    </w:p>
    <w:p w14:paraId="5B83030F" w14:textId="77777777" w:rsidR="002602D9" w:rsidRPr="00C11834" w:rsidRDefault="002602D9" w:rsidP="00441380">
      <w:pPr>
        <w:pStyle w:val="1"/>
        <w:numPr>
          <w:ilvl w:val="0"/>
          <w:numId w:val="65"/>
        </w:numPr>
        <w:jc w:val="center"/>
        <w:rPr>
          <w:rFonts w:ascii="Times New Roman" w:eastAsia="Calibri" w:hAnsi="Times New Roman" w:cs="Times New Roman"/>
          <w:b/>
          <w:color w:val="auto"/>
          <w:sz w:val="24"/>
        </w:rPr>
      </w:pPr>
      <w:r w:rsidRPr="00C11834">
        <w:rPr>
          <w:rFonts w:ascii="Times New Roman" w:eastAsia="Calibri" w:hAnsi="Times New Roman" w:cs="Times New Roman"/>
          <w:b/>
          <w:color w:val="auto"/>
          <w:sz w:val="24"/>
        </w:rPr>
        <w:t>Соответствие системы управления рисками требованиям регулятора и международным стандартам</w:t>
      </w:r>
    </w:p>
    <w:p w14:paraId="4C195035" w14:textId="77777777" w:rsidR="002602D9" w:rsidRPr="00341240" w:rsidRDefault="002602D9" w:rsidP="002602D9">
      <w:pPr>
        <w:spacing w:after="0"/>
        <w:jc w:val="center"/>
        <w:rPr>
          <w:rFonts w:ascii="Times New Roman" w:eastAsia="Calibri" w:hAnsi="Times New Roman" w:cs="Times New Roman"/>
          <w:b/>
          <w:sz w:val="24"/>
          <w:szCs w:val="24"/>
        </w:rPr>
      </w:pPr>
    </w:p>
    <w:p w14:paraId="0226E177" w14:textId="77777777" w:rsidR="002602D9" w:rsidRPr="00341240" w:rsidRDefault="00F70539" w:rsidP="00EA2597">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НКЦ, выполняя функции клиринговой организации, центрального контрагента и оператора товарных поставок на рынках Группы «Московская Биржа», использует в своей деятельности современную, отвечающую международным стандартам систему управления рисками (СУР).</w:t>
      </w:r>
      <w:r w:rsidR="002602D9" w:rsidRPr="00341240">
        <w:rPr>
          <w:rFonts w:ascii="Times New Roman" w:eastAsia="Calibri" w:hAnsi="Times New Roman" w:cs="Times New Roman"/>
          <w:sz w:val="24"/>
          <w:szCs w:val="24"/>
        </w:rPr>
        <w:t xml:space="preserve"> </w:t>
      </w:r>
    </w:p>
    <w:p w14:paraId="4260736D" w14:textId="0D2EB1AF" w:rsidR="002602D9" w:rsidRPr="00EA2597" w:rsidRDefault="00F70539" w:rsidP="00026B7E">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rPr>
        <w:t xml:space="preserve">           </w:t>
      </w:r>
      <w:r w:rsidR="002602D9" w:rsidRPr="00EA2597">
        <w:rPr>
          <w:rFonts w:ascii="Times New Roman" w:hAnsi="Times New Roman" w:cs="Times New Roman"/>
          <w:bCs/>
          <w:sz w:val="24"/>
          <w:szCs w:val="24"/>
        </w:rPr>
        <w:t>Исходя из функций и задач, НКЦ имеет специфическую структуру рисков, которая состоит из следующих взаимосвязанных групп:</w:t>
      </w:r>
    </w:p>
    <w:p w14:paraId="0938FB50"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риски, присущие НКЦ как центральному контрагенту и клиринговой организации;</w:t>
      </w:r>
    </w:p>
    <w:p w14:paraId="6A0DCFF3"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риски банковской деятельности;</w:t>
      </w:r>
    </w:p>
    <w:p w14:paraId="2EEF9DB5"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 xml:space="preserve">риски ОТП. </w:t>
      </w:r>
    </w:p>
    <w:p w14:paraId="3981E8F8" w14:textId="77777777" w:rsidR="002602D9" w:rsidRPr="00341240" w:rsidRDefault="002602D9" w:rsidP="002602D9">
      <w:pPr>
        <w:spacing w:after="0"/>
        <w:ind w:firstLine="567"/>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Система управления рисками НКЦ охватывает следующий перечень рисков:</w:t>
      </w:r>
    </w:p>
    <w:p w14:paraId="47D33F1F"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риск центрального контрагента (кредитный риск ЦК);</w:t>
      </w:r>
    </w:p>
    <w:p w14:paraId="0E29579D"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кредитный риск;</w:t>
      </w:r>
    </w:p>
    <w:p w14:paraId="6312E339" w14:textId="77777777" w:rsidR="002602D9"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рыночный риск;</w:t>
      </w:r>
    </w:p>
    <w:p w14:paraId="66A3DC98"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процентный риск банковского портфеля;</w:t>
      </w:r>
    </w:p>
    <w:p w14:paraId="375299B9"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риск ликвидности;</w:t>
      </w:r>
    </w:p>
    <w:p w14:paraId="76E01443"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операционный риск;</w:t>
      </w:r>
    </w:p>
    <w:p w14:paraId="0D76482D" w14:textId="77777777" w:rsidR="00FB074F"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стратегический риск;</w:t>
      </w:r>
    </w:p>
    <w:p w14:paraId="0DBBA750"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правовой риск;</w:t>
      </w:r>
    </w:p>
    <w:p w14:paraId="730E6E0B"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регуляторный риск;</w:t>
      </w:r>
    </w:p>
    <w:p w14:paraId="0BA08EDD" w14:textId="77777777" w:rsidR="002602D9"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риск потери деловой репутации</w:t>
      </w:r>
      <w:r>
        <w:rPr>
          <w:rFonts w:ascii="Times New Roman" w:eastAsia="Calibri" w:hAnsi="Times New Roman" w:cs="Times New Roman"/>
          <w:sz w:val="24"/>
          <w:szCs w:val="24"/>
        </w:rPr>
        <w:t>;</w:t>
      </w:r>
    </w:p>
    <w:p w14:paraId="2995794C" w14:textId="77777777" w:rsidR="002602D9" w:rsidRPr="00341240"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кастодиальный риск;</w:t>
      </w:r>
    </w:p>
    <w:p w14:paraId="665B173F" w14:textId="77777777" w:rsidR="002602D9" w:rsidRPr="00FD55ED" w:rsidRDefault="002602D9" w:rsidP="00441380">
      <w:pPr>
        <w:numPr>
          <w:ilvl w:val="0"/>
          <w:numId w:val="30"/>
        </w:numPr>
        <w:spacing w:after="0"/>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коммерческий риск;</w:t>
      </w:r>
    </w:p>
    <w:p w14:paraId="4F97C665" w14:textId="77777777" w:rsidR="002602D9" w:rsidRPr="00FD55ED" w:rsidRDefault="002602D9" w:rsidP="00441380">
      <w:pPr>
        <w:numPr>
          <w:ilvl w:val="0"/>
          <w:numId w:val="3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системный риск</w:t>
      </w:r>
      <w:r w:rsidRPr="00FD55ED">
        <w:rPr>
          <w:rFonts w:ascii="Times New Roman" w:eastAsia="Calibri" w:hAnsi="Times New Roman" w:cs="Times New Roman"/>
          <w:sz w:val="24"/>
          <w:szCs w:val="24"/>
        </w:rPr>
        <w:t>.</w:t>
      </w:r>
    </w:p>
    <w:p w14:paraId="0CA2E9DC" w14:textId="77777777" w:rsidR="00B44CAF" w:rsidRDefault="00B44CAF" w:rsidP="002602D9">
      <w:pPr>
        <w:spacing w:after="0" w:line="240" w:lineRule="auto"/>
        <w:ind w:firstLine="567"/>
        <w:jc w:val="both"/>
        <w:rPr>
          <w:rFonts w:ascii="Times New Roman" w:eastAsia="Calibri" w:hAnsi="Times New Roman" w:cs="Times New Roman"/>
          <w:sz w:val="24"/>
          <w:szCs w:val="24"/>
        </w:rPr>
      </w:pPr>
    </w:p>
    <w:p w14:paraId="60F2563E"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К ключевым задачам НКЦ относится снижение рисков финансовой системы и обеспечение стабильности на обслуживаемых сегментах финансового и товарного рынков. Достижению этой цели способствует созданная система управления рисками, в рамках которой НКЦ проводит комплексный анализ рисков, возникающих при осуществлении всех видов деятельности.</w:t>
      </w:r>
    </w:p>
    <w:p w14:paraId="6CFF3E6E" w14:textId="536336E7" w:rsidR="002602D9" w:rsidRDefault="00B44CAF" w:rsidP="00026B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0539">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В целях обеспечения надежности своей деятельности НКЦ использует подходы к управлению рисками, предусмотренные требованиями Банка России, рекомендациями Базельского комитета по банковскому надзору, а также международными стандартами Комитета по расчетным и платежным системам Банка Международных расчетов и Технического комитета Международной организации комиссий по ценным бумагам (CPMI-IOSCO) для системно значимых инфраструктурных организаций.</w:t>
      </w:r>
      <w:r w:rsidR="00C94C92" w:rsidRPr="00EA2597">
        <w:rPr>
          <w:rFonts w:ascii="Times New Roman" w:hAnsi="Times New Roman" w:cs="Times New Roman"/>
          <w:bCs/>
          <w:sz w:val="24"/>
          <w:szCs w:val="24"/>
        </w:rPr>
        <w:t xml:space="preserve"> </w:t>
      </w:r>
      <w:r w:rsidR="002602D9" w:rsidRPr="00EA2597">
        <w:rPr>
          <w:rFonts w:ascii="Times New Roman" w:hAnsi="Times New Roman" w:cs="Times New Roman"/>
          <w:bCs/>
          <w:sz w:val="24"/>
          <w:szCs w:val="24"/>
        </w:rPr>
        <w:t>В отчетном году деятельность НКЦ в сфере совершенствования системы управления рисками была направлена на соблюдение требований Указания Банка России от 2 декабря 2012 г. № 2919-У «Об оценке качества управления кредитной организации, осуществляющей функции центрального контрагента» (далее – Указание № 2919-У).</w:t>
      </w:r>
      <w:r w:rsidR="002602D9" w:rsidRPr="00120A79">
        <w:rPr>
          <w:rFonts w:ascii="Times New Roman" w:eastAsia="Calibri" w:hAnsi="Times New Roman" w:cs="Times New Roman"/>
          <w:sz w:val="24"/>
          <w:szCs w:val="24"/>
        </w:rPr>
        <w:t xml:space="preserve"> </w:t>
      </w:r>
    </w:p>
    <w:p w14:paraId="170AED69" w14:textId="77777777" w:rsidR="00F70539" w:rsidRDefault="00F70539" w:rsidP="002602D9">
      <w:pPr>
        <w:spacing w:after="0" w:line="240" w:lineRule="auto"/>
        <w:ind w:firstLine="567"/>
        <w:jc w:val="both"/>
        <w:rPr>
          <w:rFonts w:ascii="Times New Roman" w:eastAsia="Calibri" w:hAnsi="Times New Roman" w:cs="Times New Roman"/>
          <w:sz w:val="24"/>
          <w:szCs w:val="24"/>
        </w:rPr>
      </w:pPr>
    </w:p>
    <w:p w14:paraId="19429AE8" w14:textId="77777777" w:rsidR="002602D9" w:rsidRPr="00EA2597" w:rsidRDefault="00B44CAF"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Pr>
          <w:rFonts w:ascii="Times New Roman" w:eastAsia="Calibri" w:hAnsi="Times New Roman" w:cs="Times New Roman"/>
          <w:sz w:val="24"/>
          <w:szCs w:val="24"/>
        </w:rPr>
        <w:t xml:space="preserve"> </w:t>
      </w:r>
      <w:r w:rsidR="00F70539">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В 2016 году НКЦ вносился р</w:t>
      </w:r>
      <w:r w:rsidR="00F17146">
        <w:rPr>
          <w:rFonts w:ascii="Times New Roman" w:hAnsi="Times New Roman" w:cs="Times New Roman"/>
          <w:bCs/>
          <w:sz w:val="24"/>
          <w:szCs w:val="24"/>
        </w:rPr>
        <w:t>я</w:t>
      </w:r>
      <w:r w:rsidR="002602D9" w:rsidRPr="00EA2597">
        <w:rPr>
          <w:rFonts w:ascii="Times New Roman" w:hAnsi="Times New Roman" w:cs="Times New Roman"/>
          <w:bCs/>
          <w:sz w:val="24"/>
          <w:szCs w:val="24"/>
        </w:rPr>
        <w:t>д изменений во внутренние документы, регламентирующие управление рисками ЦК. Данные изменения связаны с плановым пересмотром документов, разработанных во исполнение требований Банка России в части внедрения внутренних процедур оценки достаточности капитала кредитной организации (Указание Банка России № 3624-У «О требованиях к системе управления рисками и капиталом кредитной организации и банковской группы»), а также в части совершенствования системы управления рисками клиринговой организации, центрального контрагента и оператора товарных поставок. В частности, в рамках ежегодного планового пересмотра были внесены изменения в следующие документы:</w:t>
      </w:r>
    </w:p>
    <w:p w14:paraId="2B3D6DE1" w14:textId="77777777" w:rsidR="002602D9" w:rsidRPr="00341240" w:rsidRDefault="002602D9" w:rsidP="00441380">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41240">
        <w:rPr>
          <w:rFonts w:ascii="Times New Roman" w:eastAsia="Calibri" w:hAnsi="Times New Roman" w:cs="Times New Roman"/>
          <w:sz w:val="24"/>
          <w:szCs w:val="24"/>
        </w:rPr>
        <w:t>тратегия управления рисками и капитал</w:t>
      </w:r>
      <w:r>
        <w:rPr>
          <w:rFonts w:ascii="Times New Roman" w:eastAsia="Calibri" w:hAnsi="Times New Roman" w:cs="Times New Roman"/>
          <w:sz w:val="24"/>
          <w:szCs w:val="24"/>
        </w:rPr>
        <w:t xml:space="preserve">ом, в </w:t>
      </w:r>
      <w:r w:rsidRPr="00CD7DB1">
        <w:rPr>
          <w:rFonts w:ascii="Times New Roman" w:eastAsia="Calibri" w:hAnsi="Times New Roman" w:cs="Times New Roman"/>
          <w:sz w:val="24"/>
          <w:szCs w:val="24"/>
        </w:rPr>
        <w:t xml:space="preserve">новой редакции </w:t>
      </w:r>
      <w:r>
        <w:rPr>
          <w:rFonts w:ascii="Times New Roman" w:eastAsia="Calibri" w:hAnsi="Times New Roman" w:cs="Times New Roman"/>
          <w:sz w:val="24"/>
          <w:szCs w:val="24"/>
        </w:rPr>
        <w:t xml:space="preserve">которой </w:t>
      </w:r>
      <w:r w:rsidRPr="00CD7DB1">
        <w:rPr>
          <w:rFonts w:ascii="Times New Roman" w:eastAsia="Calibri" w:hAnsi="Times New Roman" w:cs="Times New Roman"/>
          <w:sz w:val="24"/>
          <w:szCs w:val="24"/>
        </w:rPr>
        <w:t>обновлены результаты идентификации наиболее значимых рисков и представлен обновленный набор контрольных показателей риск-аппетита на 2017 год</w:t>
      </w:r>
      <w:r w:rsidRPr="00120A79">
        <w:rPr>
          <w:rFonts w:ascii="Times New Roman" w:eastAsia="Calibri" w:hAnsi="Times New Roman" w:cs="Times New Roman"/>
          <w:sz w:val="24"/>
          <w:szCs w:val="24"/>
        </w:rPr>
        <w:t>;</w:t>
      </w:r>
    </w:p>
    <w:p w14:paraId="6EAD2208" w14:textId="77777777" w:rsidR="002602D9" w:rsidRPr="00341240" w:rsidRDefault="002602D9" w:rsidP="00441380">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341240">
        <w:rPr>
          <w:rFonts w:ascii="Times New Roman" w:eastAsia="Calibri" w:hAnsi="Times New Roman" w:cs="Times New Roman"/>
          <w:sz w:val="24"/>
          <w:szCs w:val="24"/>
        </w:rPr>
        <w:t>онтрольные показатели риск-аппетита Банка на 201</w:t>
      </w:r>
      <w:r>
        <w:rPr>
          <w:rFonts w:ascii="Times New Roman" w:eastAsia="Calibri" w:hAnsi="Times New Roman" w:cs="Times New Roman"/>
          <w:sz w:val="24"/>
          <w:szCs w:val="24"/>
        </w:rPr>
        <w:t>7</w:t>
      </w:r>
      <w:r w:rsidRPr="00341240">
        <w:rPr>
          <w:rFonts w:ascii="Times New Roman" w:eastAsia="Calibri" w:hAnsi="Times New Roman" w:cs="Times New Roman"/>
          <w:sz w:val="24"/>
          <w:szCs w:val="24"/>
        </w:rPr>
        <w:t xml:space="preserve"> год, установившие пороговые значения количественных и качественных показателей уровня значимых рисков на предстоящий год для целей последующего ежеквартального мониторинга;</w:t>
      </w:r>
    </w:p>
    <w:p w14:paraId="02FF902F" w14:textId="77777777" w:rsidR="002602D9" w:rsidRDefault="002602D9" w:rsidP="00441380">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FA38AF">
        <w:rPr>
          <w:rFonts w:ascii="Times New Roman" w:eastAsia="Calibri" w:hAnsi="Times New Roman" w:cs="Times New Roman"/>
          <w:sz w:val="24"/>
          <w:szCs w:val="24"/>
        </w:rPr>
        <w:t>етодика оценки экономического капитала Банка, содержащая описание подходов, используемых НКЦ для оценки требований к капиталу на покрытие наиболее значимы</w:t>
      </w:r>
      <w:r w:rsidRPr="0022265B">
        <w:rPr>
          <w:rFonts w:ascii="Times New Roman" w:eastAsia="Calibri" w:hAnsi="Times New Roman" w:cs="Times New Roman"/>
          <w:sz w:val="24"/>
          <w:szCs w:val="24"/>
        </w:rPr>
        <w:t>х рисков как на индивидуальном, так и на агрегированном уровне</w:t>
      </w:r>
      <w:r>
        <w:rPr>
          <w:rFonts w:ascii="Times New Roman" w:eastAsia="Calibri" w:hAnsi="Times New Roman" w:cs="Times New Roman"/>
          <w:sz w:val="24"/>
          <w:szCs w:val="24"/>
        </w:rPr>
        <w:t xml:space="preserve">. </w:t>
      </w:r>
      <w:r w:rsidRPr="00FA38AF">
        <w:rPr>
          <w:rFonts w:ascii="Times New Roman" w:eastAsia="Calibri" w:hAnsi="Times New Roman" w:cs="Times New Roman"/>
          <w:sz w:val="24"/>
          <w:szCs w:val="24"/>
        </w:rPr>
        <w:t xml:space="preserve">В новой редакции </w:t>
      </w:r>
      <w:r>
        <w:rPr>
          <w:rFonts w:ascii="Times New Roman" w:eastAsia="Calibri" w:hAnsi="Times New Roman" w:cs="Times New Roman"/>
          <w:sz w:val="24"/>
          <w:szCs w:val="24"/>
        </w:rPr>
        <w:t>М</w:t>
      </w:r>
      <w:r w:rsidRPr="00FA38AF">
        <w:rPr>
          <w:rFonts w:ascii="Times New Roman" w:eastAsia="Calibri" w:hAnsi="Times New Roman" w:cs="Times New Roman"/>
          <w:sz w:val="24"/>
          <w:szCs w:val="24"/>
        </w:rPr>
        <w:t xml:space="preserve">етодики </w:t>
      </w:r>
      <w:r>
        <w:rPr>
          <w:rFonts w:ascii="Times New Roman" w:eastAsia="Calibri" w:hAnsi="Times New Roman" w:cs="Times New Roman"/>
          <w:sz w:val="24"/>
          <w:szCs w:val="24"/>
        </w:rPr>
        <w:t xml:space="preserve">оценки экономического капитала </w:t>
      </w:r>
      <w:r w:rsidRPr="00FA38AF">
        <w:rPr>
          <w:rFonts w:ascii="Times New Roman" w:eastAsia="Calibri" w:hAnsi="Times New Roman" w:cs="Times New Roman"/>
          <w:sz w:val="24"/>
          <w:szCs w:val="24"/>
        </w:rPr>
        <w:t xml:space="preserve">обновлен порядок расчета требования к капиталу на покрытие рыночного риска и описан порядок расчета буфера к капиталу на покрытие возможных потерь в условиях стресса по кредитному, рыночному и операционному </w:t>
      </w:r>
      <w:r w:rsidRPr="00571E84">
        <w:rPr>
          <w:rFonts w:ascii="Times New Roman" w:eastAsia="Calibri" w:hAnsi="Times New Roman" w:cs="Times New Roman"/>
          <w:sz w:val="24"/>
          <w:szCs w:val="24"/>
        </w:rPr>
        <w:t>рискам</w:t>
      </w:r>
      <w:r>
        <w:rPr>
          <w:rFonts w:ascii="Times New Roman" w:eastAsia="Calibri" w:hAnsi="Times New Roman" w:cs="Times New Roman"/>
          <w:sz w:val="24"/>
          <w:szCs w:val="24"/>
        </w:rPr>
        <w:t>.</w:t>
      </w:r>
    </w:p>
    <w:p w14:paraId="214B178B"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58D2F960"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Совершенствование методологической базы процессов, связанных с управлением рисками и капиталом, остается одним из наиболее важных элементов деятельности НКЦ.</w:t>
      </w:r>
    </w:p>
    <w:p w14:paraId="30B5CC77" w14:textId="77777777" w:rsidR="002602D9" w:rsidRPr="00C11834" w:rsidRDefault="002602D9" w:rsidP="00441380">
      <w:pPr>
        <w:pStyle w:val="1"/>
        <w:numPr>
          <w:ilvl w:val="0"/>
          <w:numId w:val="65"/>
        </w:numPr>
        <w:jc w:val="center"/>
        <w:rPr>
          <w:rFonts w:ascii="Times New Roman" w:eastAsia="Calibri" w:hAnsi="Times New Roman" w:cs="Times New Roman"/>
          <w:b/>
          <w:color w:val="auto"/>
          <w:sz w:val="24"/>
        </w:rPr>
      </w:pPr>
      <w:r w:rsidRPr="00C11834">
        <w:rPr>
          <w:rFonts w:ascii="Times New Roman" w:eastAsia="Calibri" w:hAnsi="Times New Roman" w:cs="Times New Roman"/>
          <w:b/>
          <w:color w:val="auto"/>
          <w:sz w:val="24"/>
        </w:rPr>
        <w:t>Управление рисками клиринговой организации и центрального контрагента</w:t>
      </w:r>
    </w:p>
    <w:p w14:paraId="4971BCFC"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Развитие системы риск-менеджмента НКЦ в 2016 году было ориентировано в первую очередь на обеспечение финансовой устойчивости и надежности Банка как клиринговой организаций и центрального контрагента и осуществлялось по следующим основным направлениям:</w:t>
      </w:r>
    </w:p>
    <w:p w14:paraId="2B6BDB87" w14:textId="77777777" w:rsidR="002602D9" w:rsidRPr="00341240" w:rsidRDefault="002602D9" w:rsidP="00441380">
      <w:pPr>
        <w:numPr>
          <w:ilvl w:val="0"/>
          <w:numId w:val="27"/>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обеспечение достаточности финансовых ресурсов для расчетов в нормальных рыночных условиях и в условиях экстремальной рыночной конъюнктуры;</w:t>
      </w:r>
    </w:p>
    <w:p w14:paraId="63D1848F" w14:textId="77777777" w:rsidR="002602D9" w:rsidRPr="00341240" w:rsidRDefault="002602D9" w:rsidP="00441380">
      <w:pPr>
        <w:numPr>
          <w:ilvl w:val="0"/>
          <w:numId w:val="27"/>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создание механизмов защиты от потенциальных убытков в случае дефолта участников клиринга;</w:t>
      </w:r>
    </w:p>
    <w:p w14:paraId="77D75CD4" w14:textId="77777777" w:rsidR="002602D9" w:rsidRPr="00341240" w:rsidRDefault="002602D9" w:rsidP="00441380">
      <w:pPr>
        <w:numPr>
          <w:ilvl w:val="0"/>
          <w:numId w:val="27"/>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 xml:space="preserve">совершенствование методологии оценки рисков, необходимой для предоставления НКЦ новых клиринговых продуктов </w:t>
      </w:r>
      <w:r w:rsidRPr="00FA0207">
        <w:rPr>
          <w:rFonts w:ascii="Times New Roman" w:eastAsia="Calibri" w:hAnsi="Times New Roman" w:cs="Times New Roman"/>
          <w:sz w:val="24"/>
          <w:szCs w:val="24"/>
        </w:rPr>
        <w:t>и расширения списка</w:t>
      </w:r>
      <w:r w:rsidRPr="00341240">
        <w:rPr>
          <w:rFonts w:ascii="Times New Roman" w:eastAsia="Calibri" w:hAnsi="Times New Roman" w:cs="Times New Roman"/>
          <w:sz w:val="24"/>
          <w:szCs w:val="24"/>
        </w:rPr>
        <w:t xml:space="preserve"> инструментов, по которым осуществляется клиринг;</w:t>
      </w:r>
    </w:p>
    <w:p w14:paraId="1C112D06" w14:textId="77777777" w:rsidR="002602D9" w:rsidRPr="00341240" w:rsidRDefault="002602D9" w:rsidP="00441380">
      <w:pPr>
        <w:numPr>
          <w:ilvl w:val="0"/>
          <w:numId w:val="27"/>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реализация мер по поддержанию соответствия текущей деятельности НКЦ требованиям Банка России для центральных контрагентов, качество управления которых признано «удовлетворительным» в соответствии с требованиями Указания № 2919-У;</w:t>
      </w:r>
    </w:p>
    <w:p w14:paraId="59F90A55" w14:textId="77777777" w:rsidR="002602D9" w:rsidRPr="00341240" w:rsidRDefault="002602D9" w:rsidP="00441380">
      <w:pPr>
        <w:numPr>
          <w:ilvl w:val="0"/>
          <w:numId w:val="27"/>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обеспечение информационной прозрачности, позволяющей участникам клиринга адекватно оценивать риски, а органам надзора осуществлять эффективное регулирование их деятельности.</w:t>
      </w:r>
    </w:p>
    <w:p w14:paraId="420E3FD6" w14:textId="77777777" w:rsidR="002602D9" w:rsidRPr="00341240" w:rsidRDefault="002602D9" w:rsidP="002602D9">
      <w:pPr>
        <w:spacing w:after="0"/>
        <w:jc w:val="center"/>
        <w:rPr>
          <w:rFonts w:ascii="Times New Roman" w:eastAsia="Calibri" w:hAnsi="Times New Roman" w:cs="Times New Roman"/>
          <w:b/>
          <w:sz w:val="24"/>
          <w:szCs w:val="24"/>
        </w:rPr>
      </w:pPr>
    </w:p>
    <w:p w14:paraId="37B3D03B" w14:textId="77777777" w:rsidR="002602D9" w:rsidRPr="00C11834" w:rsidRDefault="002602D9" w:rsidP="002602D9">
      <w:pPr>
        <w:pStyle w:val="2"/>
        <w:jc w:val="center"/>
        <w:rPr>
          <w:rFonts w:ascii="Times New Roman" w:eastAsia="Calibri" w:hAnsi="Times New Roman" w:cs="Times New Roman"/>
          <w:b/>
          <w:i/>
          <w:color w:val="auto"/>
          <w:sz w:val="24"/>
        </w:rPr>
      </w:pPr>
      <w:r w:rsidRPr="00C11834">
        <w:rPr>
          <w:rFonts w:ascii="Times New Roman" w:eastAsia="Calibri" w:hAnsi="Times New Roman" w:cs="Times New Roman"/>
          <w:b/>
          <w:i/>
          <w:color w:val="auto"/>
          <w:sz w:val="24"/>
        </w:rPr>
        <w:t>Система маржирования сделок участников клиринга</w:t>
      </w:r>
    </w:p>
    <w:p w14:paraId="084838F6" w14:textId="77777777" w:rsidR="002602D9" w:rsidRPr="00341240" w:rsidRDefault="002602D9" w:rsidP="002602D9">
      <w:pPr>
        <w:spacing w:after="0"/>
        <w:jc w:val="center"/>
        <w:rPr>
          <w:rFonts w:ascii="Times New Roman" w:eastAsia="Calibri" w:hAnsi="Times New Roman" w:cs="Times New Roman"/>
          <w:b/>
          <w:i/>
          <w:sz w:val="24"/>
          <w:szCs w:val="24"/>
        </w:rPr>
      </w:pPr>
    </w:p>
    <w:p w14:paraId="55BDDA75"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lastRenderedPageBreak/>
        <w:t xml:space="preserve">     </w:t>
      </w:r>
      <w:r w:rsidR="002602D9" w:rsidRPr="00EA2597">
        <w:rPr>
          <w:rFonts w:ascii="Times New Roman" w:hAnsi="Times New Roman" w:cs="Times New Roman"/>
          <w:bCs/>
          <w:sz w:val="24"/>
          <w:szCs w:val="24"/>
        </w:rPr>
        <w:t xml:space="preserve">В НКЦ используются различные модели для определения требований к размеру обеспечения в зависимости от конкретного рынка. Модель определения требований к размеру обеспечения учитывает особенности инструментов и, соответственно, применяется с небольшими различиями, принимающими во внимание особенности каждого из них. </w:t>
      </w:r>
    </w:p>
    <w:p w14:paraId="19306B77"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На валютном, рынке ценных бумаг и товарном рынке в силу линейности инструментов относительно риск-факторов используется упрощенный подход, рассматривающий 2 сценария для каждого инструмента (рост и падение), учитывающий при этом также размер позиции с помощью лимитов концентрации. </w:t>
      </w:r>
    </w:p>
    <w:p w14:paraId="576FA810"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На срочном рынке набор сценариев выбирается с учетом возможного присутствия в позиции нелинейных инструментов. Таким образом, набор сценариев по спот-рискам расширяется до 23-х и дополнительно учитываются сценарии возможного изменения подразумеваемой волатильности. </w:t>
      </w:r>
    </w:p>
    <w:p w14:paraId="248277E3" w14:textId="09BE5AAD"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На рынке </w:t>
      </w:r>
      <w:r w:rsidR="00026B7E">
        <w:rPr>
          <w:rFonts w:ascii="Times New Roman" w:hAnsi="Times New Roman" w:cs="Times New Roman"/>
          <w:bCs/>
          <w:sz w:val="24"/>
          <w:szCs w:val="24"/>
        </w:rPr>
        <w:t>с</w:t>
      </w:r>
      <w:r w:rsidR="002602D9" w:rsidRPr="00EA2597">
        <w:rPr>
          <w:rFonts w:ascii="Times New Roman" w:hAnsi="Times New Roman" w:cs="Times New Roman"/>
          <w:bCs/>
          <w:sz w:val="24"/>
          <w:szCs w:val="24"/>
        </w:rPr>
        <w:t xml:space="preserve">тандартизированных ПФИ применяются также сценарии движения кривых процентных ставок/кривой подразумеваемой волатильности, определенные с помощью метода главных компонент (shift – twist – butterfly). </w:t>
      </w:r>
    </w:p>
    <w:p w14:paraId="34C81DBC"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Сценарии, используемые в моделях маржирования, калибруются на исторических данных, а также с учетом потенциальных сценариев движения цен активов, еще не отраженных в исторических данных, таким образом, чтобы обеспечить на всех рынках доверительную вероятность требуемого размера обеспечения не менее 99%. </w:t>
      </w:r>
    </w:p>
    <w:p w14:paraId="7C297ECC" w14:textId="77777777" w:rsidR="002602D9" w:rsidRPr="00341240" w:rsidRDefault="00F70539" w:rsidP="00EA2597">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В зависимости от конкретного рынка отличаются также типы активов, принимаемых в обеспечение:</w:t>
      </w:r>
    </w:p>
    <w:p w14:paraId="5EF25F94" w14:textId="77777777" w:rsidR="002602D9" w:rsidRPr="00341240" w:rsidRDefault="002602D9" w:rsidP="002602D9">
      <w:pPr>
        <w:spacing w:before="120" w:after="0" w:line="240" w:lineRule="auto"/>
        <w:ind w:left="-567" w:firstLine="567"/>
        <w:jc w:val="both"/>
        <w:rPr>
          <w:rFonts w:ascii="Times New Roman" w:eastAsia="Calibri" w:hAnsi="Times New Roman" w:cs="Times New Roman"/>
          <w:sz w:val="24"/>
          <w:szCs w:val="24"/>
        </w:rPr>
      </w:pPr>
      <w:r w:rsidRPr="00341240">
        <w:rPr>
          <w:rFonts w:ascii="Times New Roman" w:eastAsia="Calibri" w:hAnsi="Times New Roman" w:cs="Times New Roman"/>
          <w:noProof/>
          <w:lang w:eastAsia="ru-RU"/>
        </w:rPr>
        <w:drawing>
          <wp:inline distT="0" distB="0" distL="0" distR="0" wp14:anchorId="3B918168" wp14:editId="581E4E6B">
            <wp:extent cx="6193790" cy="199263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3790" cy="1992630"/>
                    </a:xfrm>
                    <a:prstGeom prst="rect">
                      <a:avLst/>
                    </a:prstGeom>
                    <a:noFill/>
                    <a:ln>
                      <a:noFill/>
                    </a:ln>
                  </pic:spPr>
                </pic:pic>
              </a:graphicData>
            </a:graphic>
          </wp:inline>
        </w:drawing>
      </w:r>
    </w:p>
    <w:p w14:paraId="13499A31" w14:textId="77777777" w:rsidR="002602D9" w:rsidRPr="00341240" w:rsidRDefault="002602D9" w:rsidP="002602D9">
      <w:pPr>
        <w:spacing w:after="0" w:line="240" w:lineRule="auto"/>
        <w:ind w:left="720"/>
        <w:contextualSpacing/>
        <w:jc w:val="both"/>
        <w:rPr>
          <w:rFonts w:ascii="Times New Roman" w:eastAsia="Calibri" w:hAnsi="Times New Roman" w:cs="Times New Roman"/>
          <w:b/>
          <w:sz w:val="24"/>
          <w:szCs w:val="24"/>
        </w:rPr>
      </w:pPr>
    </w:p>
    <w:p w14:paraId="09AD1316"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Структура защиты ЦК</w:t>
      </w:r>
    </w:p>
    <w:p w14:paraId="4FC1D8D5" w14:textId="77777777" w:rsidR="002602D9" w:rsidRPr="00341240" w:rsidRDefault="002602D9" w:rsidP="002602D9">
      <w:pPr>
        <w:spacing w:after="0" w:line="240" w:lineRule="auto"/>
        <w:jc w:val="center"/>
        <w:rPr>
          <w:rFonts w:ascii="Times New Roman" w:eastAsia="Calibri" w:hAnsi="Times New Roman" w:cs="Times New Roman"/>
          <w:b/>
          <w:sz w:val="24"/>
          <w:szCs w:val="24"/>
        </w:rPr>
      </w:pPr>
    </w:p>
    <w:p w14:paraId="5AA832CD"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рамках развития системы управления всеми видами рисков НКЦ продолжал совершенствовать структуру уровней защиты ЦК, нацеленной на обеспечение надежности и прозрачности взаимодействия с участниками клиринга, а также гарантированное сохранение финансовой устойчивости НКЦ в связи с выполнением им функции центрального контрагента. НКЦ усилил структуру уровней защиты ЦК</w:t>
      </w:r>
      <w:r w:rsidR="00092469" w:rsidRPr="00EA2597">
        <w:rPr>
          <w:rFonts w:ascii="Times New Roman" w:hAnsi="Times New Roman" w:cs="Times New Roman"/>
          <w:bCs/>
          <w:sz w:val="24"/>
          <w:szCs w:val="24"/>
        </w:rPr>
        <w:t xml:space="preserve"> за счет принятых мер</w:t>
      </w:r>
      <w:r w:rsidR="00DD479B" w:rsidRPr="00EA2597">
        <w:rPr>
          <w:rFonts w:ascii="Times New Roman" w:hAnsi="Times New Roman" w:cs="Times New Roman"/>
          <w:bCs/>
          <w:sz w:val="24"/>
          <w:szCs w:val="24"/>
        </w:rPr>
        <w:t xml:space="preserve"> (раздел </w:t>
      </w:r>
      <w:r w:rsidR="00FE67B9" w:rsidRPr="00EA2597">
        <w:rPr>
          <w:rFonts w:ascii="Times New Roman" w:hAnsi="Times New Roman" w:cs="Times New Roman"/>
          <w:bCs/>
          <w:sz w:val="24"/>
          <w:szCs w:val="24"/>
        </w:rPr>
        <w:t>3 настоящего Отчета</w:t>
      </w:r>
      <w:r w:rsidR="00DD479B" w:rsidRPr="00EA2597">
        <w:rPr>
          <w:rFonts w:ascii="Times New Roman" w:hAnsi="Times New Roman" w:cs="Times New Roman"/>
          <w:bCs/>
          <w:sz w:val="24"/>
          <w:szCs w:val="24"/>
        </w:rPr>
        <w:t>)</w:t>
      </w:r>
      <w:r w:rsidR="00C94C92" w:rsidRPr="00EA2597">
        <w:rPr>
          <w:rFonts w:ascii="Times New Roman" w:hAnsi="Times New Roman" w:cs="Times New Roman"/>
          <w:bCs/>
          <w:sz w:val="24"/>
          <w:szCs w:val="24"/>
        </w:rPr>
        <w:t>.</w:t>
      </w:r>
      <w:r w:rsidRPr="00EA2597">
        <w:rPr>
          <w:rFonts w:ascii="Times New Roman" w:hAnsi="Times New Roman" w:cs="Times New Roman"/>
          <w:bCs/>
          <w:sz w:val="24"/>
          <w:szCs w:val="24"/>
        </w:rPr>
        <w:t xml:space="preserve"> </w:t>
      </w:r>
    </w:p>
    <w:p w14:paraId="01B1D0FF" w14:textId="77777777" w:rsidR="002602D9" w:rsidRPr="00341240" w:rsidRDefault="002602D9" w:rsidP="002602D9">
      <w:pPr>
        <w:pageBreakBefore/>
        <w:spacing w:after="0" w:line="240" w:lineRule="auto"/>
        <w:ind w:left="720"/>
        <w:contextualSpacing/>
        <w:jc w:val="both"/>
        <w:rPr>
          <w:rFonts w:ascii="Times New Roman" w:eastAsia="Times New Roman" w:hAnsi="Times New Roman" w:cs="Times New Roman"/>
          <w:sz w:val="24"/>
          <w:szCs w:val="24"/>
          <w:lang w:eastAsia="ru-RU"/>
        </w:rPr>
      </w:pPr>
      <w:r w:rsidRPr="00341240">
        <w:rPr>
          <w:rFonts w:ascii="Times New Roman" w:eastAsia="Times New Roman" w:hAnsi="Times New Roman" w:cs="Times New Roman"/>
          <w:sz w:val="24"/>
          <w:szCs w:val="24"/>
          <w:lang w:eastAsia="ru-RU"/>
        </w:rPr>
        <w:lastRenderedPageBreak/>
        <w:t>Новая структура защиты НКЦ приведена на рисунке ниже:</w:t>
      </w:r>
    </w:p>
    <w:p w14:paraId="1DAB770B" w14:textId="77777777" w:rsidR="002602D9" w:rsidRPr="00341240" w:rsidRDefault="002602D9" w:rsidP="002602D9">
      <w:pPr>
        <w:spacing w:before="120" w:after="0" w:line="240" w:lineRule="auto"/>
        <w:jc w:val="both"/>
        <w:rPr>
          <w:rFonts w:ascii="Times New Roman" w:eastAsia="Calibri" w:hAnsi="Times New Roman" w:cs="Times New Roman"/>
          <w:sz w:val="24"/>
          <w:szCs w:val="24"/>
        </w:rPr>
      </w:pPr>
      <w:r>
        <w:rPr>
          <w:noProof/>
          <w:lang w:eastAsia="ru-RU"/>
        </w:rPr>
        <w:drawing>
          <wp:inline distT="0" distB="0" distL="0" distR="0" wp14:anchorId="1DB33E55" wp14:editId="006B0618">
            <wp:extent cx="6120765" cy="3592195"/>
            <wp:effectExtent l="0" t="0" r="0" b="825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3592195"/>
                    </a:xfrm>
                    <a:prstGeom prst="rect">
                      <a:avLst/>
                    </a:prstGeom>
                  </pic:spPr>
                </pic:pic>
              </a:graphicData>
            </a:graphic>
          </wp:inline>
        </w:drawing>
      </w:r>
      <w:r>
        <w:rPr>
          <w:noProof/>
          <w:lang w:eastAsia="ru-RU"/>
        </w:rPr>
        <w:t xml:space="preserve"> </w:t>
      </w:r>
    </w:p>
    <w:p w14:paraId="5602A183"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3DFAF821" w14:textId="77777777" w:rsidR="002602D9" w:rsidRPr="00341240" w:rsidRDefault="00F70539" w:rsidP="00EA2597">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Согласно международным стандартам деятельности клиринговых организаций - центральных контрагентов уровень покрытия риска за счет средств коллективных фондов считается достаточным, если этими средствами в течение короткого промежутка времени может быть покрыт максимальный риск не менее чем по одной или двум дефолтным позициям. НКЦ ориентируется на покрытие максимального риска вследствие дефолта 2 крупнейших участников клиринга, что превышает требования международных стандартов.</w:t>
      </w:r>
    </w:p>
    <w:p w14:paraId="104329AE"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С целью обеспечения дополнительной защиты добросовестных участников клиринга использование взносов этих участников в гарантийный фонд осуществляется только в случаях, если размер совокупной задолженности недобросовестных участников клиринга перед НКЦ превысит максимально допустимую величину. В настоящее время на всех обслуживаемых рынках Группы «Московская Биржа» гарантийный фонд может быть использован, как инструмент покрытия потерь в случае дефолта участника клиринга. Размер гарантийных фондов по состоянию на 1 января 2017 г. представлен в таблице:</w:t>
      </w:r>
    </w:p>
    <w:p w14:paraId="7BA2C4EF" w14:textId="77777777" w:rsidR="002602D9" w:rsidRPr="00341240" w:rsidRDefault="002602D9" w:rsidP="002602D9">
      <w:pPr>
        <w:spacing w:before="120" w:after="0" w:line="240" w:lineRule="auto"/>
        <w:jc w:val="center"/>
        <w:rPr>
          <w:rFonts w:ascii="Times New Roman" w:eastAsia="Calibri" w:hAnsi="Times New Roman" w:cs="Times New Roman"/>
          <w:sz w:val="24"/>
          <w:szCs w:val="24"/>
        </w:rPr>
      </w:pPr>
      <w:r>
        <w:rPr>
          <w:noProof/>
          <w:lang w:eastAsia="ru-RU"/>
        </w:rPr>
        <w:drawing>
          <wp:inline distT="0" distB="0" distL="0" distR="0" wp14:anchorId="24D57793" wp14:editId="2C59065D">
            <wp:extent cx="5444455" cy="2443481"/>
            <wp:effectExtent l="0" t="0" r="444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67747" cy="2453934"/>
                    </a:xfrm>
                    <a:prstGeom prst="rect">
                      <a:avLst/>
                    </a:prstGeom>
                  </pic:spPr>
                </pic:pic>
              </a:graphicData>
            </a:graphic>
          </wp:inline>
        </w:drawing>
      </w:r>
    </w:p>
    <w:p w14:paraId="2E6A0507" w14:textId="77777777" w:rsidR="002602D9" w:rsidRPr="00341240" w:rsidRDefault="002602D9" w:rsidP="002602D9">
      <w:pPr>
        <w:spacing w:after="0"/>
        <w:jc w:val="center"/>
        <w:rPr>
          <w:rFonts w:ascii="Times New Roman" w:eastAsia="Calibri" w:hAnsi="Times New Roman" w:cs="Times New Roman"/>
          <w:b/>
          <w:sz w:val="24"/>
          <w:szCs w:val="24"/>
        </w:rPr>
      </w:pPr>
      <w:r>
        <w:rPr>
          <w:noProof/>
          <w:lang w:eastAsia="ru-RU"/>
        </w:rPr>
        <w:lastRenderedPageBreak/>
        <w:drawing>
          <wp:inline distT="0" distB="0" distL="0" distR="0" wp14:anchorId="6E55F975" wp14:editId="734FF3A0">
            <wp:extent cx="5316735" cy="1678476"/>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66506" cy="1694189"/>
                    </a:xfrm>
                    <a:prstGeom prst="rect">
                      <a:avLst/>
                    </a:prstGeom>
                  </pic:spPr>
                </pic:pic>
              </a:graphicData>
            </a:graphic>
          </wp:inline>
        </w:drawing>
      </w:r>
    </w:p>
    <w:p w14:paraId="344FAF4A" w14:textId="77777777" w:rsidR="00B44CAF" w:rsidRDefault="00B44CAF" w:rsidP="002602D9">
      <w:pPr>
        <w:pStyle w:val="2"/>
        <w:jc w:val="center"/>
        <w:rPr>
          <w:rFonts w:ascii="Times New Roman" w:eastAsia="Calibri" w:hAnsi="Times New Roman" w:cs="Times New Roman"/>
          <w:b/>
          <w:i/>
          <w:color w:val="auto"/>
          <w:sz w:val="24"/>
          <w:szCs w:val="24"/>
        </w:rPr>
      </w:pPr>
    </w:p>
    <w:p w14:paraId="70048A3D"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Мониторинг финансового состояния участников клиринга</w:t>
      </w:r>
    </w:p>
    <w:p w14:paraId="66A95D56" w14:textId="77777777" w:rsidR="00026B7E" w:rsidRDefault="00026B7E" w:rsidP="00EA2597">
      <w:pPr>
        <w:spacing w:line="240" w:lineRule="auto"/>
        <w:ind w:firstLine="567"/>
        <w:jc w:val="both"/>
        <w:rPr>
          <w:rFonts w:ascii="Times New Roman" w:eastAsia="Times New Roman" w:hAnsi="Times New Roman" w:cs="Times New Roman"/>
          <w:sz w:val="24"/>
          <w:szCs w:val="24"/>
          <w:lang w:eastAsia="ru-RU"/>
        </w:rPr>
      </w:pPr>
    </w:p>
    <w:p w14:paraId="7C948AB0"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602D9" w:rsidRPr="00EA2597">
        <w:rPr>
          <w:rFonts w:ascii="Times New Roman" w:hAnsi="Times New Roman" w:cs="Times New Roman"/>
          <w:bCs/>
          <w:sz w:val="24"/>
          <w:szCs w:val="24"/>
        </w:rPr>
        <w:t xml:space="preserve">В качестве эффективного инструмента мониторинга финансового состояния участников клиринга и контрагентов по активным операциям в НКЦ используется система внутреннего рейтингования. Применение формализованных внутренних оценок позволяет оперативно реагировать на ухудшение финансового состояния участников клиринга и контрагентов, устанавливать лимиты активных операций и формировать адекватные резервы на возможные потери по несущим риск операциям. </w:t>
      </w:r>
    </w:p>
    <w:p w14:paraId="699977CC"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602D9" w:rsidRPr="00EA2597">
        <w:rPr>
          <w:rFonts w:ascii="Times New Roman" w:hAnsi="Times New Roman" w:cs="Times New Roman"/>
          <w:bCs/>
          <w:sz w:val="24"/>
          <w:szCs w:val="24"/>
        </w:rPr>
        <w:t>Внутреннее рейтингование осуществляется в соответствии с Методикой определения внутренних рейтингов контрагентов. В 2016 году в целях определения финансового положения новых категорий контрагентов и усовершенствования отдельных показателей расчета внутренних рейтингов утверждена новая редакция Методики определения внутренних рейтингов контрагентов, в которую внесены следующие основные изменения:</w:t>
      </w:r>
    </w:p>
    <w:p w14:paraId="3F95C2AC" w14:textId="77777777" w:rsidR="002602D9" w:rsidRPr="005D3DDC" w:rsidRDefault="002602D9" w:rsidP="00441380">
      <w:pPr>
        <w:numPr>
          <w:ilvl w:val="0"/>
          <w:numId w:val="34"/>
        </w:numPr>
        <w:spacing w:after="120" w:line="240" w:lineRule="auto"/>
        <w:ind w:left="1134" w:hanging="283"/>
        <w:contextualSpacing/>
        <w:jc w:val="both"/>
        <w:rPr>
          <w:rFonts w:ascii="Times New Roman" w:hAnsi="Times New Roman" w:cs="Times New Roman"/>
          <w:bCs/>
          <w:sz w:val="24"/>
          <w:szCs w:val="24"/>
        </w:rPr>
      </w:pPr>
      <w:r w:rsidRPr="005D3DDC">
        <w:rPr>
          <w:rFonts w:ascii="Times New Roman" w:hAnsi="Times New Roman" w:cs="Times New Roman"/>
          <w:bCs/>
          <w:sz w:val="24"/>
          <w:szCs w:val="24"/>
        </w:rPr>
        <w:t xml:space="preserve">рейтинговая шкала расширена на две категории D </w:t>
      </w:r>
      <w:r>
        <w:rPr>
          <w:rFonts w:ascii="Times New Roman" w:hAnsi="Times New Roman" w:cs="Times New Roman"/>
          <w:bCs/>
          <w:sz w:val="24"/>
          <w:szCs w:val="24"/>
        </w:rPr>
        <w:t xml:space="preserve">(дефолт) </w:t>
      </w:r>
      <w:r w:rsidRPr="005D3DDC">
        <w:rPr>
          <w:rFonts w:ascii="Times New Roman" w:hAnsi="Times New Roman" w:cs="Times New Roman"/>
          <w:bCs/>
          <w:sz w:val="24"/>
          <w:szCs w:val="24"/>
        </w:rPr>
        <w:t>и NR</w:t>
      </w:r>
      <w:r>
        <w:rPr>
          <w:rFonts w:ascii="Times New Roman" w:hAnsi="Times New Roman" w:cs="Times New Roman"/>
          <w:bCs/>
          <w:sz w:val="24"/>
          <w:szCs w:val="24"/>
        </w:rPr>
        <w:t xml:space="preserve"> (не определено)</w:t>
      </w:r>
      <w:r w:rsidRPr="005D3DDC">
        <w:rPr>
          <w:rFonts w:ascii="Times New Roman" w:hAnsi="Times New Roman" w:cs="Times New Roman"/>
          <w:bCs/>
          <w:sz w:val="24"/>
          <w:szCs w:val="24"/>
        </w:rPr>
        <w:t>, определен порядок и условия их присвоения;</w:t>
      </w:r>
    </w:p>
    <w:p w14:paraId="6F5A1A19" w14:textId="77777777" w:rsidR="002602D9" w:rsidRPr="005D3DDC" w:rsidRDefault="002602D9" w:rsidP="00441380">
      <w:pPr>
        <w:numPr>
          <w:ilvl w:val="0"/>
          <w:numId w:val="34"/>
        </w:numPr>
        <w:spacing w:after="120" w:line="240" w:lineRule="auto"/>
        <w:ind w:left="1134" w:hanging="283"/>
        <w:contextualSpacing/>
        <w:jc w:val="both"/>
        <w:rPr>
          <w:rFonts w:ascii="Times New Roman" w:hAnsi="Times New Roman" w:cs="Times New Roman"/>
          <w:bCs/>
          <w:sz w:val="24"/>
          <w:szCs w:val="24"/>
        </w:rPr>
      </w:pPr>
      <w:r w:rsidRPr="005D3DDC">
        <w:rPr>
          <w:rFonts w:ascii="Times New Roman" w:hAnsi="Times New Roman" w:cs="Times New Roman"/>
          <w:bCs/>
          <w:sz w:val="24"/>
          <w:szCs w:val="24"/>
        </w:rPr>
        <w:t xml:space="preserve">описаны меры повышенного контроля в отношении проблемных контрагентов; </w:t>
      </w:r>
    </w:p>
    <w:p w14:paraId="6EA81436" w14:textId="77777777" w:rsidR="002602D9" w:rsidRPr="005D3DDC" w:rsidRDefault="002602D9" w:rsidP="00441380">
      <w:pPr>
        <w:numPr>
          <w:ilvl w:val="0"/>
          <w:numId w:val="34"/>
        </w:numPr>
        <w:spacing w:after="120" w:line="240" w:lineRule="auto"/>
        <w:ind w:left="1134" w:hanging="283"/>
        <w:contextualSpacing/>
        <w:jc w:val="both"/>
        <w:rPr>
          <w:rFonts w:ascii="Times New Roman" w:hAnsi="Times New Roman" w:cs="Times New Roman"/>
          <w:bCs/>
          <w:sz w:val="24"/>
          <w:szCs w:val="24"/>
        </w:rPr>
      </w:pPr>
      <w:r w:rsidRPr="005D3DDC">
        <w:rPr>
          <w:rFonts w:ascii="Times New Roman" w:hAnsi="Times New Roman" w:cs="Times New Roman"/>
          <w:bCs/>
          <w:sz w:val="24"/>
          <w:szCs w:val="24"/>
        </w:rPr>
        <w:t>добавлены модели расчета рейтинг</w:t>
      </w:r>
      <w:r>
        <w:rPr>
          <w:rFonts w:ascii="Times New Roman" w:hAnsi="Times New Roman" w:cs="Times New Roman"/>
          <w:bCs/>
          <w:sz w:val="24"/>
          <w:szCs w:val="24"/>
        </w:rPr>
        <w:t>ов новых категорий контрагентов</w:t>
      </w:r>
      <w:r w:rsidRPr="00C0047A">
        <w:rPr>
          <w:rFonts w:ascii="Times New Roman" w:hAnsi="Times New Roman" w:cs="Times New Roman"/>
          <w:bCs/>
          <w:sz w:val="24"/>
          <w:szCs w:val="24"/>
        </w:rPr>
        <w:t xml:space="preserve">. </w:t>
      </w:r>
    </w:p>
    <w:p w14:paraId="411C4172" w14:textId="77777777" w:rsidR="002602D9" w:rsidRDefault="002602D9" w:rsidP="002602D9">
      <w:pPr>
        <w:spacing w:before="120" w:line="240" w:lineRule="auto"/>
        <w:jc w:val="both"/>
        <w:rPr>
          <w:rFonts w:ascii="Times New Roman" w:eastAsia="Times New Roman" w:hAnsi="Times New Roman" w:cs="Times New Roman"/>
          <w:sz w:val="24"/>
          <w:szCs w:val="24"/>
          <w:lang w:eastAsia="ru-RU"/>
        </w:rPr>
      </w:pPr>
    </w:p>
    <w:p w14:paraId="7407868E"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Процесс рейтингования включает следующие элементы:</w:t>
      </w:r>
    </w:p>
    <w:p w14:paraId="5FC1F51D" w14:textId="77777777" w:rsidR="002602D9" w:rsidRPr="00341240" w:rsidRDefault="002602D9" w:rsidP="002602D9">
      <w:pPr>
        <w:widowControl w:val="0"/>
        <w:spacing w:before="120" w:line="240" w:lineRule="auto"/>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5D423BEE" wp14:editId="51020E93">
            <wp:extent cx="6060535" cy="4269851"/>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72491" cy="4278274"/>
                    </a:xfrm>
                    <a:prstGeom prst="rect">
                      <a:avLst/>
                    </a:prstGeom>
                  </pic:spPr>
                </pic:pic>
              </a:graphicData>
            </a:graphic>
          </wp:inline>
        </w:drawing>
      </w:r>
    </w:p>
    <w:p w14:paraId="2EE5395F"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2602D9" w:rsidRPr="00EA2597">
        <w:rPr>
          <w:rFonts w:ascii="Times New Roman" w:hAnsi="Times New Roman" w:cs="Times New Roman"/>
          <w:bCs/>
          <w:sz w:val="24"/>
          <w:szCs w:val="24"/>
        </w:rPr>
        <w:t>Источниками информации для определения внутреннего рейтинга служат финансовая отчетность и иная информация об участниках клиринга и контрагентах, существенная для оценки уровня принимаемых на них рисков. Внутренний рейтинг является результатом совокупной бальной оценки финансовых и нефинансовых показателей и может быть скорректирован по результатам экспертной оценки (учитываются сведения о составе собственников, данные о развитии бизнеса контрагента, рыночных позициях участника клиринга на отдельных сегментах рынка, динамике стоимости акций, эмитентами которых они являются, другая значимая информация).</w:t>
      </w:r>
    </w:p>
    <w:p w14:paraId="2AD6B134" w14:textId="77777777" w:rsidR="002602D9" w:rsidRPr="00EA2597" w:rsidRDefault="00F7053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По состоянию на 01.01.2017 года системой внутреннего рейтингования НКЦ было охвачено 907 организаций. Распределение по типам рейтингуемых участников клиринга и контрагентов НКЦ на 01.01.2017 года отражено в таблице:</w:t>
      </w:r>
    </w:p>
    <w:p w14:paraId="0958DA81" w14:textId="77777777" w:rsidR="002602D9" w:rsidRPr="00341240" w:rsidRDefault="002602D9" w:rsidP="002602D9">
      <w:pPr>
        <w:spacing w:before="120" w:after="0"/>
        <w:jc w:val="center"/>
        <w:rPr>
          <w:rFonts w:ascii="Times New Roman" w:eastAsia="Calibri" w:hAnsi="Times New Roman" w:cs="Times New Roman"/>
          <w:b/>
          <w:sz w:val="24"/>
          <w:szCs w:val="24"/>
        </w:rPr>
      </w:pPr>
      <w:r>
        <w:rPr>
          <w:noProof/>
          <w:lang w:eastAsia="ru-RU"/>
        </w:rPr>
        <w:drawing>
          <wp:inline distT="0" distB="0" distL="0" distR="0" wp14:anchorId="56F5F392" wp14:editId="348DFD89">
            <wp:extent cx="5625815" cy="2234801"/>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45077" cy="2242453"/>
                    </a:xfrm>
                    <a:prstGeom prst="rect">
                      <a:avLst/>
                    </a:prstGeom>
                  </pic:spPr>
                </pic:pic>
              </a:graphicData>
            </a:graphic>
          </wp:inline>
        </w:drawing>
      </w:r>
    </w:p>
    <w:p w14:paraId="30C34CB3" w14:textId="77777777" w:rsidR="002602D9" w:rsidRPr="00C11834" w:rsidRDefault="002602D9" w:rsidP="00441380">
      <w:pPr>
        <w:pStyle w:val="1"/>
        <w:numPr>
          <w:ilvl w:val="0"/>
          <w:numId w:val="65"/>
        </w:numPr>
        <w:jc w:val="center"/>
        <w:rPr>
          <w:rFonts w:ascii="Times New Roman" w:eastAsia="Calibri" w:hAnsi="Times New Roman" w:cs="Times New Roman"/>
          <w:b/>
          <w:color w:val="auto"/>
          <w:sz w:val="24"/>
        </w:rPr>
      </w:pPr>
      <w:r>
        <w:rPr>
          <w:rFonts w:ascii="Times New Roman" w:eastAsia="Calibri" w:hAnsi="Times New Roman" w:cs="Times New Roman"/>
          <w:b/>
          <w:color w:val="auto"/>
          <w:sz w:val="24"/>
        </w:rPr>
        <w:lastRenderedPageBreak/>
        <w:t xml:space="preserve"> </w:t>
      </w:r>
      <w:r w:rsidRPr="00C11834">
        <w:rPr>
          <w:rFonts w:ascii="Times New Roman" w:eastAsia="Calibri" w:hAnsi="Times New Roman" w:cs="Times New Roman"/>
          <w:b/>
          <w:color w:val="auto"/>
          <w:sz w:val="24"/>
        </w:rPr>
        <w:t>Управление рисками банковских операций</w:t>
      </w:r>
    </w:p>
    <w:p w14:paraId="4F622D98"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AC5320">
        <w:rPr>
          <w:rFonts w:ascii="Times New Roman" w:eastAsia="Calibri" w:hAnsi="Times New Roman" w:cs="Times New Roman"/>
          <w:sz w:val="24"/>
          <w:szCs w:val="24"/>
        </w:rPr>
        <w:t xml:space="preserve"> </w:t>
      </w:r>
      <w:r w:rsidR="00AC5320" w:rsidRPr="00EA2597">
        <w:rPr>
          <w:rFonts w:ascii="Times New Roman" w:hAnsi="Times New Roman" w:cs="Times New Roman"/>
          <w:bCs/>
          <w:sz w:val="24"/>
          <w:szCs w:val="24"/>
        </w:rPr>
        <w:t>Н</w:t>
      </w:r>
      <w:r w:rsidR="002602D9" w:rsidRPr="00EA2597">
        <w:rPr>
          <w:rFonts w:ascii="Times New Roman" w:hAnsi="Times New Roman" w:cs="Times New Roman"/>
          <w:bCs/>
          <w:sz w:val="24"/>
          <w:szCs w:val="24"/>
        </w:rPr>
        <w:t xml:space="preserve">КЦ в силу специфики своего статуса и видов деятельности придерживается консервативной политики по формированию активов при размещении свободных денежных средств. </w:t>
      </w:r>
    </w:p>
    <w:p w14:paraId="047BED66"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341240">
        <w:rPr>
          <w:rFonts w:ascii="Times New Roman" w:eastAsia="Calibri" w:hAnsi="Times New Roman" w:cs="Times New Roman"/>
          <w:sz w:val="24"/>
          <w:szCs w:val="24"/>
        </w:rPr>
        <w:t xml:space="preserve">    </w:t>
      </w:r>
      <w:r w:rsidR="0078181E">
        <w:rPr>
          <w:rFonts w:ascii="Times New Roman" w:eastAsia="Calibri" w:hAnsi="Times New Roman" w:cs="Times New Roman"/>
          <w:sz w:val="24"/>
          <w:szCs w:val="24"/>
        </w:rPr>
        <w:t xml:space="preserve"> </w:t>
      </w:r>
      <w:r w:rsidRPr="00EA2597">
        <w:rPr>
          <w:rFonts w:ascii="Times New Roman" w:hAnsi="Times New Roman" w:cs="Times New Roman"/>
          <w:bCs/>
          <w:sz w:val="24"/>
          <w:szCs w:val="24"/>
        </w:rPr>
        <w:t xml:space="preserve">Основные элементы управления рисками, возникающими при осуществлении банковской деятельности, включают:  </w:t>
      </w:r>
    </w:p>
    <w:p w14:paraId="214F18FB" w14:textId="77777777" w:rsidR="002602D9" w:rsidRPr="00341240" w:rsidRDefault="002602D9" w:rsidP="00441380">
      <w:pPr>
        <w:numPr>
          <w:ilvl w:val="0"/>
          <w:numId w:val="28"/>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 xml:space="preserve">управление портфелем активов и пассивов; </w:t>
      </w:r>
    </w:p>
    <w:p w14:paraId="727E0E20" w14:textId="77777777" w:rsidR="002602D9" w:rsidRPr="00341240" w:rsidRDefault="002602D9" w:rsidP="00441380">
      <w:pPr>
        <w:numPr>
          <w:ilvl w:val="0"/>
          <w:numId w:val="28"/>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мониторинг финансового состояния контрагентов;</w:t>
      </w:r>
    </w:p>
    <w:p w14:paraId="68F0E3A0" w14:textId="77777777" w:rsidR="002602D9" w:rsidRPr="00341240" w:rsidRDefault="002602D9" w:rsidP="00441380">
      <w:pPr>
        <w:numPr>
          <w:ilvl w:val="0"/>
          <w:numId w:val="28"/>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установление лимитов;</w:t>
      </w:r>
    </w:p>
    <w:p w14:paraId="7C5950A8" w14:textId="77777777" w:rsidR="002602D9" w:rsidRPr="00341240" w:rsidRDefault="002602D9" w:rsidP="00441380">
      <w:pPr>
        <w:numPr>
          <w:ilvl w:val="0"/>
          <w:numId w:val="28"/>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формирование резервов на возможные потери для покрытия рисков;</w:t>
      </w:r>
    </w:p>
    <w:p w14:paraId="09782D94" w14:textId="77777777" w:rsidR="002602D9" w:rsidRPr="00341240" w:rsidRDefault="002602D9" w:rsidP="00441380">
      <w:pPr>
        <w:numPr>
          <w:ilvl w:val="0"/>
          <w:numId w:val="28"/>
        </w:numPr>
        <w:spacing w:after="0" w:line="240" w:lineRule="auto"/>
        <w:contextualSpacing/>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отказ от принятия отдельных видов рисков.</w:t>
      </w:r>
    </w:p>
    <w:p w14:paraId="627933A5" w14:textId="77777777" w:rsidR="00AC5320" w:rsidRDefault="00AC5320" w:rsidP="002602D9">
      <w:pPr>
        <w:pStyle w:val="2"/>
        <w:spacing w:line="240" w:lineRule="auto"/>
        <w:jc w:val="center"/>
        <w:rPr>
          <w:rFonts w:ascii="Times New Roman" w:eastAsia="Calibri" w:hAnsi="Times New Roman" w:cs="Times New Roman"/>
          <w:b/>
          <w:i/>
          <w:color w:val="auto"/>
          <w:sz w:val="24"/>
          <w:szCs w:val="24"/>
        </w:rPr>
      </w:pPr>
    </w:p>
    <w:p w14:paraId="5EBF3993" w14:textId="77777777" w:rsidR="002602D9" w:rsidRPr="00C11834" w:rsidRDefault="002602D9" w:rsidP="002602D9">
      <w:pPr>
        <w:pStyle w:val="2"/>
        <w:spacing w:line="240" w:lineRule="auto"/>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кредитным риском</w:t>
      </w:r>
    </w:p>
    <w:p w14:paraId="6910A72C"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Кредитный риск применительно к банковской деятельности НКЦ проявляется в результате осуществления НКЦ инвестиционной деятельности.</w:t>
      </w:r>
    </w:p>
    <w:p w14:paraId="3EEA3CF8"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Процесс управления кредитным риском кратко представлен на рисунке ниже:</w:t>
      </w:r>
    </w:p>
    <w:p w14:paraId="3B31C4D8" w14:textId="77777777" w:rsidR="002602D9" w:rsidRDefault="002602D9" w:rsidP="002602D9">
      <w:pPr>
        <w:spacing w:before="120" w:after="0" w:line="240" w:lineRule="auto"/>
        <w:jc w:val="both"/>
        <w:rPr>
          <w:noProof/>
          <w:lang w:eastAsia="ru-RU"/>
        </w:rPr>
      </w:pPr>
      <w:r>
        <w:rPr>
          <w:noProof/>
          <w:lang w:eastAsia="ru-RU"/>
        </w:rPr>
        <w:t xml:space="preserve"> </w:t>
      </w:r>
      <w:r>
        <w:rPr>
          <w:noProof/>
          <w:lang w:eastAsia="ru-RU"/>
        </w:rPr>
        <w:drawing>
          <wp:inline distT="0" distB="0" distL="0" distR="0" wp14:anchorId="46442DE9" wp14:editId="40A225E0">
            <wp:extent cx="6120765" cy="4607560"/>
            <wp:effectExtent l="0" t="0" r="0" b="254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765" cy="4607560"/>
                    </a:xfrm>
                    <a:prstGeom prst="rect">
                      <a:avLst/>
                    </a:prstGeom>
                  </pic:spPr>
                </pic:pic>
              </a:graphicData>
            </a:graphic>
          </wp:inline>
        </w:drawing>
      </w:r>
      <w:r>
        <w:rPr>
          <w:noProof/>
          <w:lang w:eastAsia="ru-RU"/>
        </w:rPr>
        <w:t xml:space="preserve">  </w:t>
      </w:r>
    </w:p>
    <w:p w14:paraId="7F5968A2" w14:textId="77777777" w:rsidR="002602D9" w:rsidRPr="00341240" w:rsidRDefault="0078181E" w:rsidP="00EA2597">
      <w:pPr>
        <w:spacing w:line="240" w:lineRule="auto"/>
        <w:ind w:firstLine="567"/>
        <w:jc w:val="both"/>
        <w:rPr>
          <w:rFonts w:ascii="Times New Roman" w:eastAsia="Calibri" w:hAnsi="Times New Roman" w:cs="Times New Roman"/>
          <w:sz w:val="24"/>
          <w:szCs w:val="24"/>
        </w:rPr>
      </w:pPr>
      <w:r>
        <w:rPr>
          <w:noProof/>
          <w:lang w:eastAsia="ru-RU"/>
        </w:rPr>
        <w:t xml:space="preserve">    </w:t>
      </w:r>
      <w:r w:rsidR="002602D9">
        <w:rPr>
          <w:noProof/>
          <w:lang w:eastAsia="ru-RU"/>
        </w:rPr>
        <w:t xml:space="preserve">  </w:t>
      </w:r>
      <w:r w:rsidR="002602D9" w:rsidRPr="00EA2597">
        <w:rPr>
          <w:rFonts w:ascii="Times New Roman" w:hAnsi="Times New Roman" w:cs="Times New Roman"/>
          <w:bCs/>
          <w:sz w:val="24"/>
          <w:szCs w:val="24"/>
        </w:rPr>
        <w:t xml:space="preserve">Инвестиционная деятельность НКЦ, критерии выбора контрагентов и инструментов при размещении свободных денежных средств, а также сроки размещения с учетом рыночной ликвидности инструментов регламентируются политикой осуществления казначейской деятельности Банка. </w:t>
      </w:r>
    </w:p>
    <w:p w14:paraId="24100AB6"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lastRenderedPageBreak/>
        <w:t xml:space="preserve">     </w:t>
      </w:r>
      <w:r w:rsidR="002602D9" w:rsidRPr="00EA2597">
        <w:rPr>
          <w:rFonts w:ascii="Times New Roman" w:hAnsi="Times New Roman" w:cs="Times New Roman"/>
          <w:bCs/>
          <w:sz w:val="24"/>
          <w:szCs w:val="24"/>
        </w:rPr>
        <w:t>Основные положения инвестиционной политики НКЦ обеспечивают достаточную доходность активов при умеренном уровне риска:</w:t>
      </w:r>
    </w:p>
    <w:p w14:paraId="1677A556" w14:textId="77777777" w:rsidR="002602D9" w:rsidRPr="00341240" w:rsidRDefault="002602D9" w:rsidP="002602D9">
      <w:pPr>
        <w:spacing w:before="120" w:after="0" w:line="240" w:lineRule="auto"/>
        <w:jc w:val="both"/>
        <w:rPr>
          <w:rFonts w:ascii="Times New Roman" w:eastAsia="Calibri" w:hAnsi="Times New Roman" w:cs="Times New Roman"/>
          <w:sz w:val="24"/>
          <w:szCs w:val="24"/>
        </w:rPr>
      </w:pPr>
      <w:r>
        <w:rPr>
          <w:noProof/>
          <w:lang w:eastAsia="ru-RU"/>
        </w:rPr>
        <w:drawing>
          <wp:inline distT="0" distB="0" distL="0" distR="0" wp14:anchorId="2793E13C" wp14:editId="6F3492FC">
            <wp:extent cx="6150634" cy="3881289"/>
            <wp:effectExtent l="0" t="0" r="2540" b="508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58396" cy="3886187"/>
                    </a:xfrm>
                    <a:prstGeom prst="rect">
                      <a:avLst/>
                    </a:prstGeom>
                  </pic:spPr>
                </pic:pic>
              </a:graphicData>
            </a:graphic>
          </wp:inline>
        </w:drawing>
      </w:r>
    </w:p>
    <w:p w14:paraId="070E9715" w14:textId="77777777" w:rsidR="002602D9" w:rsidRPr="00341240" w:rsidRDefault="002602D9" w:rsidP="002602D9">
      <w:pPr>
        <w:spacing w:after="0"/>
        <w:rPr>
          <w:rFonts w:ascii="Times New Roman" w:eastAsia="Calibri" w:hAnsi="Times New Roman" w:cs="Times New Roman"/>
          <w:sz w:val="24"/>
          <w:szCs w:val="24"/>
        </w:rPr>
      </w:pPr>
      <w:r w:rsidRPr="00341240">
        <w:rPr>
          <w:rFonts w:ascii="Times New Roman" w:eastAsia="Calibri" w:hAnsi="Times New Roman" w:cs="Times New Roman"/>
          <w:noProof/>
          <w:sz w:val="24"/>
          <w:szCs w:val="24"/>
          <w:lang w:eastAsia="ru-RU"/>
        </w:rPr>
        <w:lastRenderedPageBreak/>
        <w:drawing>
          <wp:anchor distT="0" distB="0" distL="114300" distR="114300" simplePos="0" relativeHeight="251735040" behindDoc="0" locked="0" layoutInCell="1" allowOverlap="1" wp14:anchorId="4EF7C5BB" wp14:editId="12697E43">
            <wp:simplePos x="0" y="0"/>
            <wp:positionH relativeFrom="margin">
              <wp:posOffset>-1905</wp:posOffset>
            </wp:positionH>
            <wp:positionV relativeFrom="margin">
              <wp:posOffset>4121785</wp:posOffset>
            </wp:positionV>
            <wp:extent cx="6098540" cy="4572000"/>
            <wp:effectExtent l="0" t="0" r="0" b="0"/>
            <wp:wrapSquare wrapText="bothSides"/>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pic:spPr>
                </pic:pic>
              </a:graphicData>
            </a:graphic>
            <wp14:sizeRelH relativeFrom="page">
              <wp14:pctWidth>0</wp14:pctWidth>
            </wp14:sizeRelH>
            <wp14:sizeRelV relativeFrom="page">
              <wp14:pctHeight>0</wp14:pctHeight>
            </wp14:sizeRelV>
          </wp:anchor>
        </w:drawing>
      </w:r>
    </w:p>
    <w:p w14:paraId="55C6B501" w14:textId="77777777" w:rsidR="002602D9" w:rsidRDefault="002602D9" w:rsidP="002602D9">
      <w:pPr>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 xml:space="preserve">  </w:t>
      </w:r>
    </w:p>
    <w:p w14:paraId="431ABFEE" w14:textId="77777777" w:rsidR="002602D9" w:rsidRDefault="002602D9" w:rsidP="002602D9">
      <w:pPr>
        <w:spacing w:after="0" w:line="240" w:lineRule="auto"/>
        <w:jc w:val="both"/>
        <w:rPr>
          <w:rFonts w:ascii="Times New Roman" w:eastAsia="Calibri" w:hAnsi="Times New Roman" w:cs="Times New Roman"/>
          <w:sz w:val="24"/>
          <w:szCs w:val="24"/>
        </w:rPr>
      </w:pPr>
    </w:p>
    <w:p w14:paraId="7441DBC2" w14:textId="77777777" w:rsidR="002602D9" w:rsidRDefault="002602D9" w:rsidP="002602D9">
      <w:pPr>
        <w:spacing w:after="0" w:line="240" w:lineRule="auto"/>
        <w:jc w:val="both"/>
        <w:rPr>
          <w:rFonts w:ascii="Times New Roman" w:eastAsia="Calibri" w:hAnsi="Times New Roman" w:cs="Times New Roman"/>
          <w:sz w:val="24"/>
          <w:szCs w:val="24"/>
        </w:rPr>
      </w:pPr>
    </w:p>
    <w:p w14:paraId="1D989A90"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2602D9" w:rsidRPr="00EA2597">
        <w:rPr>
          <w:rFonts w:ascii="Times New Roman" w:hAnsi="Times New Roman" w:cs="Times New Roman"/>
          <w:bCs/>
          <w:sz w:val="24"/>
          <w:szCs w:val="24"/>
        </w:rPr>
        <w:t>Важнейшим элементом контроля кредитных рисков, возникающих при размещении денежных средств, является лимитирование казначейских операций. Действующая система лимитов обеспечивает ограничение объема принимаемых НКЦ рисков на уровне, соответствующем гарантированному выполнению регулятивных требований Банка России и политике осуществления казначейской деятельности НКЦ.</w:t>
      </w:r>
    </w:p>
    <w:p w14:paraId="5CB9A8E0"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2602D9" w:rsidRPr="00EA2597">
        <w:rPr>
          <w:rFonts w:ascii="Times New Roman" w:hAnsi="Times New Roman" w:cs="Times New Roman"/>
          <w:bCs/>
          <w:sz w:val="24"/>
          <w:szCs w:val="24"/>
        </w:rPr>
        <w:t>По состоянию на 01.01.2017</w:t>
      </w:r>
      <w:r w:rsidRPr="00EA2597">
        <w:rPr>
          <w:rFonts w:ascii="Times New Roman" w:hAnsi="Times New Roman" w:cs="Times New Roman"/>
          <w:bCs/>
          <w:sz w:val="24"/>
          <w:szCs w:val="24"/>
        </w:rPr>
        <w:t xml:space="preserve"> г.,</w:t>
      </w:r>
      <w:r w:rsidR="002602D9" w:rsidRPr="00EA2597">
        <w:rPr>
          <w:rFonts w:ascii="Times New Roman" w:hAnsi="Times New Roman" w:cs="Times New Roman"/>
          <w:bCs/>
          <w:sz w:val="24"/>
          <w:szCs w:val="24"/>
        </w:rPr>
        <w:t xml:space="preserve"> в структуре подверженных кредитному риску активов НКЦ превалировали средства, размещенные на корреспондентских счетах в кредитных организациях, преимущественно в крупных иностранных и надежных российских банках. Наибольший объем средств был размещен на корсчетах в JP Morgan Chase Bank и его дочерних компаниях в связи с выполнением ими функций расчетных банков на биржевом валютном рынке Группы «Московская Биржа».</w:t>
      </w:r>
      <w:r w:rsidR="002602D9" w:rsidRPr="00EA2597" w:rsidDel="00C10D1B">
        <w:rPr>
          <w:rFonts w:ascii="Times New Roman" w:hAnsi="Times New Roman" w:cs="Times New Roman"/>
          <w:bCs/>
          <w:sz w:val="24"/>
          <w:szCs w:val="24"/>
        </w:rPr>
        <w:t xml:space="preserve"> </w:t>
      </w:r>
    </w:p>
    <w:p w14:paraId="1A0D7AB4"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2602D9" w:rsidRPr="00EA2597">
        <w:rPr>
          <w:rFonts w:ascii="Times New Roman" w:hAnsi="Times New Roman" w:cs="Times New Roman"/>
          <w:bCs/>
          <w:sz w:val="24"/>
          <w:szCs w:val="24"/>
        </w:rPr>
        <w:t>Информация о группировке активов по уровню международного рейтинга в соответствии со шкалой S&amp;P, а также о распределении портфеля ценных бумаг НКЦ по отраслям приведена на диаграммах ниже:</w:t>
      </w:r>
    </w:p>
    <w:p w14:paraId="12290F47" w14:textId="77777777" w:rsidR="002602D9" w:rsidRPr="00341240" w:rsidRDefault="002602D9" w:rsidP="002602D9">
      <w:pPr>
        <w:spacing w:before="120" w:after="120" w:line="240" w:lineRule="auto"/>
        <w:jc w:val="center"/>
        <w:rPr>
          <w:rFonts w:ascii="Times New Roman" w:eastAsia="Calibri" w:hAnsi="Times New Roman" w:cs="Times New Roman"/>
          <w:sz w:val="24"/>
          <w:szCs w:val="24"/>
          <w:lang w:eastAsia="ru-RU"/>
        </w:rPr>
      </w:pPr>
      <w:r>
        <w:rPr>
          <w:noProof/>
          <w:lang w:eastAsia="ru-RU"/>
        </w:rPr>
        <w:lastRenderedPageBreak/>
        <w:drawing>
          <wp:inline distT="0" distB="0" distL="0" distR="0" wp14:anchorId="741D9652" wp14:editId="2E1CBAA8">
            <wp:extent cx="2663825" cy="2133600"/>
            <wp:effectExtent l="0" t="0" r="0" b="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lang w:eastAsia="ru-RU"/>
        </w:rPr>
        <w:drawing>
          <wp:inline distT="0" distB="0" distL="0" distR="0" wp14:anchorId="1F31840B" wp14:editId="49A358A3">
            <wp:extent cx="3236181" cy="2141827"/>
            <wp:effectExtent l="0" t="0" r="0" b="0"/>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C3BDFFF"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2602D9" w:rsidRPr="00EA2597">
        <w:rPr>
          <w:rFonts w:ascii="Times New Roman" w:hAnsi="Times New Roman" w:cs="Times New Roman"/>
          <w:bCs/>
          <w:sz w:val="24"/>
          <w:szCs w:val="24"/>
        </w:rPr>
        <w:t xml:space="preserve">Благодаря высокому качеству активов показатель достаточности капитала (норматив Н1.0) на 01.01.2017 составлял 19,4%, при регулятивном минимуме в 8%, что наглядно подтверждает финансовую устойчивость НКЦ. </w:t>
      </w:r>
    </w:p>
    <w:p w14:paraId="300D253C" w14:textId="77777777" w:rsidR="00AC5320" w:rsidRDefault="00AC5320" w:rsidP="00214077">
      <w:pPr>
        <w:pStyle w:val="2"/>
        <w:spacing w:line="240" w:lineRule="auto"/>
        <w:jc w:val="center"/>
        <w:rPr>
          <w:rFonts w:ascii="Times New Roman" w:eastAsia="Calibri" w:hAnsi="Times New Roman" w:cs="Times New Roman"/>
          <w:b/>
          <w:i/>
          <w:color w:val="auto"/>
          <w:sz w:val="24"/>
          <w:szCs w:val="24"/>
        </w:rPr>
      </w:pPr>
    </w:p>
    <w:p w14:paraId="035A4259" w14:textId="77777777" w:rsidR="002602D9" w:rsidRPr="00C11834" w:rsidRDefault="002602D9" w:rsidP="00214077">
      <w:pPr>
        <w:pStyle w:val="2"/>
        <w:spacing w:line="240" w:lineRule="auto"/>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рыночным риском</w:t>
      </w:r>
    </w:p>
    <w:p w14:paraId="38AFF1C0" w14:textId="77777777" w:rsidR="0078181E" w:rsidRDefault="0078181E" w:rsidP="001E0717">
      <w:pPr>
        <w:tabs>
          <w:tab w:val="num" w:pos="567"/>
          <w:tab w:val="left" w:pos="6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0DA2D0A" w14:textId="77777777" w:rsidR="002602D9" w:rsidRPr="00341240" w:rsidRDefault="0078181E" w:rsidP="00EA2597">
      <w:pPr>
        <w:spacing w:line="240" w:lineRule="auto"/>
        <w:ind w:firstLine="567"/>
        <w:jc w:val="both"/>
        <w:rPr>
          <w:rFonts w:ascii="Times New Roman" w:eastAsia="MS Mincho" w:hAnsi="Times New Roman" w:cs="Times New Roman"/>
          <w:sz w:val="24"/>
          <w:szCs w:val="24"/>
          <w:lang w:eastAsia="ja-JP"/>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Применительно к деятельности ЦК рыночный риск возникает только в случае реализации кредитного риска. Таким образом, управление рыночным риском осуществляется в комплексе мероприятий по управлению кредитным риском.</w:t>
      </w:r>
      <w:r w:rsidR="002602D9" w:rsidRPr="00341240">
        <w:rPr>
          <w:rFonts w:ascii="Times New Roman" w:eastAsia="MS Mincho" w:hAnsi="Times New Roman" w:cs="Times New Roman"/>
          <w:sz w:val="24"/>
          <w:szCs w:val="24"/>
          <w:lang w:eastAsia="ja-JP"/>
        </w:rPr>
        <w:t xml:space="preserve"> </w:t>
      </w:r>
    </w:p>
    <w:p w14:paraId="315C85C7"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MS Mincho" w:hAnsi="Times New Roman" w:cs="Times New Roman"/>
          <w:sz w:val="24"/>
          <w:szCs w:val="24"/>
          <w:lang w:eastAsia="ja-JP"/>
        </w:rPr>
        <w:t xml:space="preserve">     </w:t>
      </w:r>
      <w:r w:rsidR="002602D9" w:rsidRPr="00EA2597">
        <w:rPr>
          <w:rFonts w:ascii="Times New Roman" w:hAnsi="Times New Roman" w:cs="Times New Roman"/>
          <w:bCs/>
          <w:sz w:val="24"/>
          <w:szCs w:val="24"/>
        </w:rPr>
        <w:t xml:space="preserve">С целью количественной оценки рыночного риска для различных рынков, на которых НКЦ осуществляет функции центрального контрагента, разработаны методики, используемые, в частности, для определения объема требований к размеру обеспечения, вносимого участниками клиринга. </w:t>
      </w:r>
    </w:p>
    <w:p w14:paraId="18888331"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MS Mincho" w:hAnsi="Times New Roman" w:cs="Times New Roman"/>
          <w:sz w:val="24"/>
          <w:szCs w:val="24"/>
          <w:lang w:eastAsia="ja-JP"/>
        </w:rPr>
        <w:t xml:space="preserve">     </w:t>
      </w:r>
      <w:r w:rsidR="002602D9" w:rsidRPr="00EA2597">
        <w:rPr>
          <w:rFonts w:ascii="Times New Roman" w:hAnsi="Times New Roman" w:cs="Times New Roman"/>
          <w:bCs/>
          <w:sz w:val="24"/>
          <w:szCs w:val="24"/>
        </w:rPr>
        <w:t>Основной целью управления рыночным риском при размещении временно свободных денежных средств является оптимизация соотношения риск/доходность, минимизация потерь при реализации неблагоприятных событий. С этой целью НКЦ:</w:t>
      </w:r>
    </w:p>
    <w:p w14:paraId="481DB23C"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осуществляет диверсификацию портфеля ценных бумаг (по срокам их погашения, отраслевой принадлежности эмитентов);</w:t>
      </w:r>
    </w:p>
    <w:p w14:paraId="364B93EB"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устанавливает максимальные сроки экспираций для вложений в ценные бумаги;</w:t>
      </w:r>
    </w:p>
    <w:p w14:paraId="0C767C56"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устанавливает предельные объемы вложений в ценные бумаги (по всему объему вложений, видам вложений, эмитентам);</w:t>
      </w:r>
    </w:p>
    <w:p w14:paraId="388C9A2D"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проводит классификацию долговых обязательств и ценных бумаг по группам риска;</w:t>
      </w:r>
    </w:p>
    <w:p w14:paraId="05038D43"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формирует резервы на возможные потери по ценным бумагам, если они не переоцениваются по текущей цене.</w:t>
      </w:r>
    </w:p>
    <w:p w14:paraId="744EFFCE" w14:textId="77777777" w:rsidR="002602D9" w:rsidRPr="00341240" w:rsidRDefault="002602D9" w:rsidP="002602D9">
      <w:pPr>
        <w:spacing w:after="0" w:line="240" w:lineRule="auto"/>
        <w:ind w:firstLine="567"/>
        <w:jc w:val="both"/>
        <w:rPr>
          <w:rFonts w:ascii="Times New Roman" w:eastAsia="Calibri" w:hAnsi="Times New Roman" w:cs="Times New Roman"/>
          <w:sz w:val="24"/>
          <w:szCs w:val="24"/>
        </w:rPr>
      </w:pPr>
    </w:p>
    <w:p w14:paraId="15B87215"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НКЦ подвержен процентному риску по ценным бумагам и производным финансовым инструментам, чувствительным к изменениям процентных ставок, а также срочным сделкам с ценными бумагами, чувствительными к изменению процентных ставок, как это показано в приведенной ниже таблице:</w:t>
      </w:r>
    </w:p>
    <w:p w14:paraId="5FFD4700" w14:textId="77777777" w:rsidR="002602D9" w:rsidRPr="00341240" w:rsidRDefault="002602D9" w:rsidP="002602D9">
      <w:pPr>
        <w:spacing w:after="0" w:line="240" w:lineRule="auto"/>
        <w:ind w:firstLine="567"/>
        <w:jc w:val="both"/>
        <w:rPr>
          <w:rFonts w:ascii="Times New Roman" w:eastAsia="Calibri" w:hAnsi="Times New Roman" w:cs="Times New Roman"/>
          <w:sz w:val="24"/>
          <w:szCs w:val="24"/>
        </w:rPr>
      </w:pPr>
    </w:p>
    <w:p w14:paraId="1299ADC2" w14:textId="77777777" w:rsidR="002602D9" w:rsidRPr="00341240" w:rsidRDefault="002602D9" w:rsidP="002602D9">
      <w:pPr>
        <w:widowControl w:val="0"/>
        <w:autoSpaceDE w:val="0"/>
        <w:autoSpaceDN w:val="0"/>
        <w:adjustRightInd w:val="0"/>
        <w:spacing w:after="0"/>
        <w:jc w:val="both"/>
        <w:rPr>
          <w:rFonts w:ascii="Times New Roman" w:eastAsia="Calibri" w:hAnsi="Times New Roman" w:cs="Times New Roman"/>
          <w:sz w:val="24"/>
          <w:szCs w:val="24"/>
        </w:rPr>
      </w:pPr>
      <w:r w:rsidRPr="0028701A">
        <w:rPr>
          <w:noProof/>
          <w:lang w:eastAsia="ru-RU"/>
        </w:rPr>
        <w:lastRenderedPageBreak/>
        <w:drawing>
          <wp:inline distT="0" distB="0" distL="0" distR="0" wp14:anchorId="1A8C395D" wp14:editId="10815797">
            <wp:extent cx="6120765" cy="1826895"/>
            <wp:effectExtent l="0" t="0" r="0" b="190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826895"/>
                    </a:xfrm>
                    <a:prstGeom prst="rect">
                      <a:avLst/>
                    </a:prstGeom>
                    <a:noFill/>
                    <a:ln>
                      <a:noFill/>
                    </a:ln>
                  </pic:spPr>
                </pic:pic>
              </a:graphicData>
            </a:graphic>
          </wp:inline>
        </w:drawing>
      </w:r>
    </w:p>
    <w:p w14:paraId="2CABAE64" w14:textId="77777777" w:rsidR="002602D9" w:rsidRPr="00341240" w:rsidRDefault="002602D9" w:rsidP="002602D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14DEDAC"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По состоянию на 01.01.2017 величина процентного риска составила 19,62% капитала (собственных средств) Банка (10,8% на 01.01.2016 г.).</w:t>
      </w:r>
    </w:p>
    <w:p w14:paraId="643A8022"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Процентный риск рассчитывается как сумма общего процентного риска неблагоприятного изменения текущей (справедливой) стоимости ценных бумаг и производных финансовых инструментов, связанного с рыночными колебаниями процентных ставок, и специального процентного риска под влиянием факторов, связанных с эмитентом ценных бумаг, а также сроков, оставшихся до погашения ценных бумаг, и валюты, в которой номинированы ценные бумаги.</w:t>
      </w:r>
    </w:p>
    <w:p w14:paraId="011B23A0"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Фондовый риск не возникает ввиду отсутствия в портфеле Банка долевых ценных бумаг. Валютный риск реализуется вследствие неблагоприятного изменения курсов валют. Открытые позиции в иностранных валютах и драгоценных металлах по состоянию на 01.01.2016 и 01.01.2017 составили менее 1% капитала (собственных средств), в этой связи НКЦ к валютному риску не чувствителен. Величина рыночного риска в течение 2016 года оценивалась как не создающая потенциальных потерь, угрожающих финансовой устойчивости НКЦ.</w:t>
      </w:r>
    </w:p>
    <w:p w14:paraId="09326DE5" w14:textId="77777777" w:rsidR="00AC5320" w:rsidRDefault="00AC5320" w:rsidP="002602D9">
      <w:pPr>
        <w:pStyle w:val="2"/>
        <w:spacing w:after="120"/>
        <w:jc w:val="center"/>
        <w:rPr>
          <w:rFonts w:ascii="Times New Roman" w:eastAsia="Calibri" w:hAnsi="Times New Roman" w:cs="Times New Roman"/>
          <w:b/>
          <w:i/>
          <w:color w:val="auto"/>
          <w:sz w:val="24"/>
          <w:szCs w:val="24"/>
        </w:rPr>
      </w:pPr>
    </w:p>
    <w:p w14:paraId="6EAEA994" w14:textId="77777777" w:rsidR="002602D9" w:rsidRPr="00C11834" w:rsidRDefault="002602D9" w:rsidP="002602D9">
      <w:pPr>
        <w:pStyle w:val="2"/>
        <w:spacing w:after="120"/>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 xml:space="preserve">Управление </w:t>
      </w:r>
      <w:r>
        <w:rPr>
          <w:rFonts w:ascii="Times New Roman" w:eastAsia="Calibri" w:hAnsi="Times New Roman" w:cs="Times New Roman"/>
          <w:b/>
          <w:i/>
          <w:color w:val="auto"/>
          <w:sz w:val="24"/>
          <w:szCs w:val="24"/>
        </w:rPr>
        <w:t>процентным риском банковского портфеля</w:t>
      </w:r>
    </w:p>
    <w:p w14:paraId="3DAC91BB" w14:textId="77777777" w:rsidR="002602D9" w:rsidRPr="00214077" w:rsidRDefault="0078181E"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602D9" w:rsidRPr="007801F8">
        <w:rPr>
          <w:rFonts w:ascii="Times New Roman" w:hAnsi="Times New Roman" w:cs="Times New Roman"/>
          <w:bCs/>
          <w:sz w:val="24"/>
          <w:szCs w:val="24"/>
        </w:rPr>
        <w:t>Управление процентным риском банковского портфеля НКЦ осуществляется в рамках управления рыночным риском банковской деятельности НКЦ.</w:t>
      </w:r>
      <w:r w:rsidR="002602D9" w:rsidRPr="00EA2597">
        <w:rPr>
          <w:rFonts w:ascii="Times New Roman" w:hAnsi="Times New Roman" w:cs="Times New Roman"/>
          <w:bCs/>
          <w:sz w:val="24"/>
          <w:szCs w:val="24"/>
        </w:rPr>
        <w:t xml:space="preserve"> Оценка процентного риска банковского портфеля осуществляется на основе анализа объема и структуры балансовых и внебалансовых требований и обязательств, включенных в банковский портфель.</w:t>
      </w:r>
      <w:r w:rsidR="002602D9" w:rsidRPr="00214077">
        <w:rPr>
          <w:rFonts w:ascii="Times New Roman" w:hAnsi="Times New Roman" w:cs="Times New Roman"/>
          <w:sz w:val="24"/>
          <w:szCs w:val="24"/>
        </w:rPr>
        <w:t xml:space="preserve"> </w:t>
      </w:r>
    </w:p>
    <w:p w14:paraId="0E578635"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2602D9" w:rsidRPr="007801F8">
        <w:rPr>
          <w:rFonts w:ascii="Times New Roman" w:hAnsi="Times New Roman" w:cs="Times New Roman"/>
          <w:bCs/>
          <w:sz w:val="24"/>
          <w:szCs w:val="24"/>
        </w:rPr>
        <w:t>Источником процентного риска является неблагоприятное изменение процентных ставок, которое может повлечь за собой возникновение у Банка потенциальных потерь вследствие несовпадения сроков погашения (пересмотра процентных ставок) активов и пассивов, чувствительных к изменению процентных ставок, при параллельном сдвиге</w:t>
      </w:r>
      <w:r w:rsidR="002602D9" w:rsidRPr="00EA2597">
        <w:rPr>
          <w:rFonts w:ascii="Times New Roman" w:hAnsi="Times New Roman" w:cs="Times New Roman"/>
          <w:bCs/>
          <w:sz w:val="24"/>
          <w:szCs w:val="24"/>
        </w:rPr>
        <w:t>, изменении наклона или формы кривой доходности, а также реализации базисного риска, возникающего из-за различной чувствительности активов и обязательств одинаковой срочности к изменению процентных ставок.</w:t>
      </w:r>
    </w:p>
    <w:p w14:paraId="5BEEA9E2" w14:textId="77777777" w:rsidR="002602D9" w:rsidRPr="00214077" w:rsidRDefault="0078181E"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602D9" w:rsidRPr="007801F8">
        <w:rPr>
          <w:rFonts w:ascii="Times New Roman" w:hAnsi="Times New Roman" w:cs="Times New Roman"/>
          <w:bCs/>
          <w:sz w:val="24"/>
          <w:szCs w:val="24"/>
        </w:rPr>
        <w:t>Для оценки уровня принятого процентного риска Банк использует методы измерения процентного риска - ГЭП-анализ и метод дюрации. В течение всего 2016 года процентный риск банковского портфеля находился в границах допустимых значений, утвержденных Правлением НКЦ.</w:t>
      </w:r>
    </w:p>
    <w:p w14:paraId="6DF817B1" w14:textId="77777777" w:rsidR="002602D9" w:rsidRPr="00214077" w:rsidRDefault="002602D9" w:rsidP="002602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B1E446"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lastRenderedPageBreak/>
        <w:t>Управление риском ликвидности</w:t>
      </w:r>
    </w:p>
    <w:p w14:paraId="008F3EC1"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Консервативная политика по размещению средств способствовала поддержанию уровня ликвидности, достаточного для выполнения платежных обязательств НКЦ, в первую очередь, как центрального контрагента. Управление ликвидностью направлено на обеспечение способности НКЦ своевременно и в полном объеме выполнять свои обязательства как в нормальных рыночных условиях, так и в непредвиденных чрезвычайных ситуациях без возникновения неприемлемых убытков и риска нанесения ущерба деловой репутации. </w:t>
      </w:r>
    </w:p>
    <w:p w14:paraId="1A2E02A0"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В течение 2016 года обязательные для кредитных организаций нормативы ликвидности выполнялись НКЦ с существенным запасом, как это показано в таблице:</w:t>
      </w:r>
    </w:p>
    <w:p w14:paraId="72277C2A" w14:textId="77777777" w:rsidR="002602D9" w:rsidRPr="00341240" w:rsidRDefault="002602D9" w:rsidP="002602D9">
      <w:pPr>
        <w:widowControl w:val="0"/>
        <w:autoSpaceDE w:val="0"/>
        <w:autoSpaceDN w:val="0"/>
        <w:adjustRightInd w:val="0"/>
        <w:spacing w:after="0" w:line="240" w:lineRule="auto"/>
        <w:jc w:val="both"/>
        <w:rPr>
          <w:rFonts w:ascii="Times New Roman" w:eastAsia="Calibri" w:hAnsi="Times New Roman" w:cs="Times New Roman"/>
          <w:sz w:val="24"/>
          <w:szCs w:val="24"/>
        </w:rPr>
      </w:pPr>
      <w:r>
        <w:rPr>
          <w:noProof/>
          <w:lang w:eastAsia="ru-RU"/>
        </w:rPr>
        <w:drawing>
          <wp:inline distT="0" distB="0" distL="0" distR="0" wp14:anchorId="4D09F52D" wp14:editId="120F9777">
            <wp:extent cx="6120765" cy="185293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1852930"/>
                    </a:xfrm>
                    <a:prstGeom prst="rect">
                      <a:avLst/>
                    </a:prstGeom>
                  </pic:spPr>
                </pic:pic>
              </a:graphicData>
            </a:graphic>
          </wp:inline>
        </w:drawing>
      </w:r>
      <w:r w:rsidRPr="00341240">
        <w:rPr>
          <w:rFonts w:ascii="Times New Roman" w:eastAsia="Calibri" w:hAnsi="Times New Roman" w:cs="Times New Roman"/>
          <w:sz w:val="24"/>
          <w:szCs w:val="24"/>
        </w:rPr>
        <w:t xml:space="preserve">   </w:t>
      </w:r>
    </w:p>
    <w:p w14:paraId="6FD35D1D" w14:textId="77777777" w:rsidR="002602D9" w:rsidRPr="00341240" w:rsidRDefault="002602D9" w:rsidP="002602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1AA821E4" w14:textId="77777777" w:rsidR="002602D9" w:rsidRPr="00341240" w:rsidRDefault="002602D9" w:rsidP="002602D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341240">
        <w:rPr>
          <w:rFonts w:ascii="Times New Roman" w:eastAsia="Calibri" w:hAnsi="Times New Roman" w:cs="Times New Roman"/>
          <w:i/>
          <w:sz w:val="24"/>
          <w:szCs w:val="24"/>
        </w:rPr>
        <w:t>Управление риском ликвидности включает следующие процедуры:</w:t>
      </w:r>
    </w:p>
    <w:p w14:paraId="3F28E126"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прогнозирование потоков платежей в разрезе основных видов валют и определение необходимого объема ликвидных активов;</w:t>
      </w:r>
    </w:p>
    <w:p w14:paraId="1E5246EC"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мониторинг коэффициентов ликвидности и их прогноз;</w:t>
      </w:r>
    </w:p>
    <w:p w14:paraId="55779696" w14:textId="77777777" w:rsidR="002602D9" w:rsidRPr="00341240" w:rsidRDefault="002602D9" w:rsidP="00441380">
      <w:pPr>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поддержание мгновенной, текущей и долгосрочной ликвидности на уровне нормативных значений;</w:t>
      </w:r>
    </w:p>
    <w:p w14:paraId="67D8E3F0"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планирование действий по восстановлению необходимого уровня ликвидности в неблагоприятных и кризисных условиях;</w:t>
      </w:r>
    </w:p>
    <w:p w14:paraId="06AD5A2A" w14:textId="77777777" w:rsidR="002602D9" w:rsidRPr="00341240" w:rsidRDefault="002602D9" w:rsidP="00441380">
      <w:pPr>
        <w:widowControl w:val="0"/>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установление лимитов и ограничений на трансформацию денежных ресурсов в другие виды активов: на операции с ценными бумагами в зависимости от вида и срока ценных бумаг, лимит открытой валютной позиции (ОВП);</w:t>
      </w:r>
    </w:p>
    <w:p w14:paraId="4368A6EB" w14:textId="77777777" w:rsidR="002602D9" w:rsidRPr="00341240" w:rsidRDefault="002602D9" w:rsidP="00441380">
      <w:pPr>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формирование оптимальной структуры активов в соответствии с ресурсной базой;</w:t>
      </w:r>
    </w:p>
    <w:p w14:paraId="20D85EEA" w14:textId="77777777" w:rsidR="002602D9" w:rsidRPr="00341240" w:rsidRDefault="002602D9" w:rsidP="00441380">
      <w:pPr>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учет срочности источников ресурсов и их объемов при размещении активов в финансовые инструменты;</w:t>
      </w:r>
    </w:p>
    <w:p w14:paraId="27BDECCF" w14:textId="77777777" w:rsidR="002602D9" w:rsidRPr="00341240" w:rsidRDefault="002602D9" w:rsidP="00441380">
      <w:pPr>
        <w:numPr>
          <w:ilvl w:val="0"/>
          <w:numId w:val="29"/>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341240">
        <w:rPr>
          <w:rFonts w:ascii="Times New Roman" w:eastAsia="Calibri" w:hAnsi="Times New Roman" w:cs="Times New Roman"/>
          <w:sz w:val="24"/>
          <w:szCs w:val="24"/>
        </w:rPr>
        <w:t>анализ негативных вариантов наступления дефицита ликвидности, оценка системы реагирования на данный риск, совершенствование механизмов и методов управления ликвидностью.</w:t>
      </w:r>
    </w:p>
    <w:p w14:paraId="3C3284B6" w14:textId="77777777" w:rsidR="002602D9" w:rsidRPr="00341240" w:rsidRDefault="002602D9" w:rsidP="002602D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791A06D7"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Управление ликвидностью осуществляется НКЦ в режиме реального времени на базе платежного календаря с использованием мер по оптимизации денежных потоков, совершенствования операционных регламентов активных операций, расчетов и корреспондентских отношений. Ежемесячно проводится оценка состояния ликвидности на основе анализа разрывов ликвидности в сроках погашения требований и обязательств (анализ активов и пассивов по срокам погашения) и расчета дефицита (избытка) ликвидности и коэффициента дефицита (избытка) ликвидности нарастающим итогом по срокам погашения с учетом инструментов рефинансирования. Детализированный анализ ликвидности на основе внутренних моделей НКЦ выполняется с применением уточняющих </w:t>
      </w:r>
      <w:r w:rsidR="002602D9" w:rsidRPr="00EA2597">
        <w:rPr>
          <w:rFonts w:ascii="Times New Roman" w:hAnsi="Times New Roman" w:cs="Times New Roman"/>
          <w:bCs/>
          <w:sz w:val="24"/>
          <w:szCs w:val="24"/>
        </w:rPr>
        <w:lastRenderedPageBreak/>
        <w:t xml:space="preserve">корректировок данных бухгалтерской отчетности по составу, суммам, срочности активов и пассивов. </w:t>
      </w:r>
    </w:p>
    <w:p w14:paraId="76B2B671"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Ежемесячный мониторинг показателей ликвидности свидетельствует об отсутствии дефицита ликвидности в 2016 году на всех сроках, как это показано на приведенном графике:</w:t>
      </w:r>
    </w:p>
    <w:p w14:paraId="410E13D9" w14:textId="77777777" w:rsidR="002602D9" w:rsidRPr="00341240" w:rsidRDefault="002602D9" w:rsidP="002602D9">
      <w:pPr>
        <w:spacing w:after="0"/>
        <w:jc w:val="center"/>
        <w:rPr>
          <w:rFonts w:ascii="Times New Roman" w:eastAsia="Calibri" w:hAnsi="Times New Roman" w:cs="Times New Roman"/>
          <w:b/>
          <w:sz w:val="24"/>
          <w:szCs w:val="24"/>
        </w:rPr>
      </w:pPr>
      <w:r w:rsidRPr="00341240">
        <w:rPr>
          <w:rFonts w:ascii="Times New Roman" w:eastAsia="Calibri" w:hAnsi="Times New Roman" w:cs="Times New Roman"/>
          <w:b/>
          <w:sz w:val="24"/>
          <w:szCs w:val="24"/>
        </w:rPr>
        <w:t>Показатели риска ликвидности на 01.01.201</w:t>
      </w:r>
      <w:r>
        <w:rPr>
          <w:rFonts w:ascii="Times New Roman" w:eastAsia="Calibri" w:hAnsi="Times New Roman" w:cs="Times New Roman"/>
          <w:b/>
          <w:sz w:val="24"/>
          <w:szCs w:val="24"/>
        </w:rPr>
        <w:t>7</w:t>
      </w:r>
    </w:p>
    <w:p w14:paraId="541C3CFA" w14:textId="77777777" w:rsidR="002602D9" w:rsidRPr="00341240" w:rsidRDefault="002602D9" w:rsidP="002602D9">
      <w:pPr>
        <w:spacing w:after="0"/>
        <w:jc w:val="center"/>
        <w:rPr>
          <w:rFonts w:ascii="Times New Roman" w:eastAsia="Calibri" w:hAnsi="Times New Roman" w:cs="Times New Roman"/>
        </w:rPr>
      </w:pPr>
      <w:r w:rsidRPr="00341240">
        <w:rPr>
          <w:rFonts w:ascii="Times New Roman" w:eastAsia="Calibri" w:hAnsi="Times New Roman" w:cs="Times New Roman"/>
        </w:rPr>
        <w:t>(оценка на основе внутренних моделей Банка)</w:t>
      </w:r>
    </w:p>
    <w:p w14:paraId="5A5C3828" w14:textId="77777777" w:rsidR="002602D9" w:rsidRPr="00341240" w:rsidRDefault="002602D9" w:rsidP="002602D9">
      <w:pPr>
        <w:spacing w:before="120" w:after="0"/>
        <w:jc w:val="center"/>
        <w:rPr>
          <w:rFonts w:ascii="Times New Roman" w:eastAsia="Calibri" w:hAnsi="Times New Roman" w:cs="Times New Roman"/>
          <w:b/>
          <w:i/>
          <w:sz w:val="24"/>
          <w:szCs w:val="24"/>
        </w:rPr>
      </w:pPr>
      <w:r>
        <w:rPr>
          <w:noProof/>
          <w:lang w:eastAsia="ru-RU"/>
        </w:rPr>
        <w:drawing>
          <wp:inline distT="0" distB="0" distL="0" distR="0" wp14:anchorId="7B327B15" wp14:editId="5AA8C013">
            <wp:extent cx="6120765" cy="2682240"/>
            <wp:effectExtent l="0" t="0" r="0" b="381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EE3419B" w14:textId="77777777" w:rsidR="002602D9" w:rsidRPr="00341240" w:rsidRDefault="002602D9" w:rsidP="002602D9">
      <w:pPr>
        <w:spacing w:before="120" w:after="0"/>
        <w:jc w:val="center"/>
        <w:rPr>
          <w:rFonts w:ascii="Times New Roman" w:eastAsia="Calibri" w:hAnsi="Times New Roman" w:cs="Times New Roman"/>
          <w:b/>
          <w:sz w:val="24"/>
          <w:szCs w:val="24"/>
        </w:rPr>
      </w:pPr>
    </w:p>
    <w:p w14:paraId="0F58A071" w14:textId="77777777" w:rsidR="002602D9" w:rsidRPr="00341240" w:rsidRDefault="002602D9" w:rsidP="002602D9">
      <w:pPr>
        <w:autoSpaceDE w:val="0"/>
        <w:autoSpaceDN w:val="0"/>
        <w:adjustRightInd w:val="0"/>
        <w:spacing w:after="0" w:line="240" w:lineRule="auto"/>
        <w:jc w:val="center"/>
        <w:rPr>
          <w:rFonts w:ascii="Times New Roman" w:eastAsia="Calibri" w:hAnsi="Times New Roman" w:cs="Times New Roman"/>
          <w:b/>
          <w:color w:val="000000"/>
          <w:sz w:val="24"/>
          <w:szCs w:val="24"/>
        </w:rPr>
      </w:pPr>
    </w:p>
    <w:p w14:paraId="560FCD51"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операционным риском</w:t>
      </w:r>
    </w:p>
    <w:p w14:paraId="37447418" w14:textId="77777777" w:rsidR="002602D9" w:rsidRPr="004F7ED3" w:rsidRDefault="002602D9" w:rsidP="002602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w:t>
      </w:r>
    </w:p>
    <w:p w14:paraId="58268420" w14:textId="2D9E0644"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Система управления операционным риском НКЦ является частью общей системы риск-менеджмента, ее функционирование нацелено на обеспечение непрерывности деятельности НКЦ, в том числе бесперебойности функционирования его собственных систем и процессов и критически важных сервисов.  Эффективность ее функционирования обеспечивается многоуровневой структурой, включающей четкое распределение полномочий и функций между профильными подразделениями, комитетами, органами управления, что в полной мере соответствует лучшим мировым практикам управления. Система управления операционным риском выстроена с учетом рекомендаций Банка России, Базельского комитета по банковскому надзору, а также CPMI-IOSCO.</w:t>
      </w:r>
    </w:p>
    <w:p w14:paraId="314F950D"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Процесс управления операционным риском включает следующие основные этапы:</w:t>
      </w:r>
    </w:p>
    <w:p w14:paraId="5515D283"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сбор данных о событиях операционного риска, произошедших в Банке путем аккумулирования информации в базе данных операционного риска по утвержденному алгоритму;</w:t>
      </w:r>
    </w:p>
    <w:p w14:paraId="4139CDAC"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выявление потенциальных операционных рисков с помощью процедур самооценки;</w:t>
      </w:r>
    </w:p>
    <w:p w14:paraId="61941068"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анализ и оценка выявленных операционных рисков;</w:t>
      </w:r>
    </w:p>
    <w:p w14:paraId="08464638"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определение мер устранения последствий конкретного СОР и мер минимизации возникновения его в будущем</w:t>
      </w:r>
      <w:r>
        <w:rPr>
          <w:rFonts w:ascii="Times New Roman" w:eastAsia="Calibri" w:hAnsi="Times New Roman" w:cs="Times New Roman"/>
          <w:sz w:val="24"/>
          <w:szCs w:val="24"/>
        </w:rPr>
        <w:t>;</w:t>
      </w:r>
    </w:p>
    <w:p w14:paraId="0B007D0E"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инф</w:t>
      </w:r>
      <w:r>
        <w:rPr>
          <w:rFonts w:ascii="Times New Roman" w:eastAsia="Calibri" w:hAnsi="Times New Roman" w:cs="Times New Roman"/>
          <w:sz w:val="24"/>
          <w:szCs w:val="24"/>
        </w:rPr>
        <w:t>о</w:t>
      </w:r>
      <w:r w:rsidRPr="004F7ED3">
        <w:rPr>
          <w:rFonts w:ascii="Times New Roman" w:eastAsia="Calibri" w:hAnsi="Times New Roman" w:cs="Times New Roman"/>
          <w:sz w:val="24"/>
          <w:szCs w:val="24"/>
        </w:rPr>
        <w:t>рмирование органов управления на периодической (ежемесячной) основе об операционном риске и контроль выполнения ими мероприятий по минимизации операционного риска по возникшим СОР на ежеквартальной основе</w:t>
      </w:r>
      <w:r>
        <w:rPr>
          <w:rFonts w:ascii="Times New Roman" w:eastAsia="Calibri" w:hAnsi="Times New Roman" w:cs="Times New Roman"/>
          <w:sz w:val="24"/>
          <w:szCs w:val="24"/>
        </w:rPr>
        <w:t>;</w:t>
      </w:r>
    </w:p>
    <w:p w14:paraId="2CCA4A18"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lastRenderedPageBreak/>
        <w:t>отчетность НКЦ, как квалифицированного ЦК, на периодической (ежемесячной) основе перед регулятором (Банком России) о перечне зарегистрированных инцидентов и выявленных операционных рисках</w:t>
      </w:r>
      <w:r>
        <w:rPr>
          <w:rFonts w:ascii="Times New Roman" w:eastAsia="Calibri" w:hAnsi="Times New Roman" w:cs="Times New Roman"/>
          <w:sz w:val="24"/>
          <w:szCs w:val="24"/>
        </w:rPr>
        <w:t>.</w:t>
      </w:r>
    </w:p>
    <w:p w14:paraId="6789438C" w14:textId="77777777" w:rsidR="002602D9" w:rsidRPr="004F7ED3" w:rsidRDefault="002602D9" w:rsidP="002602D9">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17F140FB" w14:textId="77777777" w:rsidR="002602D9" w:rsidRPr="00EA2597" w:rsidRDefault="002602D9"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EA2597">
        <w:rPr>
          <w:rFonts w:ascii="Times New Roman" w:hAnsi="Times New Roman" w:cs="Times New Roman"/>
          <w:bCs/>
          <w:sz w:val="24"/>
          <w:szCs w:val="24"/>
        </w:rPr>
        <w:t>Методологическую основу эффективного функционирования системы управления операционным риском составляют внутренние документы НКЦ, определяющие:</w:t>
      </w:r>
    </w:p>
    <w:p w14:paraId="1D569EF9"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мониторинг операционного риска с использованием системы индикаторов операционного риска;</w:t>
      </w:r>
    </w:p>
    <w:p w14:paraId="1F1D7C5E"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выявление операционных рисков по новым продуктам и процессам в процессе их разработки;</w:t>
      </w:r>
    </w:p>
    <w:p w14:paraId="4938E7AF"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сбор и анализ данных о событиях операционного риска, произошедших в других организациях, схожих с Банком по профилю деятельности с целью анализа их влияния на деятельности НКЦ;</w:t>
      </w:r>
    </w:p>
    <w:p w14:paraId="271CEDA2"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разработку мер реагирования на операционный риск и контроль за исполнением мероприятий по снижению операционных рисков;</w:t>
      </w:r>
    </w:p>
    <w:p w14:paraId="1BD51727"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проверку устойчивости НКЦ к сбоям операционно-информационных систем не реже одного раза в год;</w:t>
      </w:r>
    </w:p>
    <w:p w14:paraId="58E5E897"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повышение квалификации сотрудников по вопросам управления операционным риском;</w:t>
      </w:r>
    </w:p>
    <w:p w14:paraId="0718D641"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систему поощрений рядовых сотрудников за выявленные в процессе работы операционные риски;</w:t>
      </w:r>
    </w:p>
    <w:p w14:paraId="5EE03695"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политику разграничения прав доступа при вводе и обработке данных, снижающая риск несанкционированных либо ошибочных действий сотрудников соответствующих подразделений НКЦ;</w:t>
      </w:r>
    </w:p>
    <w:p w14:paraId="5A9ACA18" w14:textId="77777777" w:rsidR="002602D9" w:rsidRPr="004F7ED3" w:rsidRDefault="002602D9" w:rsidP="00441380">
      <w:pPr>
        <w:widowControl w:val="0"/>
        <w:numPr>
          <w:ilvl w:val="0"/>
          <w:numId w:val="29"/>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политику разграничения сред на всех стадиях жизненного цикла информационных систем.</w:t>
      </w:r>
    </w:p>
    <w:p w14:paraId="7F47DDFF" w14:textId="77777777" w:rsidR="002602D9" w:rsidRDefault="002602D9" w:rsidP="002602D9">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31C7354"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Операционный риск ограничивается, прежде всего, за счет использования надежных технических средств, информационных и технологических систем, многоуровневого контроля процедур проведения операций, высокой квалификации сотрудников.</w:t>
      </w:r>
    </w:p>
    <w:p w14:paraId="7581225F" w14:textId="77777777" w:rsidR="002602D9" w:rsidRPr="00EA2597" w:rsidRDefault="0078181E"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В структуру системы управления рисками включены Наблюдательный совет, единоличный и коллегиальный исполнительные органы, Ответственный сотрудник по управлению операционным и стратегическим риском, а также остальные сотрудники организации. Наблюдательный совет определяет ключевые принципы управления операционными рисками, в числе которых - интеграция системы управления рисками в процесс принятия управленческих решений и вовлеченность всех сотрудников компании в процесс управления рисками.  Исполнительные органы обеспечивают управленческую структуру с непротиворечивыми сферами ответственности, применение на всех уровнях организации установленных принципов.</w:t>
      </w:r>
    </w:p>
    <w:p w14:paraId="75087803"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Реализуемый в НКЦ комплексный подход к снижению операционных рисков (персонала, процессов, систем) предполагает, в частности, внедрение системы определения приоритетности автоматизации процессов (с учётом рисков), проведение регулярного риск-аудита бизнес-процессов, поддержание оперативного учёта информационных активов (информационные системы, оборудование, каналы связи), резервирование каналов связи, а также внедрение проектного и сервисного подхода в работе подразделений.</w:t>
      </w:r>
    </w:p>
    <w:p w14:paraId="60F107D8" w14:textId="77777777" w:rsidR="002602D9" w:rsidRDefault="002602D9" w:rsidP="002602D9">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19C6D3F2" w14:textId="77777777" w:rsidR="002602D9" w:rsidRPr="004F7ED3" w:rsidRDefault="00CD08CC" w:rsidP="00EA2597">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 xml:space="preserve">     </w:t>
      </w:r>
      <w:r w:rsidR="002602D9" w:rsidRPr="00EA2597">
        <w:rPr>
          <w:rFonts w:ascii="Times New Roman" w:hAnsi="Times New Roman" w:cs="Times New Roman"/>
          <w:bCs/>
          <w:sz w:val="24"/>
          <w:szCs w:val="24"/>
        </w:rPr>
        <w:t>Минимизация операционного риска в Банке осуществляется путем проведения превентивных и корректирующих внутренних и внешних контрольных мероприятий, в число которых, в частности, входят: внедрение новых процедур и программно-технических средств контроля доступа, разграничение прав пользователей/администраторов информационных систем, резервное копирование информации, анализ эффективности существующих, а также разработка и внедрение новых контрольных мероприятий.</w:t>
      </w:r>
      <w:r w:rsidR="002602D9" w:rsidRPr="004F7ED3">
        <w:rPr>
          <w:rFonts w:ascii="Times New Roman" w:eastAsia="Calibri" w:hAnsi="Times New Roman" w:cs="Times New Roman"/>
          <w:sz w:val="24"/>
          <w:szCs w:val="24"/>
        </w:rPr>
        <w:t xml:space="preserve">  </w:t>
      </w:r>
    </w:p>
    <w:p w14:paraId="35160CA1"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color w:val="000000"/>
          <w:sz w:val="24"/>
          <w:szCs w:val="24"/>
        </w:rPr>
        <w:t xml:space="preserve">     </w:t>
      </w:r>
      <w:r w:rsidR="002602D9" w:rsidRPr="00EA2597">
        <w:rPr>
          <w:rFonts w:ascii="Times New Roman" w:hAnsi="Times New Roman" w:cs="Times New Roman"/>
          <w:bCs/>
          <w:sz w:val="24"/>
          <w:szCs w:val="24"/>
        </w:rPr>
        <w:t>В Банке осуществлялся регулярный анализ ключевых процессов, по результатам которого внедряются новые технологии, снижающие уровень операционного риска. При внедрении новых продуктов и услуг проводится комплексный многофакторный анализ проекта, включая оценку операционных рисков.</w:t>
      </w:r>
    </w:p>
    <w:p w14:paraId="5D0C2EFB" w14:textId="0A6E98D1" w:rsidR="002602D9" w:rsidRPr="004F7ED3" w:rsidRDefault="00CD08CC" w:rsidP="00EA2597">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4077" w:rsidRPr="00EA2597">
        <w:rPr>
          <w:rFonts w:ascii="Times New Roman" w:hAnsi="Times New Roman" w:cs="Times New Roman"/>
          <w:bCs/>
          <w:sz w:val="24"/>
          <w:szCs w:val="24"/>
        </w:rPr>
        <w:t>В</w:t>
      </w:r>
      <w:r w:rsidR="002602D9" w:rsidRPr="00EA2597">
        <w:rPr>
          <w:rFonts w:ascii="Times New Roman" w:hAnsi="Times New Roman" w:cs="Times New Roman"/>
          <w:bCs/>
          <w:sz w:val="24"/>
          <w:szCs w:val="24"/>
        </w:rPr>
        <w:t xml:space="preserve"> целях совершенствования механизма управления операционным риском в Банке в 2016 году Наблюдательным советом НКЦ была принята обновленная политика управления операционным риском. В этом документе более детально прописаны подходы в части выявления, анализа и контроля операционного риска, порядок взаимодействия НКЦ с ПАО «Московская биржа» в процессе управления операционным риском.</w:t>
      </w:r>
    </w:p>
    <w:p w14:paraId="5A423D74"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На регулярной основе проводится независимый внешний аудит системы менеджмента информационной безопасности (в частности в 2016 г. проведен аудит на соответствие СТО БР ИББС-1.0-2014; аудит на соответствие требованиям 161-ФЗ «О национальной платежной системе»; комплексный аудит Центрального Банка; финансовый аудит за 2016 года).</w:t>
      </w:r>
    </w:p>
    <w:p w14:paraId="3942CB22" w14:textId="4C85575B" w:rsidR="002602D9" w:rsidRPr="004F7ED3" w:rsidRDefault="00CD08CC" w:rsidP="00EA2597">
      <w:pPr>
        <w:spacing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Особое внимание уделяется обеспечению непрерывности деятельности Банка - ключевые информационные системы обеспечены резервными каналами и мощностями, организовано надлежащее хранение информации в электронных архивах. Выполняя функции клиринговой организаци</w:t>
      </w:r>
      <w:r w:rsidR="00A653E8">
        <w:rPr>
          <w:rFonts w:ascii="Times New Roman" w:hAnsi="Times New Roman" w:cs="Times New Roman"/>
          <w:bCs/>
          <w:sz w:val="24"/>
          <w:szCs w:val="24"/>
        </w:rPr>
        <w:t>и</w:t>
      </w:r>
      <w:r w:rsidR="002602D9" w:rsidRPr="00EA2597">
        <w:rPr>
          <w:rFonts w:ascii="Times New Roman" w:hAnsi="Times New Roman" w:cs="Times New Roman"/>
          <w:bCs/>
          <w:sz w:val="24"/>
          <w:szCs w:val="24"/>
        </w:rPr>
        <w:t xml:space="preserve"> и центрального контрагента, НКЦ исходит из необходимости быть готовым к возникновению событий, которые могут привести к приостановке обычных операционных процедур. Положение Банка России от 16.12.2003г. № 242-П «Об организации внутреннего контроля в кредитных организациях и банковских группах» обязывает кредитные организации разрабатывать планы обеспечения непрерывности и восстановления деятельности при возникновении непредвиденных обстоятельств. Следуя требованиям регулятора, в НКЦ разработана и внедрена современная модель системы менеджмента непрерывности бизнеса, в том числе с учетом рекомендаций Центрального Банка России 20.05.2016 №17-МР «Методические рекомендации по разработке планов восстановления финансовой устойчивости инфраструктурными организациями финансового рынка».</w:t>
      </w:r>
    </w:p>
    <w:p w14:paraId="540C3F86"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При реализации процессов обеспечения непрерывности бизнеса НКЦ использует методику международного стандарта ISO 22301 (Социальная безопасность-Системы управления непрерывностью бизнеса-Требования). Основными элементами этого подхода являются:</w:t>
      </w:r>
    </w:p>
    <w:p w14:paraId="74EDE4FF"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политика обеспечения непрерывности бизнеса – согласованный Наблюдательным советом НКЦ документ, который регламентирует работу в области обеспечения непрерывности бизнеса в НКЦ;</w:t>
      </w:r>
    </w:p>
    <w:p w14:paraId="65770B5D"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оценка рисков непрерывности бизнеса – процесс по выявлению рисков, их анализ, и оценка их влияния на бизнес НКЦ;</w:t>
      </w:r>
    </w:p>
    <w:p w14:paraId="22FBCB06"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анализ влияния на бизнес – это анализ всех процессов НКЦ с точки зрения оценки возможного влияние на них различных видов инцидентов с течением времени. Анализ проводится, как минимум, ежегодно и охватывает все структурные подразделения Банка;</w:t>
      </w:r>
    </w:p>
    <w:p w14:paraId="30A86FA9"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кризисное управление – это определение высокоуровневой стратегии обеспечения </w:t>
      </w:r>
      <w:r w:rsidRPr="004F7ED3">
        <w:rPr>
          <w:rFonts w:ascii="Times New Roman" w:eastAsia="Calibri" w:hAnsi="Times New Roman" w:cs="Times New Roman"/>
          <w:sz w:val="24"/>
          <w:szCs w:val="24"/>
        </w:rPr>
        <w:lastRenderedPageBreak/>
        <w:t>непрерывности бизнеса НКЦ, которая включает в себя заранее разработанные механизмы выхода из различных кризисных ситуаций;</w:t>
      </w:r>
    </w:p>
    <w:p w14:paraId="48D06F00"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стратегия обеспечения непрерывности бизнеса – разработанная стратегия, в которой описаны принципы построения системы менеджмента непрерывности бизнеса на краткосрочную, среднесрочную и долгосрочную перспективы;</w:t>
      </w:r>
    </w:p>
    <w:p w14:paraId="7F3F2D36"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план обеспечения непрерывности и восстановления деятельности – задокументированная процедура для использования при объявлении чрезвычайной ситуации. В плане перечислены меры для поддержания критичных бизнес функций на заранее определенном и согласованном уровне;</w:t>
      </w:r>
    </w:p>
    <w:p w14:paraId="35B66522"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план восстановления – задокументированный процесс восстановления и защиты ИТ- инфраструктуры и систем, в случае возникновения чрезвычайной ситуации;</w:t>
      </w:r>
    </w:p>
    <w:p w14:paraId="31528E36"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управление инцидентами – четко определенный и задокументированный план действий, который подлежит использованию во время чрезвычайной ситуации для минимизации влияния на персонал и критичные бизнес процессы;</w:t>
      </w:r>
    </w:p>
    <w:p w14:paraId="472684AF"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кризисные коммуникации – задокументированные приоритеты в коммуникациях при возникновении чрезвычайной ситуации, которые содержат заранее разработанные образцы для оповещения во внешнюю и внутреннюю среды;</w:t>
      </w:r>
    </w:p>
    <w:p w14:paraId="2BBD09F6"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тестирование и проведение упражнений - важный процесс, разработанный для определения: адекватности, качества планирования, эффективности организационной подготовленности процесса обеспечения непрерывности бизнеса. </w:t>
      </w:r>
    </w:p>
    <w:p w14:paraId="0E33FAC9"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7B28B161"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Руководствуясь стратегией обеспечения непрерывности бизнеса и основываясь на требованиях бизнеса, в НКЦ созданы альтернативные площадки (географически разнесенные резервные офисы), которые активируются при реализации сценария недоступности основных офисов. Для оценки уровня зрелости НКЦ в области обеспечения непрерывности бизнеса регулярно готовится отчетность по ключевым показателям системы менеджмента непрерывности бизнеса и передается органам управления НКЦ.</w:t>
      </w:r>
    </w:p>
    <w:p w14:paraId="6329D790" w14:textId="77777777" w:rsidR="00646F52" w:rsidRDefault="00646F52" w:rsidP="002602D9">
      <w:pPr>
        <w:pStyle w:val="2"/>
        <w:jc w:val="center"/>
        <w:rPr>
          <w:rFonts w:ascii="Times New Roman" w:eastAsia="Calibri" w:hAnsi="Times New Roman" w:cs="Times New Roman"/>
          <w:b/>
          <w:i/>
          <w:color w:val="auto"/>
          <w:sz w:val="24"/>
          <w:szCs w:val="24"/>
        </w:rPr>
      </w:pPr>
    </w:p>
    <w:p w14:paraId="573F9CEE"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стратегическим риском</w:t>
      </w:r>
    </w:p>
    <w:p w14:paraId="3E744CB3" w14:textId="77777777" w:rsidR="00CD08CC" w:rsidRDefault="00CD08CC" w:rsidP="001E0717">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EAF3AA2"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002602D9" w:rsidRPr="007801F8">
        <w:rPr>
          <w:rFonts w:ascii="Times New Roman" w:hAnsi="Times New Roman" w:cs="Times New Roman"/>
          <w:bCs/>
          <w:sz w:val="24"/>
          <w:szCs w:val="24"/>
        </w:rPr>
        <w:t xml:space="preserve">Стратегические цели НКЦ определены в Стратегии НКЦ на 2017-2020гг., </w:t>
      </w:r>
      <w:r w:rsidR="002602D9" w:rsidRPr="00EA2597">
        <w:rPr>
          <w:rFonts w:ascii="Times New Roman" w:hAnsi="Times New Roman" w:cs="Times New Roman"/>
          <w:bCs/>
          <w:sz w:val="24"/>
          <w:szCs w:val="24"/>
        </w:rPr>
        <w:t>разработанной в соответствии со Стратегии Группы «Московская Биржа» на 2015-2020гг., и утверждены Наблюдательным советом Банка.</w:t>
      </w:r>
      <w:r w:rsidR="00AE1508">
        <w:rPr>
          <w:rFonts w:ascii="Times New Roman" w:hAnsi="Times New Roman" w:cs="Times New Roman"/>
          <w:bCs/>
          <w:sz w:val="24"/>
          <w:szCs w:val="24"/>
        </w:rPr>
        <w:t xml:space="preserve"> </w:t>
      </w:r>
      <w:r w:rsidR="002602D9" w:rsidRPr="00EA2597">
        <w:rPr>
          <w:rFonts w:ascii="Times New Roman" w:hAnsi="Times New Roman" w:cs="Times New Roman"/>
          <w:bCs/>
          <w:sz w:val="24"/>
          <w:szCs w:val="24"/>
        </w:rPr>
        <w:t>Стратегический риск – риск неблагоприятного изменения результатов деятельности вследствие принятия ошибочных решений в процессе управления НКЦ, в том числе при разработке, утверждении и реализации стратегии развития НКЦ, ненадлежащем исполнении принятых решений, а также неспособности органов управления НКЦ учитывать изменения внешних факторов. Таким образом, эффективное управление стратегическим риском является залогом успеха в достижении стратегических целей при реализации стратегии.</w:t>
      </w:r>
    </w:p>
    <w:p w14:paraId="21A011F4"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 xml:space="preserve">Система управления стратегическим риском учитывает риски, возникающие в деятельности НКЦ при совмещении функций кредитной организации, клиринговой организации, центрального контрагента и оператора товарных поставок. </w:t>
      </w:r>
    </w:p>
    <w:p w14:paraId="14DD917D"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процессе управления стратегическим риском НКЦ руководствуется следующими принципами:</w:t>
      </w:r>
    </w:p>
    <w:p w14:paraId="132325B4" w14:textId="77777777"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соответствие стратегии характеру, возможностям и масштабам деятельности НКЦ;</w:t>
      </w:r>
    </w:p>
    <w:p w14:paraId="466A3432" w14:textId="77777777"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внесение оперативных изменений в стратегические задачи НКЦ в случае изменения внешних и внутренних факторов;</w:t>
      </w:r>
    </w:p>
    <w:p w14:paraId="736138C7" w14:textId="77777777"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наличие </w:t>
      </w:r>
      <w:r w:rsidRPr="004F7ED3">
        <w:rPr>
          <w:rFonts w:ascii="Times New Roman" w:eastAsia="Calibri" w:hAnsi="Times New Roman" w:cs="Times New Roman"/>
          <w:sz w:val="24"/>
          <w:szCs w:val="24"/>
        </w:rPr>
        <w:t>возможност</w:t>
      </w:r>
      <w:r>
        <w:rPr>
          <w:rFonts w:ascii="Times New Roman" w:eastAsia="Calibri" w:hAnsi="Times New Roman" w:cs="Times New Roman"/>
          <w:sz w:val="24"/>
          <w:szCs w:val="24"/>
        </w:rPr>
        <w:t>и</w:t>
      </w:r>
      <w:r w:rsidRPr="004F7ED3">
        <w:rPr>
          <w:rFonts w:ascii="Times New Roman" w:eastAsia="Calibri" w:hAnsi="Times New Roman" w:cs="Times New Roman"/>
          <w:sz w:val="24"/>
          <w:szCs w:val="24"/>
        </w:rPr>
        <w:t xml:space="preserve"> количественной оценки соответствующих параметров стратегического риска;</w:t>
      </w:r>
    </w:p>
    <w:p w14:paraId="73CC2998" w14:textId="18520A3B"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регулярное проведени</w:t>
      </w:r>
      <w:r w:rsidR="00B05839">
        <w:rPr>
          <w:rFonts w:ascii="Times New Roman" w:eastAsia="Calibri" w:hAnsi="Times New Roman" w:cs="Times New Roman"/>
          <w:sz w:val="24"/>
          <w:szCs w:val="24"/>
        </w:rPr>
        <w:t>е</w:t>
      </w:r>
      <w:r w:rsidRPr="004F7ED3">
        <w:rPr>
          <w:rFonts w:ascii="Times New Roman" w:eastAsia="Calibri" w:hAnsi="Times New Roman" w:cs="Times New Roman"/>
          <w:sz w:val="24"/>
          <w:szCs w:val="24"/>
        </w:rPr>
        <w:t xml:space="preserve"> мониторинга размеров параметров стратегического риска;</w:t>
      </w:r>
    </w:p>
    <w:p w14:paraId="7A649D6F" w14:textId="77777777"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осуществление оценки риска и подготовка информации для принятия надлежащих управленческих решений;</w:t>
      </w:r>
    </w:p>
    <w:p w14:paraId="00F896DA" w14:textId="77777777" w:rsidR="002602D9" w:rsidRPr="004F7ED3" w:rsidRDefault="002602D9" w:rsidP="00441380">
      <w:pPr>
        <w:numPr>
          <w:ilvl w:val="0"/>
          <w:numId w:val="32"/>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 xml:space="preserve"> наличие самостоятельных и независимых информационных подходов по всем значимым рискам.</w:t>
      </w:r>
    </w:p>
    <w:p w14:paraId="5BBFCF7B"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68879AEB"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Для целей мониторинга стратегического риска установлены критерии мониторинга:</w:t>
      </w:r>
    </w:p>
    <w:p w14:paraId="354F0AA1" w14:textId="77777777" w:rsidR="002602D9" w:rsidRPr="004F7ED3" w:rsidRDefault="002602D9" w:rsidP="00441380">
      <w:pPr>
        <w:numPr>
          <w:ilvl w:val="0"/>
          <w:numId w:val="33"/>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критерий мониторинга, связанный с невозможностью достичь установленные стратегические цели;</w:t>
      </w:r>
    </w:p>
    <w:p w14:paraId="3457937D" w14:textId="77777777" w:rsidR="002602D9" w:rsidRPr="004F7ED3" w:rsidRDefault="002602D9" w:rsidP="00441380">
      <w:pPr>
        <w:numPr>
          <w:ilvl w:val="0"/>
          <w:numId w:val="33"/>
        </w:numPr>
        <w:spacing w:after="0" w:line="240" w:lineRule="auto"/>
        <w:ind w:left="0" w:firstLine="567"/>
        <w:contextualSpacing/>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критерий мониторинга, связанный с изменением стратегических целей.</w:t>
      </w:r>
    </w:p>
    <w:p w14:paraId="1EC1E373"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0F3F7FBB" w14:textId="77777777" w:rsidR="002602D9" w:rsidRPr="00AE1508" w:rsidRDefault="002602D9" w:rsidP="00AE1508">
      <w:pPr>
        <w:spacing w:line="240" w:lineRule="auto"/>
        <w:ind w:firstLine="567"/>
        <w:jc w:val="both"/>
        <w:rPr>
          <w:rFonts w:ascii="Times New Roman" w:hAnsi="Times New Roman" w:cs="Times New Roman"/>
          <w:bCs/>
          <w:sz w:val="24"/>
          <w:szCs w:val="24"/>
        </w:rPr>
      </w:pPr>
      <w:r w:rsidRPr="00AE1508">
        <w:rPr>
          <w:rFonts w:ascii="Times New Roman" w:hAnsi="Times New Roman" w:cs="Times New Roman"/>
          <w:bCs/>
          <w:sz w:val="24"/>
          <w:szCs w:val="24"/>
        </w:rPr>
        <w:t>Мониторинг стратегического риска осуществляется в соответствии с установленными критериями посредством набора качественных показателей, в том числе:</w:t>
      </w:r>
    </w:p>
    <w:p w14:paraId="1213F151"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выявление случаев несоблюдения одобренной Стратегии развития;</w:t>
      </w:r>
    </w:p>
    <w:p w14:paraId="221D75BD"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выявление значительных отклонений в сроках и/или бюджете реализации стратегических проектов;</w:t>
      </w:r>
    </w:p>
    <w:p w14:paraId="5F3A87CF"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выявление рисков, препятствующих достижению стратегических целей.</w:t>
      </w:r>
    </w:p>
    <w:p w14:paraId="6378FA39"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3324375F"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Дополнительным инструментом управления стратегическим риском на этапе реализации стратегии является мониторинг хода реализации Стратегических инициатив. По результатам мониторинга стратегического риска предоставляется отчетность на регулярной основе уполномоченным коллегиальным органам НКЦ, которая включает в себя:</w:t>
      </w:r>
    </w:p>
    <w:p w14:paraId="0F6D091D"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данные об уровне и динамике стратегического риска;</w:t>
      </w:r>
    </w:p>
    <w:p w14:paraId="65034997"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статистические данные по ключевым индикаторам риска;</w:t>
      </w:r>
    </w:p>
    <w:p w14:paraId="4A2B1E91"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результаты программ выявления и оценки стратегического риска;</w:t>
      </w:r>
    </w:p>
    <w:p w14:paraId="73406C0D"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отчет по статусам выполнения мероприятий по снижению риска;</w:t>
      </w:r>
    </w:p>
    <w:p w14:paraId="097E2497" w14:textId="77777777" w:rsidR="002602D9" w:rsidRPr="004F7ED3" w:rsidRDefault="002602D9" w:rsidP="00441380">
      <w:pPr>
        <w:widowControl w:val="0"/>
        <w:numPr>
          <w:ilvl w:val="0"/>
          <w:numId w:val="29"/>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4F7ED3">
        <w:rPr>
          <w:rFonts w:ascii="Times New Roman" w:eastAsia="Calibri" w:hAnsi="Times New Roman" w:cs="Times New Roman"/>
          <w:sz w:val="24"/>
          <w:szCs w:val="24"/>
        </w:rPr>
        <w:t>другую информацию, касающуюся управления стратегическими рисками.</w:t>
      </w:r>
    </w:p>
    <w:p w14:paraId="474E5DB1" w14:textId="77777777" w:rsidR="002602D9" w:rsidRDefault="002602D9" w:rsidP="002602D9">
      <w:pPr>
        <w:spacing w:after="0" w:line="240" w:lineRule="auto"/>
        <w:ind w:firstLine="567"/>
        <w:jc w:val="both"/>
        <w:rPr>
          <w:rFonts w:ascii="Times New Roman" w:eastAsia="Calibri" w:hAnsi="Times New Roman" w:cs="Times New Roman"/>
          <w:sz w:val="24"/>
          <w:szCs w:val="24"/>
        </w:rPr>
      </w:pPr>
    </w:p>
    <w:p w14:paraId="246D28EB"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Результаты управления стратегическим риском учитываются в процессе стратегического планирования в соответствии со стратегическими целями НКЦ и Стратегией Группы. На основании установленных текущих и плановых (целевых) показателей риск-аппетита НКЦ участвует в разработке стратегических целей.</w:t>
      </w:r>
    </w:p>
    <w:p w14:paraId="0AC77C24" w14:textId="77777777" w:rsidR="002602D9" w:rsidRPr="00D7519F" w:rsidRDefault="002602D9" w:rsidP="002602D9">
      <w:pPr>
        <w:spacing w:after="0" w:line="240" w:lineRule="auto"/>
        <w:ind w:firstLine="567"/>
        <w:jc w:val="both"/>
        <w:rPr>
          <w:rFonts w:ascii="Times New Roman" w:eastAsia="Calibri" w:hAnsi="Times New Roman" w:cs="Times New Roman"/>
          <w:sz w:val="24"/>
          <w:szCs w:val="24"/>
        </w:rPr>
      </w:pPr>
    </w:p>
    <w:p w14:paraId="21F23078"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правовым риском</w:t>
      </w:r>
    </w:p>
    <w:p w14:paraId="633A38B1" w14:textId="4230469D"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 xml:space="preserve">Организация управления правовым риском в НКЦ осуществляется с учетом специфики деятельности Банка, совмещающего функции центрального контрагента и клиринговой организации на финансовых рынках Группы «Московская Биржа» с банковской деятельностью, также деятельностью оператора товарных поставок. При этом особое внимание уделяется мерам по минимизации правового риска при осуществлении НКЦ функций центрального контрагента. Факторы правового риска в НКЦ являются общими для всех видов деятельности, поэтому в целях организации процесса управления правовым риском в НКЦ построена комплексная система управления </w:t>
      </w:r>
      <w:r w:rsidR="00C726F7">
        <w:rPr>
          <w:rFonts w:ascii="Times New Roman" w:hAnsi="Times New Roman" w:cs="Times New Roman"/>
          <w:bCs/>
          <w:sz w:val="24"/>
          <w:szCs w:val="24"/>
        </w:rPr>
        <w:t xml:space="preserve">данным видом риска </w:t>
      </w:r>
      <w:r w:rsidR="002602D9" w:rsidRPr="00EA2597">
        <w:rPr>
          <w:rFonts w:ascii="Times New Roman" w:hAnsi="Times New Roman" w:cs="Times New Roman"/>
          <w:bCs/>
          <w:sz w:val="24"/>
          <w:szCs w:val="24"/>
        </w:rPr>
        <w:t xml:space="preserve"> по всем направлениям деятельности НКЦ.</w:t>
      </w:r>
    </w:p>
    <w:p w14:paraId="4B9DDAFB" w14:textId="6026DED2"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szCs w:val="24"/>
        </w:rPr>
        <w:lastRenderedPageBreak/>
        <w:t xml:space="preserve">     </w:t>
      </w:r>
      <w:r w:rsidR="002602D9" w:rsidRPr="00EA2597">
        <w:rPr>
          <w:rFonts w:ascii="Times New Roman" w:hAnsi="Times New Roman" w:cs="Times New Roman"/>
          <w:bCs/>
          <w:sz w:val="24"/>
          <w:szCs w:val="24"/>
        </w:rPr>
        <w:t>Управление правовым риском в Банке осуществляется в соответствии с Положением «Об организации управления правовым риском в Банке «Национальный Клиринговый Центр»</w:t>
      </w:r>
      <w:r w:rsidR="003660DA">
        <w:rPr>
          <w:rFonts w:ascii="Times New Roman" w:hAnsi="Times New Roman" w:cs="Times New Roman"/>
          <w:bCs/>
          <w:sz w:val="24"/>
          <w:szCs w:val="24"/>
        </w:rPr>
        <w:t xml:space="preserve"> </w:t>
      </w:r>
      <w:r w:rsidR="002602D9" w:rsidRPr="00EA2597">
        <w:rPr>
          <w:rFonts w:ascii="Times New Roman" w:hAnsi="Times New Roman" w:cs="Times New Roman"/>
          <w:bCs/>
          <w:sz w:val="24"/>
          <w:szCs w:val="24"/>
        </w:rPr>
        <w:t xml:space="preserve">(Акционерное общество)», утвержденным решением Наблюдательного совета Банка НКЦ (АО) 24.12.2015 (протокол № 8), которое учитывает требования Банка России к управлению правовым риском, изложенные в Положении от 12.03.2015 № 463-П «О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w:t>
      </w:r>
      <w:r w:rsidR="003660DA">
        <w:rPr>
          <w:rFonts w:ascii="Times New Roman" w:hAnsi="Times New Roman" w:cs="Times New Roman"/>
          <w:bCs/>
          <w:sz w:val="24"/>
          <w:szCs w:val="24"/>
        </w:rPr>
        <w:t xml:space="preserve">в </w:t>
      </w:r>
      <w:r w:rsidR="002602D9" w:rsidRPr="00EA2597">
        <w:rPr>
          <w:rFonts w:ascii="Times New Roman" w:hAnsi="Times New Roman" w:cs="Times New Roman"/>
          <w:bCs/>
          <w:sz w:val="24"/>
          <w:szCs w:val="24"/>
        </w:rPr>
        <w:t xml:space="preserve">Указании от 15.04.2015 № 3624-У «О требованиях к системе управления рисками и капиталом кредитной организации и банковской группы», Указании от 03.12.2012 № 2919-У «Об оценке качества управления кредитной организации, осуществляющей функции центрального контрагента», </w:t>
      </w:r>
      <w:r w:rsidR="003660DA">
        <w:rPr>
          <w:rFonts w:ascii="Times New Roman" w:hAnsi="Times New Roman" w:cs="Times New Roman"/>
          <w:bCs/>
          <w:sz w:val="24"/>
          <w:szCs w:val="24"/>
        </w:rPr>
        <w:t xml:space="preserve">а также </w:t>
      </w:r>
      <w:r w:rsidR="00CD255F">
        <w:rPr>
          <w:rFonts w:ascii="Times New Roman" w:hAnsi="Times New Roman" w:cs="Times New Roman"/>
          <w:bCs/>
          <w:sz w:val="24"/>
          <w:szCs w:val="24"/>
        </w:rPr>
        <w:t xml:space="preserve">в </w:t>
      </w:r>
      <w:r w:rsidR="002602D9" w:rsidRPr="00EA2597">
        <w:rPr>
          <w:rFonts w:ascii="Times New Roman" w:hAnsi="Times New Roman" w:cs="Times New Roman"/>
          <w:bCs/>
          <w:sz w:val="24"/>
          <w:szCs w:val="24"/>
        </w:rPr>
        <w:t>Письме от 30.06.2005 № 92-Т «Об организации управления правовым риском и риском потери деловой репутации в кредитных организациях и банковских группах».</w:t>
      </w:r>
    </w:p>
    <w:p w14:paraId="01E6B29E"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Процесс управления правовым риском предполагает распределение полномочий между различными уровнями органов управления НКЦ, а также структурными подразделениями и работниками Банка. Система полномочий по принятию решений в процессе управления правовым риском и контроля за эффективностью  управления правовым риском включает в себя несколько уровней: первый уровень – Наблюдательный совет НКЦ и Комитет по рискам Наблюдательного совета; второй уровень – Правление НКЦ, Председатель Правления, Служба внутреннего аудита; третий уровень -  Ответственный сотрудник по правовым вопросам, Юридическое управление, Служба внутреннего контроля, Департамент анализа и контроля рисков, Сотрудник, ответственный за управление операционным риском; четвертый уровень – другие подразделения.</w:t>
      </w:r>
    </w:p>
    <w:p w14:paraId="0A5F0C4D"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 xml:space="preserve">В соответствии с внутренним распорядительным документом в Банке назначен Ответственный сотрудник по правовым вопросам, осуществляющий управление правовым риском и организацию работы по минимизации правового риска. Ответственный сотрудник по правовым вопросам находится в непосредственном подчинении Председателя Правления НКЦ и в своей деятельности независим от деятельности Юридического управления и подразделений, осуществляющих операции (сделки), связанные с принятием правового риска. </w:t>
      </w:r>
    </w:p>
    <w:p w14:paraId="7B67A297"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 xml:space="preserve">На постоянной основе Ответственным сотрудником по правовым вопросам организуется мониторинг законодательства Российской Федерации, подготавливаются обзоры по изменениям законодательства Российской Федерации, нормативных правовых актов Российской Федерации, судебной практики, а также проектов нормативных правовых актов Российской Федерации, по вопросам, имеющим отношение к деятельности НКЦ. Такие обзоры направляются всем заинтересованным структурным подразделениям НКЦ. Руководители заинтересованных структурных подразделений обеспечивают своевременное внесение изменений во внутренние документы НКЦ, учитывающие изменения законодательства Российской Федерации. </w:t>
      </w:r>
    </w:p>
    <w:p w14:paraId="51D569AA"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В целях минимизации правового риска разработаны типовые формы договоров и иных внутренних документов, установлен порядок согласования Юридическим управлением заключаемых Банком договоров, проводимых операций и других сделок, отличных от типовых.</w:t>
      </w:r>
    </w:p>
    <w:p w14:paraId="03438231"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 xml:space="preserve">В соответствии с внутренними документами НКЦ осуществляются сбор и анализ информации о событиях правового риска и мониторинг правового риска. Ответственным сотрудником по правовым вопросам ежеквартально подготавливается и выносится на </w:t>
      </w:r>
      <w:r w:rsidR="002602D9" w:rsidRPr="00EA2597">
        <w:rPr>
          <w:rFonts w:ascii="Times New Roman" w:hAnsi="Times New Roman" w:cs="Times New Roman"/>
          <w:bCs/>
          <w:sz w:val="24"/>
          <w:szCs w:val="24"/>
        </w:rPr>
        <w:lastRenderedPageBreak/>
        <w:t xml:space="preserve">рассмотрение и утверждение Правления НКЦ отчетность по правовому риску. Эта   отчетность формируется на основании показателей оценки уровня правового риска, установленных Положением «Об организации управления правовым риском в Банке «Национальный Клиринговый Центр» (Акционерное общество)», и содержит следующую информацию: оценка уровня правового риска; результаты оценки уровня правового риска в динамике; соотношение показателей уровня правового риска с установленными лимитами. </w:t>
      </w:r>
    </w:p>
    <w:p w14:paraId="4FE646B3"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color w:val="000000"/>
          <w:sz w:val="24"/>
        </w:rPr>
        <w:t xml:space="preserve">     </w:t>
      </w:r>
      <w:r w:rsidR="002602D9" w:rsidRPr="00EA2597">
        <w:rPr>
          <w:rFonts w:ascii="Times New Roman" w:hAnsi="Times New Roman" w:cs="Times New Roman"/>
          <w:bCs/>
          <w:sz w:val="24"/>
          <w:szCs w:val="24"/>
        </w:rPr>
        <w:t xml:space="preserve">Показатели оценки уровня правового риска в 2016 году не превысили лимитов, установленных решением Правления Банка. Повышенное внимание в 2016 году уделялось анализу претензий участников клиринга и контрагентов, а также мероприятиям, направленным на предотвращение возникновения ситуаций, способных повлечь за собой предъявление к НКЦ судебных исков. По каждому событию правового риска, в том числе связанному с предъявлением клиентами и контрагентами претензий к НКЦ, оперативно принимались меры для снижения риска. </w:t>
      </w:r>
    </w:p>
    <w:p w14:paraId="50332402" w14:textId="77777777" w:rsidR="002602D9" w:rsidRPr="00EA2597" w:rsidRDefault="00CD08CC" w:rsidP="00EA2597">
      <w:pPr>
        <w:spacing w:line="240" w:lineRule="auto"/>
        <w:ind w:firstLine="567"/>
        <w:jc w:val="both"/>
        <w:rPr>
          <w:rFonts w:ascii="Times New Roman" w:hAnsi="Times New Roman" w:cs="Times New Roman"/>
          <w:bCs/>
          <w:sz w:val="24"/>
          <w:szCs w:val="24"/>
        </w:rPr>
      </w:pPr>
      <w:r>
        <w:rPr>
          <w:rFonts w:ascii="Times New Roman" w:hAnsi="Times New Roman"/>
          <w:sz w:val="24"/>
        </w:rPr>
        <w:t xml:space="preserve">     </w:t>
      </w:r>
      <w:r w:rsidR="002602D9" w:rsidRPr="00EA2597">
        <w:rPr>
          <w:rFonts w:ascii="Times New Roman" w:hAnsi="Times New Roman" w:cs="Times New Roman"/>
          <w:bCs/>
          <w:sz w:val="24"/>
          <w:szCs w:val="24"/>
        </w:rPr>
        <w:t>Количество зафиксированных в 2016 году событий правового риска, связанных с предъявлением клиентами и контрагентами претензий к НКЦ, в сравнении с 2015 годом уменьшилось более чем в два раза. Выплаты Банком денежных средств по решению судебных органов в 2016 году не осуществлялись.</w:t>
      </w:r>
    </w:p>
    <w:p w14:paraId="54F94F8B" w14:textId="77777777" w:rsidR="002602D9" w:rsidRDefault="002602D9" w:rsidP="002602D9">
      <w:pPr>
        <w:pStyle w:val="2"/>
        <w:jc w:val="center"/>
        <w:rPr>
          <w:rFonts w:ascii="Times New Roman" w:hAnsi="Times New Roman" w:cs="Times New Roman"/>
          <w:sz w:val="24"/>
          <w:szCs w:val="24"/>
        </w:rPr>
      </w:pPr>
    </w:p>
    <w:p w14:paraId="7B6D7A22"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регуляторным (комплаенс) риском</w:t>
      </w:r>
    </w:p>
    <w:p w14:paraId="31F3671C" w14:textId="77777777" w:rsidR="002602D9" w:rsidRDefault="002602D9" w:rsidP="002602D9">
      <w:pPr>
        <w:spacing w:after="0" w:line="240" w:lineRule="auto"/>
        <w:ind w:firstLine="709"/>
        <w:contextualSpacing/>
        <w:jc w:val="both"/>
        <w:rPr>
          <w:rFonts w:ascii="Times New Roman" w:hAnsi="Times New Roman" w:cs="Times New Roman"/>
          <w:color w:val="000000"/>
          <w:sz w:val="24"/>
          <w:szCs w:val="24"/>
        </w:rPr>
      </w:pPr>
    </w:p>
    <w:p w14:paraId="61C76148" w14:textId="77777777" w:rsidR="002602D9" w:rsidRPr="00B13264" w:rsidRDefault="00F676A1" w:rsidP="00EA259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Регуляторный (комплаенс) риск – это риск убытков, возникающих в результате несоблюдения законодательства Российской Федерации, внутренних документов организации, а также в результате применения санкций и (или) иных мер воздействия со стороны надзорных органов.</w:t>
      </w:r>
    </w:p>
    <w:p w14:paraId="38EBE544" w14:textId="77777777" w:rsidR="002602D9" w:rsidRDefault="002602D9" w:rsidP="001E0717">
      <w:pPr>
        <w:spacing w:after="0" w:line="240" w:lineRule="auto"/>
        <w:ind w:firstLine="709"/>
        <w:contextualSpacing/>
        <w:jc w:val="both"/>
        <w:rPr>
          <w:rFonts w:ascii="Times New Roman" w:hAnsi="Times New Roman" w:cs="Times New Roman"/>
          <w:color w:val="000000"/>
          <w:sz w:val="24"/>
          <w:szCs w:val="24"/>
        </w:rPr>
      </w:pPr>
    </w:p>
    <w:p w14:paraId="4CC740F0"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Специфика проявления регуляторного риска применительно к деятельности НКЦ в качестве клиринговой организации, центрального контрагента и оператора товарных поставок заключается в возможности возникновения расходов (убытков) НКЦ в результате несоблюдения требований Федерального закона от 07.02.2011 № 7-ФЗ «О клиринге, клиринговой деятельности и центральном контрагенте», нормативных актов Банка России, Устава и внутренних документов НКЦ, связанных с перечисленными выше видами его деятельности.</w:t>
      </w:r>
    </w:p>
    <w:p w14:paraId="13130BDC" w14:textId="77777777" w:rsidR="002602D9" w:rsidRDefault="002602D9" w:rsidP="002602D9">
      <w:pPr>
        <w:autoSpaceDE w:val="0"/>
        <w:autoSpaceDN w:val="0"/>
        <w:spacing w:after="0" w:line="240" w:lineRule="auto"/>
        <w:ind w:firstLine="709"/>
        <w:contextualSpacing/>
        <w:jc w:val="both"/>
        <w:rPr>
          <w:rFonts w:ascii="Times New Roman" w:hAnsi="Times New Roman" w:cs="Times New Roman"/>
          <w:color w:val="000000"/>
          <w:sz w:val="24"/>
          <w:szCs w:val="24"/>
        </w:rPr>
      </w:pPr>
    </w:p>
    <w:p w14:paraId="5CBAB423" w14:textId="77777777" w:rsidR="002602D9" w:rsidRPr="00B13264" w:rsidRDefault="00F676A1" w:rsidP="00EA259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Управление регуляторным риском осуществляется Службой внутреннего контроля, в перечень задач которой входит осуществление следующих действий:</w:t>
      </w:r>
    </w:p>
    <w:p w14:paraId="019D8BEB"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color w:val="000000"/>
          <w:sz w:val="24"/>
          <w:szCs w:val="24"/>
        </w:rPr>
        <w:t>минимизация возникновения регуляторного риска (</w:t>
      </w:r>
      <w:r w:rsidRPr="002F7C4C">
        <w:rPr>
          <w:rFonts w:ascii="Times New Roman" w:hAnsi="Times New Roman"/>
          <w:sz w:val="24"/>
          <w:szCs w:val="24"/>
        </w:rPr>
        <w:t>сбор информации, анализ информации на предмет их связи с регуляторным риском, предварительная обработка информации, взаимодействие со структурными подразделениями в целях получения разъяснений, дополнительной информации, фиксация событий)</w:t>
      </w:r>
      <w:r w:rsidRPr="002F7C4C">
        <w:rPr>
          <w:rFonts w:ascii="Times New Roman" w:hAnsi="Times New Roman"/>
          <w:color w:val="000000"/>
          <w:sz w:val="24"/>
          <w:szCs w:val="24"/>
        </w:rPr>
        <w:t>;</w:t>
      </w:r>
    </w:p>
    <w:p w14:paraId="140D6AC0"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sz w:val="24"/>
          <w:szCs w:val="24"/>
        </w:rPr>
        <w:t>контроль за соблюдением НКЦ законодательства о клиринге и клиринговой деятельности, о противодействии неправомерному использованию инсайдерской информации и манипулированию рынком</w:t>
      </w:r>
      <w:r w:rsidRPr="002F7C4C">
        <w:rPr>
          <w:rFonts w:ascii="Times New Roman" w:hAnsi="Times New Roman"/>
          <w:color w:val="000000"/>
          <w:sz w:val="24"/>
          <w:szCs w:val="24"/>
        </w:rPr>
        <w:t>;</w:t>
      </w:r>
    </w:p>
    <w:p w14:paraId="61C4F9F4"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sz w:val="24"/>
          <w:szCs w:val="24"/>
        </w:rPr>
        <w:t>принятие своевременных и эффективных решений, направленных на устранение выявленных недостатков и нарушений в деятельности НКЦ</w:t>
      </w:r>
      <w:r w:rsidRPr="002F7C4C">
        <w:rPr>
          <w:rFonts w:ascii="Times New Roman" w:hAnsi="Times New Roman"/>
          <w:color w:val="000000"/>
          <w:sz w:val="24"/>
          <w:szCs w:val="24"/>
        </w:rPr>
        <w:t>;</w:t>
      </w:r>
    </w:p>
    <w:p w14:paraId="5CB5DF71"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color w:val="000000"/>
          <w:sz w:val="24"/>
          <w:szCs w:val="24"/>
        </w:rPr>
        <w:t>предотвращение и управление конфликтом интересов, с учетом специфики деятельности НКЦ;</w:t>
      </w:r>
    </w:p>
    <w:p w14:paraId="4849D375"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color w:val="000000"/>
          <w:sz w:val="24"/>
          <w:szCs w:val="24"/>
        </w:rPr>
        <w:lastRenderedPageBreak/>
        <w:t>использование лучших комплаенс-практик, стандартов и норм профессиональной этики;</w:t>
      </w:r>
    </w:p>
    <w:p w14:paraId="53420E70" w14:textId="77777777" w:rsidR="002602D9" w:rsidRPr="002F7C4C" w:rsidRDefault="002602D9" w:rsidP="00441380">
      <w:pPr>
        <w:pStyle w:val="a3"/>
        <w:numPr>
          <w:ilvl w:val="0"/>
          <w:numId w:val="51"/>
        </w:numPr>
        <w:autoSpaceDE w:val="0"/>
        <w:autoSpaceDN w:val="0"/>
        <w:spacing w:after="0" w:line="240" w:lineRule="auto"/>
        <w:jc w:val="both"/>
        <w:rPr>
          <w:rFonts w:ascii="Times New Roman" w:hAnsi="Times New Roman"/>
          <w:color w:val="000000"/>
          <w:sz w:val="24"/>
          <w:szCs w:val="24"/>
        </w:rPr>
      </w:pPr>
      <w:r w:rsidRPr="002F7C4C">
        <w:rPr>
          <w:rFonts w:ascii="Times New Roman" w:hAnsi="Times New Roman"/>
          <w:sz w:val="24"/>
          <w:szCs w:val="24"/>
        </w:rPr>
        <w:t>методическая поддержка работников Банка по определению зон возможного возникновения регуляторного риска, исходя из задач и функций, возложенных на структурное подразделение, в рамках своей компетенции</w:t>
      </w:r>
      <w:r w:rsidRPr="002F7C4C">
        <w:rPr>
          <w:rFonts w:ascii="Times New Roman" w:hAnsi="Times New Roman"/>
          <w:color w:val="000000"/>
          <w:sz w:val="24"/>
          <w:szCs w:val="24"/>
        </w:rPr>
        <w:t>.</w:t>
      </w:r>
    </w:p>
    <w:p w14:paraId="2830BDD9" w14:textId="77777777" w:rsidR="002602D9" w:rsidRDefault="002602D9" w:rsidP="002602D9">
      <w:pPr>
        <w:spacing w:after="0" w:line="240" w:lineRule="auto"/>
        <w:ind w:firstLine="270"/>
        <w:jc w:val="both"/>
        <w:rPr>
          <w:rFonts w:ascii="Times New Roman" w:hAnsi="Times New Roman" w:cs="Times New Roman"/>
        </w:rPr>
      </w:pPr>
    </w:p>
    <w:p w14:paraId="70EFFB88"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Отчетность о событиях регуляторного риска предоставляется органам управления НКЦ в соответствии с Положением об организации управления регуляторным риском (комплаенс-риском), принятом в конце 2015 года. В процессе управления регуляторным риском в 2016 году подход к классификации событий регуляторного риска был скорректирован с целью обеспечения максимально возможно точной идентификации событий, приводящих к реализации регуляторного риска и событий, которые могли бы привести к реализации данного вида риска, но не привели в силу наличия контролей и принятых мер.</w:t>
      </w:r>
    </w:p>
    <w:p w14:paraId="4191781B" w14:textId="77777777" w:rsidR="009766AC" w:rsidRDefault="009766AC" w:rsidP="002602D9">
      <w:pPr>
        <w:pStyle w:val="2"/>
        <w:jc w:val="center"/>
        <w:rPr>
          <w:rFonts w:ascii="Times New Roman" w:eastAsia="Calibri" w:hAnsi="Times New Roman" w:cs="Times New Roman"/>
          <w:b/>
          <w:i/>
          <w:color w:val="auto"/>
          <w:sz w:val="24"/>
          <w:szCs w:val="24"/>
        </w:rPr>
      </w:pPr>
      <w:r>
        <w:rPr>
          <w:rFonts w:ascii="Times New Roman" w:eastAsia="Calibri" w:hAnsi="Times New Roman" w:cs="Times New Roman"/>
          <w:b/>
          <w:i/>
          <w:color w:val="auto"/>
          <w:sz w:val="24"/>
          <w:szCs w:val="24"/>
        </w:rPr>
        <w:t xml:space="preserve"> </w:t>
      </w:r>
    </w:p>
    <w:p w14:paraId="04B98CA3" w14:textId="77777777" w:rsidR="002602D9" w:rsidRPr="00C11834" w:rsidRDefault="002602D9" w:rsidP="002602D9">
      <w:pPr>
        <w:pStyle w:val="2"/>
        <w:jc w:val="center"/>
        <w:rPr>
          <w:rFonts w:ascii="Times New Roman" w:eastAsia="Calibri" w:hAnsi="Times New Roman" w:cs="Times New Roman"/>
          <w:b/>
          <w:i/>
          <w:color w:val="auto"/>
          <w:sz w:val="24"/>
          <w:szCs w:val="24"/>
        </w:rPr>
      </w:pPr>
      <w:r w:rsidRPr="00181433">
        <w:rPr>
          <w:rFonts w:ascii="Times New Roman" w:eastAsia="Calibri" w:hAnsi="Times New Roman" w:cs="Times New Roman"/>
          <w:b/>
          <w:i/>
          <w:color w:val="auto"/>
          <w:sz w:val="24"/>
          <w:szCs w:val="24"/>
        </w:rPr>
        <w:t>Управление риском потери деловой репутации</w:t>
      </w:r>
    </w:p>
    <w:p w14:paraId="5D55011C" w14:textId="77777777" w:rsidR="00F676A1" w:rsidRDefault="00F676A1" w:rsidP="001E0717">
      <w:pPr>
        <w:spacing w:after="0" w:line="240" w:lineRule="auto"/>
        <w:contextualSpacing/>
        <w:jc w:val="both"/>
        <w:rPr>
          <w:rFonts w:ascii="Times New Roman" w:hAnsi="Times New Roman" w:cs="Times New Roman"/>
          <w:color w:val="000000"/>
          <w:sz w:val="24"/>
          <w:szCs w:val="24"/>
        </w:rPr>
      </w:pPr>
    </w:p>
    <w:p w14:paraId="21187C58"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 xml:space="preserve">В 2016 году Банк в работе по управлению риском потери деловой репутации (далее - РПДР) решал следующие основные задачи: </w:t>
      </w:r>
    </w:p>
    <w:p w14:paraId="43670865" w14:textId="77777777" w:rsidR="002602D9" w:rsidRPr="009766AC" w:rsidRDefault="009766AC" w:rsidP="00441380">
      <w:pPr>
        <w:pStyle w:val="a3"/>
        <w:numPr>
          <w:ilvl w:val="0"/>
          <w:numId w:val="68"/>
        </w:numPr>
        <w:shd w:val="clear" w:color="auto" w:fill="FFFFFF"/>
        <w:spacing w:before="100" w:beforeAutospacing="1" w:after="202"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2602D9" w:rsidRPr="009766AC">
        <w:rPr>
          <w:rFonts w:ascii="Times New Roman" w:eastAsia="Times New Roman" w:hAnsi="Times New Roman"/>
          <w:color w:val="000000"/>
          <w:sz w:val="24"/>
          <w:szCs w:val="24"/>
          <w:lang w:eastAsia="ru-RU"/>
        </w:rPr>
        <w:t>существление мониторинга регистрируемых событий/инцидентов на всех направлениях деятельности Банка с целью определения их связи с событиями РПДР, анализа и оценки выявленных событий данного вида риска, отслеживания их влияния на уровень РПДР по специально созданной шкале для принятия, в случае необходимости, мер по предотвращению/снижению возможного ущерба для Банка</w:t>
      </w:r>
      <w:r>
        <w:rPr>
          <w:rFonts w:ascii="Times New Roman" w:eastAsia="Times New Roman" w:hAnsi="Times New Roman"/>
          <w:color w:val="000000"/>
          <w:sz w:val="24"/>
          <w:szCs w:val="24"/>
          <w:lang w:eastAsia="ru-RU"/>
        </w:rPr>
        <w:t>;</w:t>
      </w:r>
    </w:p>
    <w:p w14:paraId="62B9EF05" w14:textId="77777777" w:rsidR="002602D9" w:rsidRPr="009766AC" w:rsidRDefault="009766AC" w:rsidP="00441380">
      <w:pPr>
        <w:pStyle w:val="a3"/>
        <w:numPr>
          <w:ilvl w:val="0"/>
          <w:numId w:val="68"/>
        </w:numPr>
        <w:shd w:val="clear" w:color="auto" w:fill="FFFFFF"/>
        <w:spacing w:before="100" w:beforeAutospacing="1" w:after="202" w:line="240" w:lineRule="auto"/>
        <w:ind w:right="1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602D9" w:rsidRPr="009766AC">
        <w:rPr>
          <w:rFonts w:ascii="Times New Roman" w:eastAsia="Times New Roman" w:hAnsi="Times New Roman"/>
          <w:sz w:val="24"/>
          <w:szCs w:val="24"/>
          <w:lang w:eastAsia="ru-RU"/>
        </w:rPr>
        <w:t>недрение «Методики расчета уровня риска деловой репутации Банка «Национальный Клиринговый Центр» (Акционерно общество) на основании оценки событий риска» в процесс управления риском деловой репутации и его автоматизация</w:t>
      </w:r>
      <w:r>
        <w:rPr>
          <w:rFonts w:ascii="Times New Roman" w:eastAsia="Times New Roman" w:hAnsi="Times New Roman"/>
          <w:sz w:val="24"/>
          <w:szCs w:val="24"/>
          <w:lang w:eastAsia="ru-RU"/>
        </w:rPr>
        <w:t>;</w:t>
      </w:r>
      <w:r w:rsidR="002602D9" w:rsidRPr="009766AC">
        <w:rPr>
          <w:rFonts w:ascii="Times New Roman" w:eastAsia="Times New Roman" w:hAnsi="Times New Roman"/>
          <w:sz w:val="24"/>
          <w:szCs w:val="24"/>
          <w:lang w:eastAsia="ru-RU"/>
        </w:rPr>
        <w:t xml:space="preserve"> </w:t>
      </w:r>
    </w:p>
    <w:p w14:paraId="121374FA" w14:textId="77777777" w:rsidR="002602D9" w:rsidRPr="009766AC" w:rsidRDefault="009766AC" w:rsidP="00441380">
      <w:pPr>
        <w:pStyle w:val="a3"/>
        <w:numPr>
          <w:ilvl w:val="0"/>
          <w:numId w:val="68"/>
        </w:numPr>
        <w:shd w:val="clear" w:color="auto" w:fill="FFFFFF"/>
        <w:spacing w:before="100" w:beforeAutospacing="1" w:after="202" w:line="240" w:lineRule="auto"/>
        <w:ind w:right="144"/>
        <w:jc w:val="both"/>
        <w:rPr>
          <w:rFonts w:ascii="Times New Roman" w:eastAsia="Times New Roman" w:hAnsi="Times New Roman"/>
          <w:sz w:val="24"/>
          <w:szCs w:val="24"/>
          <w:lang w:eastAsia="ru-RU"/>
        </w:rPr>
      </w:pPr>
      <w:r>
        <w:rPr>
          <w:rFonts w:ascii="Times New Roman" w:hAnsi="Times New Roman"/>
          <w:sz w:val="24"/>
          <w:lang w:eastAsia="ru-RU"/>
        </w:rPr>
        <w:t>у</w:t>
      </w:r>
      <w:r w:rsidR="002602D9" w:rsidRPr="009766AC">
        <w:rPr>
          <w:rFonts w:ascii="Times New Roman" w:hAnsi="Times New Roman"/>
          <w:sz w:val="24"/>
          <w:lang w:eastAsia="ru-RU"/>
        </w:rPr>
        <w:t>силение контрольных функций коллегиальных органов управления НКЦ за деятельностью по управлению РПДР и по ее совершенствованию.</w:t>
      </w:r>
    </w:p>
    <w:p w14:paraId="0F7B4C5A"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Как показывает анализ данных, характеризующих результаты управление РПДР в отчетный период, уровень данного вида риска поддерживался в пределах приемлемого</w:t>
      </w:r>
      <w:r w:rsidR="00D71AEF" w:rsidRPr="00EA2597">
        <w:rPr>
          <w:rFonts w:ascii="Times New Roman" w:hAnsi="Times New Roman" w:cs="Times New Roman"/>
          <w:bCs/>
          <w:sz w:val="24"/>
          <w:szCs w:val="24"/>
        </w:rPr>
        <w:t xml:space="preserve">  </w:t>
      </w:r>
      <w:r w:rsidR="002602D9" w:rsidRPr="00EA2597">
        <w:rPr>
          <w:rFonts w:ascii="Times New Roman" w:hAnsi="Times New Roman" w:cs="Times New Roman"/>
          <w:bCs/>
          <w:sz w:val="24"/>
          <w:szCs w:val="24"/>
        </w:rPr>
        <w:t>уровня - 300 баллов по шкале измерения. По квартально показатель уровня РПДР характеризовался следующими пиковыми показателями: 160 баллов –I квартал, 140 баллов –II квартал, 110 баллов –III квартал и 180 баллов –IV квартал.</w:t>
      </w:r>
    </w:p>
    <w:p w14:paraId="3A006164"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Зафиксированные события РПДР по своей категоризации (согласно Рубрикатору) относились к группам внутренних и внешних факторов. События из группы внутренних факторов в основном являлись следствием ошибочных действий или несвоевременности при перечислении денежных средств НКЦ, рассылки некорректных отчетов участникам клиринга по итогам клиринга, некорректного определение требований и обязательств в любом из активов, приостановки сервиса вывода/зачисления средств. Они не оказывали в отчетный период влияния на кривую графика, определявшую уровень РПДР, так как не достигли масштаба и порогов чувствительности, установленных Рубрикатором.</w:t>
      </w:r>
    </w:p>
    <w:p w14:paraId="43A9EF27"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 xml:space="preserve">В то же время события из группы внешних факторов достигали тех значений масштаба и порога чувствительности, которые, согласно Рубрикатору, оказывали влияние на уровень РПДР.  Эти события в подавляющем своем большинстве относились к фактору </w:t>
      </w:r>
      <w:r w:rsidR="002602D9" w:rsidRPr="00EA2597">
        <w:rPr>
          <w:rFonts w:ascii="Times New Roman" w:hAnsi="Times New Roman" w:cs="Times New Roman"/>
          <w:bCs/>
          <w:sz w:val="24"/>
          <w:szCs w:val="24"/>
        </w:rPr>
        <w:lastRenderedPageBreak/>
        <w:t>появления негативной информации во внешней среде – негативные публикации, главным образом, о ПАО Московская биржа и в единичных случаях – о Банке. Но и они, как отмечено выше, не были критичны с точки зрения поддержания уровня РПДР в установленных пределах приемлемого уровня и не требовали оперативного реагирования для предотвращения возможного ущерба.</w:t>
      </w:r>
    </w:p>
    <w:p w14:paraId="1BDBE9A7" w14:textId="3A5C627A" w:rsidR="002602D9" w:rsidRPr="00EA2597" w:rsidRDefault="00B73A1A" w:rsidP="00181433">
      <w:pPr>
        <w:spacing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F676A1">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В отчетный период в целях своевременного реагирования на репутационные угрозы, возникающие под воздействием негативных проявлений во внешней среде, осуществлялся постоянный мониторинг информационного поля российских СМИ по объектам исследования с использованием информационно-аналитической системы «Медиалогия». Для определения общего состояния информационного пространства по объектам мониторинга использовался МедиаИндекс «Медиалогии» - показатель оценки присутствия объектов в СМИ, учитывающий влиятельность источников, размер и место выхода сообщений/публикаций, а также позитивный, негативный или нейтральный характер упоминания в них объектов. Поквартальная динамика изменения этого индекса представлена на диаграмме.</w:t>
      </w:r>
    </w:p>
    <w:p w14:paraId="5E9F7DA3" w14:textId="77777777" w:rsidR="002602D9" w:rsidRPr="001E6F67" w:rsidRDefault="002602D9" w:rsidP="002602D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1E6F67">
        <w:rPr>
          <w:rFonts w:ascii="Times New Roman" w:eastAsia="Times New Roman" w:hAnsi="Times New Roman" w:cs="Times New Roman"/>
          <w:b/>
          <w:bCs/>
          <w:color w:val="000000"/>
          <w:sz w:val="24"/>
          <w:szCs w:val="24"/>
          <w:lang w:eastAsia="ru-RU"/>
        </w:rPr>
        <w:t>ПОКВАРТАЛЬНАЯ ДИНАМИКА МЕДИАИНДЕКСА</w:t>
      </w:r>
    </w:p>
    <w:p w14:paraId="27A3CB7B" w14:textId="77777777" w:rsidR="002602D9" w:rsidRPr="001E6F67" w:rsidRDefault="002602D9" w:rsidP="002602D9">
      <w:pPr>
        <w:shd w:val="clear" w:color="auto" w:fill="FFFFFF"/>
        <w:spacing w:before="100" w:beforeAutospacing="1" w:after="0" w:line="240" w:lineRule="auto"/>
        <w:ind w:left="360"/>
        <w:jc w:val="center"/>
        <w:rPr>
          <w:rFonts w:ascii="Times New Roman" w:eastAsia="Times New Roman" w:hAnsi="Times New Roman" w:cs="Times New Roman"/>
          <w:color w:val="000000"/>
          <w:sz w:val="24"/>
          <w:szCs w:val="24"/>
          <w:lang w:eastAsia="ru-RU"/>
        </w:rPr>
      </w:pPr>
      <w:r w:rsidRPr="001E6F67">
        <w:rPr>
          <w:rFonts w:ascii="Times New Roman" w:eastAsia="Times New Roman" w:hAnsi="Times New Roman" w:cs="Times New Roman"/>
          <w:b/>
          <w:bCs/>
          <w:color w:val="000000"/>
          <w:sz w:val="24"/>
          <w:szCs w:val="24"/>
          <w:lang w:eastAsia="ru-RU"/>
        </w:rPr>
        <w:t>ОБЪЕКТОВ ИССЛЕДОВАНИЯ</w:t>
      </w:r>
    </w:p>
    <w:p w14:paraId="51C1EB6C" w14:textId="77777777" w:rsidR="002602D9" w:rsidRPr="001E6F67" w:rsidRDefault="002602D9" w:rsidP="002602D9">
      <w:pPr>
        <w:shd w:val="clear" w:color="auto" w:fill="FFFFFF"/>
        <w:spacing w:before="100" w:beforeAutospacing="1" w:after="0" w:line="240" w:lineRule="auto"/>
        <w:ind w:left="360"/>
        <w:jc w:val="center"/>
        <w:rPr>
          <w:rFonts w:ascii="Times New Roman" w:eastAsia="Times New Roman" w:hAnsi="Times New Roman" w:cs="Times New Roman"/>
          <w:b/>
          <w:bCs/>
          <w:color w:val="000000"/>
          <w:sz w:val="24"/>
          <w:szCs w:val="24"/>
          <w:lang w:eastAsia="ru-RU"/>
        </w:rPr>
      </w:pPr>
      <w:r w:rsidRPr="001E6F67">
        <w:rPr>
          <w:rFonts w:ascii="Times New Roman" w:eastAsia="Times New Roman" w:hAnsi="Times New Roman" w:cs="Times New Roman"/>
          <w:b/>
          <w:bCs/>
          <w:color w:val="000000"/>
          <w:sz w:val="24"/>
          <w:szCs w:val="24"/>
          <w:lang w:eastAsia="ru-RU"/>
        </w:rPr>
        <w:t>(количественные показатели)</w:t>
      </w:r>
    </w:p>
    <w:p w14:paraId="177181DA" w14:textId="77777777" w:rsidR="002602D9" w:rsidRPr="001E6F67" w:rsidRDefault="002602D9" w:rsidP="002602D9">
      <w:pPr>
        <w:spacing w:after="0" w:line="240" w:lineRule="auto"/>
        <w:ind w:left="284"/>
        <w:jc w:val="center"/>
        <w:rPr>
          <w:rFonts w:ascii="Arial" w:hAnsi="Arial" w:cs="Arial"/>
          <w:szCs w:val="28"/>
        </w:rPr>
      </w:pPr>
      <w:r w:rsidRPr="0002361F">
        <w:rPr>
          <w:rFonts w:ascii="Arial" w:hAnsi="Arial" w:cs="Arial"/>
          <w:noProof/>
          <w:szCs w:val="28"/>
          <w:lang w:eastAsia="ru-RU"/>
        </w:rPr>
        <w:drawing>
          <wp:inline distT="0" distB="0" distL="0" distR="0" wp14:anchorId="16DD8507" wp14:editId="4B451524">
            <wp:extent cx="5400000" cy="3240000"/>
            <wp:effectExtent l="0" t="0" r="0" b="0"/>
            <wp:docPr id="1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88F4615" w14:textId="77777777" w:rsidR="002602D9" w:rsidRPr="001E6F67" w:rsidRDefault="002602D9" w:rsidP="002602D9">
      <w:pPr>
        <w:shd w:val="clear" w:color="auto" w:fill="FFFFFF"/>
        <w:spacing w:after="120" w:line="240" w:lineRule="auto"/>
        <w:ind w:left="289"/>
        <w:rPr>
          <w:rFonts w:ascii="Times New Roman" w:eastAsia="Times New Roman" w:hAnsi="Times New Roman" w:cs="Times New Roman"/>
          <w:color w:val="000000"/>
          <w:sz w:val="24"/>
          <w:szCs w:val="24"/>
          <w:lang w:eastAsia="ru-RU"/>
        </w:rPr>
      </w:pPr>
      <w:r w:rsidRPr="001E6F67">
        <w:rPr>
          <w:rFonts w:ascii="Times New Roman" w:eastAsia="Times New Roman" w:hAnsi="Times New Roman" w:cs="Times New Roman"/>
          <w:i/>
          <w:color w:val="000000"/>
          <w:sz w:val="20"/>
          <w:szCs w:val="20"/>
          <w:lang w:eastAsia="ru-RU"/>
        </w:rPr>
        <w:t>Примечание:</w:t>
      </w:r>
      <w:r w:rsidRPr="0002361F">
        <w:rPr>
          <w:rFonts w:ascii="Times New Roman" w:eastAsia="Times New Roman" w:hAnsi="Times New Roman" w:cs="Times New Roman"/>
          <w:noProof/>
          <w:color w:val="000000"/>
          <w:sz w:val="24"/>
          <w:szCs w:val="24"/>
          <w:lang w:eastAsia="ru-RU"/>
        </w:rPr>
        <mc:AlternateContent>
          <mc:Choice Requires="wps">
            <w:drawing>
              <wp:inline distT="0" distB="0" distL="0" distR="0" wp14:anchorId="3448D760" wp14:editId="697B5AC9">
                <wp:extent cx="306705" cy="306705"/>
                <wp:effectExtent l="0" t="0" r="0" b="0"/>
                <wp:docPr id="110" name="AutoShape 1" descr="https://docviewer.yandex.ru/htmlimage?id=kb6-m6310js8letbhqwwb8l8o35i2tvpeq4r6u3ud2h4snanvm9jmrn1ta4vji7725q5q8e89yqwrhn74u51b1y70supfqemsm1f2&amp;name=image-jSoq2ArM1rRka6LccA.png&amp;uid=16562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A1B4F" id="AutoShape 1" o:spid="_x0000_s1026" alt="https://docviewer.yandex.ru/htmlimage?id=kb6-m6310js8letbhqwwb8l8o35i2tvpeq4r6u3ud2h4snanvm9jmrn1ta4vji7725q5q8e89yqwrhn74u51b1y70supfqemsm1f2&amp;name=image-jSoq2ArM1rRka6LccA.png&amp;uid=16562060"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51SwMAAIcGAAAOAAAAZHJzL2Uyb0RvYy54bWysVV2PqzYQfa/U/2D5oW8ETIBAuuwqN9lU&#10;V9rbXnXbH+CACd7FNrFNSFr1v3fsfGx270vVlgdke8zMnDNnhruHg+jQnmnDlSwxmUQYMVmpmstt&#10;iX//bR3kGBlLZU07JVmJj8zgh/vvv7sb+zmLVau6mmkETqSZj32JW2v7eRiaqmWCmonqmQRjo7Sg&#10;FrZ6G9aajuBddGEcRVk4Kl33WlXMGDhdnYz43vtvGlbZX5rGMIu6EkNu1r+1f2/cO7y/o/Otpn3L&#10;q3Ma9F9kISiXEPTqakUtRYPm37gSvNLKqMZOKiVC1TS8Yh4DoCHRBzTPLe2ZxwLkmP5Kk/n/3FY/&#10;779qxGuoHQF+JBVQpMVglY+NCEY1MxUQ5gpjoDK1qvacjUxPjlBVdpjoIWyt6LigW/YAjl43WSCy&#10;KYleTN4xu2l347jJu1xNUx7bfc92ic6G6VDHbWIklXtRvAgtiaXJ/oXPZnG6S3c5y4vjbtStnCVD&#10;SjbkOIvM0Dc7JowgTfwDFf2PPlkfN3h5Vrt4ob8Q/esrzZ6qajHp5dbfGiAnkqVZHGW+3CPAANTP&#10;/VftCmb6J1W9GiTVsqVyyxamB9EAHUDG5UhrNbaM1sA7cYoJ3/lwGwPe0Gb8omqgjwJ9XgyHRgsX&#10;A8qMDl5zx6vm2MGiCg6nUTaLUowqMJ3XLgKdXz7utbE/MSWQW5RYQ3beOd0/GXu6erniYkm15l3n&#10;Zd3Jdwfg83QCoeFTZ3NJeJX+WUTFY/6YJ0ESZ49BEq1WwWK9TIJsTWbparpaLlfkLxeXJPOW1zWT&#10;LsylY0jyzxR57t2T1q89Y1THa+fOpWT0drPsNNpT6Ni1fzzlYHm7Fr5Pw/MFWD5AInESfYqLYJ3l&#10;syBZJ2lQzKI8iEjxqciipEhW6/eQnrhk/x0SGktcpHHqq3ST9AdskX++xUbngluYidBRJc6vl+jc&#10;KfBR1r60lvLutL6hwqX/RgWU+1Jor1cnUTcWzXyj6iPIVSuQE/Q8TG9YtEr/gdEIk7DEZjdQzTDq&#10;PkuQfEGSxI1Ov0nSWQwbfWvZ3FqorMBViS1Gp+XSnsbt0Gu+bSES8cRI5aZMw72E37I6NxdMO4/k&#10;PJndOL3d+1tv/4/7vwEAAP//AwBQSwMEFAAGAAgAAAAhACYLKzzaAAAAAwEAAA8AAABkcnMvZG93&#10;bnJldi54bWxMj09Lw0AQxe+C32EZwYvYjX+QErMpUhCLCKWp9jzNjkkwO5tmt0n89o560Ms8hje8&#10;95tsMblWDdSHxrOBq1kCirj0tuHKwOv28XIOKkRki61nMvBJARb56UmGqfUjb2goYqUkhEOKBuoY&#10;u1TrUNbkMMx8Ryzeu+8dRln7StseRwl3rb5OkjvtsGFpqLGjZU3lR3F0BsZyPey2L096fbFbeT6s&#10;Dsvi7dmY87Pp4R5UpCn+HcM3vqBDLkx7f2QbVGtAHok/U7zb+Q2o/a/qPNP/2fMvAAAA//8DAFBL&#10;AQItABQABgAIAAAAIQC2gziS/gAAAOEBAAATAAAAAAAAAAAAAAAAAAAAAABbQ29udGVudF9UeXBl&#10;c10ueG1sUEsBAi0AFAAGAAgAAAAhADj9If/WAAAAlAEAAAsAAAAAAAAAAAAAAAAALwEAAF9yZWxz&#10;Ly5yZWxzUEsBAi0AFAAGAAgAAAAhAApo7nVLAwAAhwYAAA4AAAAAAAAAAAAAAAAALgIAAGRycy9l&#10;Mm9Eb2MueG1sUEsBAi0AFAAGAAgAAAAhACYLKzzaAAAAAwEAAA8AAAAAAAAAAAAAAAAApQUAAGRy&#10;cy9kb3ducmV2LnhtbFBLBQYAAAAABAAEAPMAAACsBgAAAAA=&#10;" filled="f" stroked="f">
                <o:lock v:ext="edit" aspectratio="t"/>
                <w10:anchorlock/>
              </v:rect>
            </w:pict>
          </mc:Fallback>
        </mc:AlternateContent>
      </w:r>
    </w:p>
    <w:p w14:paraId="2B80952E" w14:textId="77777777" w:rsidR="002602D9" w:rsidRDefault="002602D9" w:rsidP="002602D9">
      <w:pPr>
        <w:spacing w:after="0" w:line="240" w:lineRule="auto"/>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Оранжевым</w:t>
      </w:r>
      <w:r w:rsidRPr="001E6F67">
        <w:rPr>
          <w:rFonts w:ascii="Times New Roman" w:eastAsia="Times New Roman" w:hAnsi="Times New Roman" w:cs="Times New Roman"/>
          <w:color w:val="000000"/>
          <w:sz w:val="20"/>
          <w:szCs w:val="20"/>
          <w:lang w:eastAsia="ru-RU"/>
        </w:rPr>
        <w:t xml:space="preserve"> цветом на графике отмечен период, в котором был зафиксирован максимальный уровень МедиаИндекса – 4 квартал 2016 года.</w:t>
      </w:r>
    </w:p>
    <w:p w14:paraId="7EE7E1CB" w14:textId="77777777" w:rsidR="002602D9" w:rsidRDefault="002602D9" w:rsidP="002602D9">
      <w:pPr>
        <w:spacing w:after="0" w:line="240" w:lineRule="auto"/>
        <w:ind w:firstLine="709"/>
        <w:contextualSpacing/>
        <w:jc w:val="both"/>
        <w:rPr>
          <w:rFonts w:ascii="Times New Roman" w:eastAsia="Times New Roman" w:hAnsi="Times New Roman" w:cs="Times New Roman"/>
          <w:color w:val="000000"/>
          <w:sz w:val="20"/>
          <w:szCs w:val="20"/>
          <w:lang w:eastAsia="ru-RU"/>
        </w:rPr>
      </w:pPr>
    </w:p>
    <w:p w14:paraId="20CE3204"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В 2016 году проводилась активная работа по реализации проекта автоматизации процесса управления РПДР, что призвано обеспечить: </w:t>
      </w:r>
    </w:p>
    <w:p w14:paraId="2161944E" w14:textId="77777777" w:rsidR="002602D9" w:rsidRPr="001E6F67" w:rsidRDefault="002602D9" w:rsidP="00441380">
      <w:pPr>
        <w:numPr>
          <w:ilvl w:val="0"/>
          <w:numId w:val="41"/>
        </w:numPr>
        <w:spacing w:after="0" w:line="240" w:lineRule="auto"/>
        <w:ind w:right="141"/>
        <w:contextualSpacing/>
        <w:jc w:val="both"/>
        <w:rPr>
          <w:rFonts w:ascii="Times New Roman" w:hAnsi="Times New Roman" w:cs="Times New Roman"/>
        </w:rPr>
      </w:pPr>
      <w:r w:rsidRPr="001E6F67">
        <w:rPr>
          <w:rFonts w:ascii="Times New Roman" w:hAnsi="Times New Roman" w:cs="Times New Roman"/>
          <w:sz w:val="24"/>
          <w:szCs w:val="24"/>
        </w:rPr>
        <w:t>непрерывность мониторинга, оценки, анализа событий риска потери деловой репутации и контроль за</w:t>
      </w:r>
      <w:r w:rsidRPr="001E6F67">
        <w:rPr>
          <w:rFonts w:ascii="Times New Roman" w:hAnsi="Times New Roman" w:cs="Times New Roman"/>
          <w:bCs/>
          <w:sz w:val="24"/>
          <w:szCs w:val="24"/>
        </w:rPr>
        <w:t xml:space="preserve"> изменением уровня риска;</w:t>
      </w:r>
    </w:p>
    <w:p w14:paraId="37832770" w14:textId="77777777" w:rsidR="002602D9" w:rsidRPr="001E6F67" w:rsidRDefault="002602D9" w:rsidP="00441380">
      <w:pPr>
        <w:numPr>
          <w:ilvl w:val="0"/>
          <w:numId w:val="41"/>
        </w:numPr>
        <w:spacing w:after="0" w:line="240" w:lineRule="auto"/>
        <w:ind w:right="141"/>
        <w:contextualSpacing/>
        <w:jc w:val="both"/>
        <w:rPr>
          <w:rFonts w:ascii="Times New Roman" w:hAnsi="Times New Roman" w:cs="Times New Roman"/>
        </w:rPr>
      </w:pPr>
      <w:r w:rsidRPr="001E6F67">
        <w:rPr>
          <w:rFonts w:ascii="Times New Roman" w:hAnsi="Times New Roman" w:cs="Times New Roman"/>
          <w:bCs/>
          <w:sz w:val="24"/>
          <w:szCs w:val="24"/>
        </w:rPr>
        <w:t xml:space="preserve">возможность руководству Банка НКЦ (АО) в режиме реального времени отслеживать динамику по данному риску и оперативно принимать решения по </w:t>
      </w:r>
      <w:r w:rsidRPr="001E6F67">
        <w:rPr>
          <w:rFonts w:ascii="Times New Roman" w:hAnsi="Times New Roman" w:cs="Times New Roman"/>
          <w:bCs/>
          <w:sz w:val="24"/>
          <w:szCs w:val="24"/>
        </w:rPr>
        <w:lastRenderedPageBreak/>
        <w:t>предупреждению возникновения событий РПДР, предотвращению/ нивелированию возможных негативных последствий, а также контролировать весь процесс управления РПДР;</w:t>
      </w:r>
    </w:p>
    <w:p w14:paraId="3D8CC8E2" w14:textId="77777777" w:rsidR="002602D9" w:rsidRPr="001E6F67" w:rsidRDefault="002602D9" w:rsidP="00441380">
      <w:pPr>
        <w:numPr>
          <w:ilvl w:val="0"/>
          <w:numId w:val="41"/>
        </w:numPr>
        <w:spacing w:after="0" w:line="240" w:lineRule="auto"/>
        <w:ind w:right="141"/>
        <w:contextualSpacing/>
        <w:jc w:val="both"/>
        <w:rPr>
          <w:rFonts w:ascii="Times New Roman" w:hAnsi="Times New Roman" w:cs="Times New Roman"/>
          <w:bCs/>
          <w:sz w:val="24"/>
          <w:szCs w:val="24"/>
        </w:rPr>
      </w:pPr>
      <w:r w:rsidRPr="001E6F67">
        <w:rPr>
          <w:rFonts w:ascii="Times New Roman" w:hAnsi="Times New Roman" w:cs="Times New Roman"/>
          <w:bCs/>
          <w:sz w:val="24"/>
          <w:szCs w:val="24"/>
        </w:rPr>
        <w:t xml:space="preserve">выполнение требования Центрального Банка России о своевременном информировании регулятора об имеющих связь с репутационным риском нештатных ситуациях, о мерах оперативного реагирования и о результатах деятельности по управлению РПДР, в целом. </w:t>
      </w:r>
    </w:p>
    <w:p w14:paraId="5D034DBB" w14:textId="77777777" w:rsidR="002602D9" w:rsidRPr="001E6F67" w:rsidRDefault="002602D9" w:rsidP="002602D9">
      <w:pPr>
        <w:spacing w:after="0" w:line="240" w:lineRule="auto"/>
        <w:ind w:left="743" w:right="141"/>
        <w:jc w:val="both"/>
        <w:rPr>
          <w:rFonts w:ascii="Times New Roman" w:hAnsi="Times New Roman" w:cs="Times New Roman"/>
          <w:bCs/>
          <w:sz w:val="24"/>
          <w:szCs w:val="24"/>
        </w:rPr>
      </w:pPr>
    </w:p>
    <w:p w14:paraId="62C9F1A6"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В отчетный период проект утвержден на Архитектурном комитете Московской Биржи, определены принципы встраивания создаваемой автоматизированной системы управления РПДР в IT-инфраструктуру компании, техническая схема и технические требования к программному обеспечению, решены вопросы, связанные с необходимостью соблюдения требований информационной безопасности.  Основываясь на полученной технической информации, проводилась работа по созданию максимально соответствующего существующим в Банке техническим требованиям программного обеспечения на базе MS SQL.</w:t>
      </w:r>
    </w:p>
    <w:p w14:paraId="0865420A" w14:textId="77777777" w:rsidR="002602D9" w:rsidRPr="005938DE" w:rsidRDefault="00F676A1" w:rsidP="00EA259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Разработано техническое описание ПО и описание ПО от разработчиков. Совместно с Департаментом информационных технологий НКЦ осуществлены следующие работы:</w:t>
      </w:r>
    </w:p>
    <w:p w14:paraId="2FA32ADD" w14:textId="77777777" w:rsidR="002602D9" w:rsidRPr="001E6F67" w:rsidRDefault="002602D9" w:rsidP="00441380">
      <w:pPr>
        <w:numPr>
          <w:ilvl w:val="0"/>
          <w:numId w:val="52"/>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к</w:t>
      </w:r>
      <w:r w:rsidRPr="001E6F67">
        <w:rPr>
          <w:rFonts w:ascii="Times New Roman" w:hAnsi="Times New Roman" w:cs="Times New Roman"/>
          <w:sz w:val="24"/>
          <w:szCs w:val="24"/>
        </w:rPr>
        <w:t>онфигурирование Web-сервера;</w:t>
      </w:r>
    </w:p>
    <w:p w14:paraId="21B020BA" w14:textId="77777777" w:rsidR="002602D9" w:rsidRPr="001E6F67" w:rsidRDefault="002602D9" w:rsidP="00441380">
      <w:pPr>
        <w:numPr>
          <w:ilvl w:val="0"/>
          <w:numId w:val="52"/>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р</w:t>
      </w:r>
      <w:r w:rsidRPr="001E6F67">
        <w:rPr>
          <w:rFonts w:ascii="Times New Roman" w:hAnsi="Times New Roman" w:cs="Times New Roman"/>
          <w:sz w:val="24"/>
          <w:szCs w:val="24"/>
        </w:rPr>
        <w:t>азвертывание тестовой оболочки АСУ РПДР;</w:t>
      </w:r>
    </w:p>
    <w:p w14:paraId="7CE43B23" w14:textId="77777777" w:rsidR="002602D9" w:rsidRPr="001E6F67" w:rsidRDefault="002602D9" w:rsidP="00441380">
      <w:pPr>
        <w:numPr>
          <w:ilvl w:val="0"/>
          <w:numId w:val="52"/>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т</w:t>
      </w:r>
      <w:r w:rsidRPr="001E6F67">
        <w:rPr>
          <w:rFonts w:ascii="Times New Roman" w:hAnsi="Times New Roman" w:cs="Times New Roman"/>
          <w:sz w:val="24"/>
          <w:szCs w:val="24"/>
        </w:rPr>
        <w:t>естирование модуля отправки уведомлений. POSTFIX;</w:t>
      </w:r>
    </w:p>
    <w:p w14:paraId="5ABD9710" w14:textId="77777777" w:rsidR="002602D9" w:rsidRPr="001E6F67" w:rsidRDefault="002602D9" w:rsidP="00441380">
      <w:pPr>
        <w:numPr>
          <w:ilvl w:val="0"/>
          <w:numId w:val="52"/>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п</w:t>
      </w:r>
      <w:r w:rsidRPr="001E6F67">
        <w:rPr>
          <w:rFonts w:ascii="Times New Roman" w:hAnsi="Times New Roman" w:cs="Times New Roman"/>
          <w:sz w:val="24"/>
          <w:szCs w:val="24"/>
        </w:rPr>
        <w:t>роверка функциональности PHP, Apache, JS;</w:t>
      </w:r>
    </w:p>
    <w:p w14:paraId="365929A3" w14:textId="77777777" w:rsidR="002602D9" w:rsidRPr="001E6F67" w:rsidRDefault="002602D9" w:rsidP="00441380">
      <w:pPr>
        <w:numPr>
          <w:ilvl w:val="0"/>
          <w:numId w:val="52"/>
        </w:num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п</w:t>
      </w:r>
      <w:r w:rsidRPr="001E6F67">
        <w:rPr>
          <w:rFonts w:ascii="Times New Roman" w:hAnsi="Times New Roman" w:cs="Times New Roman"/>
          <w:sz w:val="24"/>
          <w:szCs w:val="24"/>
        </w:rPr>
        <w:t>еренос учётных данных на сервер НКЦ для авторизации пользователя в Active D</w:t>
      </w:r>
      <w:r w:rsidRPr="001E6F67">
        <w:rPr>
          <w:rFonts w:ascii="Times New Roman" w:hAnsi="Times New Roman" w:cs="Times New Roman"/>
          <w:sz w:val="24"/>
          <w:szCs w:val="24"/>
          <w:lang w:val="en-US"/>
        </w:rPr>
        <w:t>irectory</w:t>
      </w:r>
      <w:r w:rsidRPr="001E6F67">
        <w:rPr>
          <w:rFonts w:ascii="Times New Roman" w:hAnsi="Times New Roman" w:cs="Times New Roman"/>
          <w:sz w:val="24"/>
          <w:szCs w:val="24"/>
        </w:rPr>
        <w:t>.</w:t>
      </w:r>
    </w:p>
    <w:p w14:paraId="159F307A" w14:textId="77777777" w:rsidR="002602D9" w:rsidRPr="005938DE" w:rsidRDefault="002602D9" w:rsidP="002602D9">
      <w:pPr>
        <w:spacing w:after="0" w:line="240" w:lineRule="auto"/>
        <w:ind w:firstLine="709"/>
        <w:contextualSpacing/>
        <w:jc w:val="both"/>
        <w:rPr>
          <w:rFonts w:ascii="Times New Roman" w:hAnsi="Times New Roman" w:cs="Times New Roman"/>
          <w:color w:val="000000"/>
          <w:sz w:val="24"/>
          <w:szCs w:val="24"/>
        </w:rPr>
      </w:pPr>
      <w:r w:rsidRPr="005938DE">
        <w:rPr>
          <w:rFonts w:ascii="Times New Roman" w:hAnsi="Times New Roman" w:cs="Times New Roman"/>
          <w:color w:val="000000"/>
          <w:sz w:val="24"/>
          <w:szCs w:val="24"/>
        </w:rPr>
        <w:t>Реализацию данного проекта планируется завершить во втором квартале 2017 года.</w:t>
      </w:r>
    </w:p>
    <w:p w14:paraId="17137F21" w14:textId="77777777" w:rsidR="00B73A1A" w:rsidRDefault="00B73A1A" w:rsidP="002602D9">
      <w:pPr>
        <w:spacing w:after="0" w:line="240" w:lineRule="auto"/>
        <w:ind w:firstLine="709"/>
        <w:contextualSpacing/>
        <w:jc w:val="both"/>
        <w:rPr>
          <w:rFonts w:ascii="Times New Roman" w:hAnsi="Times New Roman" w:cs="Times New Roman"/>
          <w:color w:val="000000"/>
          <w:sz w:val="24"/>
          <w:szCs w:val="24"/>
        </w:rPr>
      </w:pPr>
    </w:p>
    <w:p w14:paraId="6200E16A"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Во II квартале 2016 года Наблюдательным советом НКЦ утверждено обновленное «Положение об управлении риском потери деловой репутации Банка «Национальный Клиринговый Центр» (Акционерно общество), Протокол №2 от 17 июня 2016 года (далее - Положение). Необходимость обновления Положения вызвана следующими причинами:</w:t>
      </w:r>
    </w:p>
    <w:p w14:paraId="56D483D6" w14:textId="77777777" w:rsidR="002602D9" w:rsidRPr="00C11834" w:rsidRDefault="002602D9" w:rsidP="00441380">
      <w:pPr>
        <w:pStyle w:val="a3"/>
        <w:numPr>
          <w:ilvl w:val="0"/>
          <w:numId w:val="64"/>
        </w:numPr>
        <w:jc w:val="both"/>
        <w:rPr>
          <w:rFonts w:ascii="Times New Roman" w:hAnsi="Times New Roman"/>
          <w:sz w:val="24"/>
          <w:lang w:eastAsia="ru-RU"/>
        </w:rPr>
      </w:pPr>
      <w:r w:rsidRPr="00C11834">
        <w:rPr>
          <w:rFonts w:ascii="Times New Roman" w:hAnsi="Times New Roman"/>
          <w:noProof/>
          <w:sz w:val="24"/>
          <w:lang w:eastAsia="ru-RU"/>
        </w:rPr>
        <w:t xml:space="preserve">выполненение требований Положения о создании шкалы измерения уровня риска потери деловой репутации, </w:t>
      </w:r>
      <w:r w:rsidRPr="00C11834">
        <w:rPr>
          <w:rFonts w:ascii="Times New Roman" w:hAnsi="Times New Roman"/>
          <w:sz w:val="24"/>
          <w:lang w:eastAsia="ru-RU"/>
        </w:rPr>
        <w:t>определяющей пограничные значения (лимиты) приемлемого/неприемлемого уровней риска;</w:t>
      </w:r>
    </w:p>
    <w:p w14:paraId="31D28AE6" w14:textId="77777777" w:rsidR="002602D9" w:rsidRPr="00C11834" w:rsidRDefault="002602D9" w:rsidP="00441380">
      <w:pPr>
        <w:pStyle w:val="a3"/>
        <w:numPr>
          <w:ilvl w:val="0"/>
          <w:numId w:val="64"/>
        </w:numPr>
        <w:jc w:val="both"/>
        <w:rPr>
          <w:rFonts w:ascii="Times New Roman" w:hAnsi="Times New Roman"/>
          <w:sz w:val="24"/>
          <w:lang w:eastAsia="ru-RU"/>
        </w:rPr>
      </w:pPr>
      <w:r w:rsidRPr="00C11834">
        <w:rPr>
          <w:rFonts w:ascii="Times New Roman" w:hAnsi="Times New Roman"/>
          <w:sz w:val="24"/>
          <w:lang w:eastAsia="ru-RU"/>
        </w:rPr>
        <w:t>внедрение с декабря 2015 года в Банке Методики расчета уровня риска потери деловой репутации на основании событий риска, что потребовало гармонизации Положения и Методики;</w:t>
      </w:r>
    </w:p>
    <w:p w14:paraId="75277171" w14:textId="77777777" w:rsidR="002602D9" w:rsidRPr="00C11834" w:rsidRDefault="002602D9" w:rsidP="00441380">
      <w:pPr>
        <w:pStyle w:val="a3"/>
        <w:numPr>
          <w:ilvl w:val="0"/>
          <w:numId w:val="64"/>
        </w:numPr>
        <w:jc w:val="both"/>
        <w:rPr>
          <w:rFonts w:ascii="Times New Roman" w:hAnsi="Times New Roman"/>
          <w:sz w:val="24"/>
          <w:lang w:eastAsia="ru-RU"/>
        </w:rPr>
      </w:pPr>
      <w:r w:rsidRPr="00C11834">
        <w:rPr>
          <w:rFonts w:ascii="Times New Roman" w:hAnsi="Times New Roman"/>
          <w:sz w:val="24"/>
          <w:lang w:eastAsia="ru-RU"/>
        </w:rPr>
        <w:t xml:space="preserve">произошедшие изменения в структуре внутреннего контроля и произведенное перераспределение ответственности между структурными подразделениями Банка за управление экономическими и неэкономическими рисками.  </w:t>
      </w:r>
    </w:p>
    <w:p w14:paraId="0537FEBB"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 xml:space="preserve">В III квартале 2016 года на заседании Правления НКЦ был рассмотрен вопрос «О текущем состоянии и дальнейших этапах реализации проекта по созданию системы информационно-аналитического обеспечения процесса управления риском потери деловой репутации Банка НКЦ (АО)». Правлением принято решение продолжить реализацию проекта до его полного завершения - внедрения Методики расчета уровня риска деловой репутации Банка «Национальный Клиринговый Центр» (Акционерно общество) на </w:t>
      </w:r>
      <w:r w:rsidR="002602D9" w:rsidRPr="00EA2597">
        <w:rPr>
          <w:rFonts w:ascii="Times New Roman" w:hAnsi="Times New Roman" w:cs="Times New Roman"/>
          <w:bCs/>
          <w:sz w:val="24"/>
          <w:szCs w:val="24"/>
        </w:rPr>
        <w:lastRenderedPageBreak/>
        <w:t>основании оценки событий риска в процесс управления риском потери деловой репутации и автоматизации данного процесса.</w:t>
      </w:r>
    </w:p>
    <w:p w14:paraId="74983F4C"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В 2016 году НКЦ ежеквартально отчитывался перед ДФС Банка России о результатах управления РПДР. По рекомендации Службы внутреннего аудита, в целях повышения контроля со стороны коллегиальных исполнительных органов НКЦ за управлением РПДР с IV квартала 2016 года введено ежеквартальное заслушивание отчетов Ответственного сотрудника за управление данным видом риска на заседаниях Правления Банка.</w:t>
      </w:r>
    </w:p>
    <w:p w14:paraId="0FC14790" w14:textId="77777777" w:rsidR="00B73A1A" w:rsidRDefault="00B73A1A" w:rsidP="002602D9">
      <w:pPr>
        <w:pStyle w:val="2"/>
        <w:jc w:val="center"/>
        <w:rPr>
          <w:rFonts w:ascii="Times New Roman" w:eastAsia="Calibri" w:hAnsi="Times New Roman" w:cs="Times New Roman"/>
          <w:b/>
          <w:i/>
          <w:color w:val="auto"/>
          <w:sz w:val="24"/>
          <w:szCs w:val="24"/>
        </w:rPr>
      </w:pPr>
    </w:p>
    <w:p w14:paraId="04E32A05" w14:textId="77777777" w:rsidR="002602D9" w:rsidRDefault="002602D9" w:rsidP="002602D9">
      <w:pPr>
        <w:pStyle w:val="2"/>
        <w:jc w:val="center"/>
        <w:rPr>
          <w:rFonts w:ascii="Times New Roman" w:eastAsia="Calibri" w:hAnsi="Times New Roman" w:cs="Times New Roman"/>
          <w:b/>
          <w:i/>
          <w:color w:val="auto"/>
          <w:sz w:val="24"/>
          <w:szCs w:val="24"/>
        </w:rPr>
      </w:pPr>
      <w:r>
        <w:rPr>
          <w:rFonts w:ascii="Times New Roman" w:eastAsia="Calibri" w:hAnsi="Times New Roman" w:cs="Times New Roman"/>
          <w:b/>
          <w:i/>
          <w:color w:val="auto"/>
          <w:sz w:val="24"/>
          <w:szCs w:val="24"/>
        </w:rPr>
        <w:t>Управление кастодиальным риском</w:t>
      </w:r>
    </w:p>
    <w:p w14:paraId="19CFB8F7" w14:textId="77777777" w:rsidR="00F676A1" w:rsidRDefault="00F676A1" w:rsidP="001E071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0F7A995"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НКЦ при осуществлении платежей и расчетов использует услуги банков-контрагентов, депозитариев и расчетных организаций (в т.ч. НКО ЗАО НРД). Инфраструктура коммерческих банков и сторонних депозитариев используется в тех случаях, когда не может быть использована инфраструктура Банка России и НКО ЗАО НРД. Оценка качества контрагентов осуществляется в рамках управления кредитным риском НКЦ.</w:t>
      </w:r>
    </w:p>
    <w:p w14:paraId="48318867"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Для снижения кастодиального риска НКЦ проводит оценку качества депозитариев в соответствии с требованиями Положения о порядке формирования резервов на возможные потери Банка «Национальный Клиринговый Центр» (Акционерное общество).</w:t>
      </w:r>
    </w:p>
    <w:p w14:paraId="2F4AB800"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Также в рамках управления кастодиальным риском НКЦ:</w:t>
      </w:r>
    </w:p>
    <w:p w14:paraId="6081B702" w14:textId="77777777" w:rsidR="002602D9" w:rsidRDefault="002602D9" w:rsidP="00441380">
      <w:pPr>
        <w:pStyle w:val="-11"/>
        <w:numPr>
          <w:ilvl w:val="0"/>
          <w:numId w:val="63"/>
        </w:numPr>
        <w:spacing w:line="240" w:lineRule="auto"/>
        <w:jc w:val="both"/>
        <w:rPr>
          <w:rFonts w:ascii="Times New Roman" w:hAnsi="Times New Roman"/>
          <w:sz w:val="24"/>
          <w:szCs w:val="24"/>
        </w:rPr>
      </w:pPr>
      <w:r>
        <w:rPr>
          <w:rFonts w:ascii="Times New Roman" w:hAnsi="Times New Roman"/>
          <w:sz w:val="24"/>
          <w:szCs w:val="24"/>
        </w:rPr>
        <w:t xml:space="preserve">осуществляет </w:t>
      </w:r>
      <w:r w:rsidRPr="00384278">
        <w:rPr>
          <w:rFonts w:ascii="Times New Roman" w:hAnsi="Times New Roman"/>
          <w:sz w:val="24"/>
          <w:szCs w:val="24"/>
        </w:rPr>
        <w:t xml:space="preserve">аккредитацию </w:t>
      </w:r>
      <w:r>
        <w:rPr>
          <w:rFonts w:ascii="Times New Roman" w:hAnsi="Times New Roman"/>
          <w:sz w:val="24"/>
          <w:szCs w:val="24"/>
        </w:rPr>
        <w:t>элеваторов в соответствии с Правилами аккредитации элеваторов Банком НКЦ (АО) при осуществлении функций оператора товарных поставок;</w:t>
      </w:r>
    </w:p>
    <w:p w14:paraId="6B56ADDA" w14:textId="77777777" w:rsidR="002602D9" w:rsidRDefault="002602D9" w:rsidP="00441380">
      <w:pPr>
        <w:pStyle w:val="-11"/>
        <w:numPr>
          <w:ilvl w:val="0"/>
          <w:numId w:val="63"/>
        </w:numPr>
        <w:spacing w:line="240" w:lineRule="auto"/>
        <w:jc w:val="both"/>
        <w:rPr>
          <w:rFonts w:ascii="Times New Roman" w:hAnsi="Times New Roman"/>
          <w:sz w:val="24"/>
          <w:szCs w:val="24"/>
        </w:rPr>
      </w:pPr>
      <w:r>
        <w:rPr>
          <w:rFonts w:ascii="Times New Roman" w:hAnsi="Times New Roman"/>
          <w:sz w:val="24"/>
          <w:szCs w:val="24"/>
        </w:rPr>
        <w:t xml:space="preserve">осуществляет аккредитацию </w:t>
      </w:r>
      <w:r w:rsidRPr="00384278">
        <w:rPr>
          <w:rFonts w:ascii="Times New Roman" w:hAnsi="Times New Roman"/>
          <w:sz w:val="24"/>
          <w:szCs w:val="24"/>
        </w:rPr>
        <w:t>товарных складов в соответствии с Правилами аккредитации складов, осуществляющих хранение сахара, Банком НКЦ (АО) при осуществлении функций Оператора товарных поставок</w:t>
      </w:r>
      <w:r>
        <w:rPr>
          <w:rFonts w:ascii="Times New Roman" w:hAnsi="Times New Roman"/>
          <w:sz w:val="24"/>
          <w:szCs w:val="24"/>
        </w:rPr>
        <w:t>;</w:t>
      </w:r>
    </w:p>
    <w:p w14:paraId="77587423" w14:textId="77777777" w:rsidR="002602D9" w:rsidRPr="00665591" w:rsidRDefault="002602D9" w:rsidP="00441380">
      <w:pPr>
        <w:pStyle w:val="-11"/>
        <w:numPr>
          <w:ilvl w:val="0"/>
          <w:numId w:val="63"/>
        </w:numPr>
        <w:jc w:val="both"/>
        <w:rPr>
          <w:rFonts w:ascii="Times New Roman" w:hAnsi="Times New Roman"/>
          <w:sz w:val="24"/>
          <w:szCs w:val="24"/>
        </w:rPr>
      </w:pPr>
      <w:r>
        <w:rPr>
          <w:rFonts w:ascii="Times New Roman" w:hAnsi="Times New Roman"/>
          <w:sz w:val="24"/>
          <w:szCs w:val="24"/>
        </w:rPr>
        <w:t>осуществляет</w:t>
      </w:r>
      <w:r w:rsidRPr="00665591">
        <w:rPr>
          <w:rFonts w:ascii="Times New Roman" w:hAnsi="Times New Roman"/>
          <w:sz w:val="24"/>
          <w:szCs w:val="24"/>
        </w:rPr>
        <w:t xml:space="preserve"> контроль фактического местонахождения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w:t>
      </w:r>
    </w:p>
    <w:p w14:paraId="176C4AF1" w14:textId="77777777" w:rsidR="002602D9" w:rsidRDefault="002602D9" w:rsidP="00441380">
      <w:pPr>
        <w:pStyle w:val="-11"/>
        <w:numPr>
          <w:ilvl w:val="0"/>
          <w:numId w:val="63"/>
        </w:numPr>
        <w:jc w:val="both"/>
        <w:rPr>
          <w:rFonts w:ascii="Times New Roman" w:hAnsi="Times New Roman"/>
          <w:sz w:val="24"/>
          <w:szCs w:val="24"/>
        </w:rPr>
      </w:pPr>
      <w:r w:rsidRPr="00665591">
        <w:rPr>
          <w:rFonts w:ascii="Times New Roman" w:hAnsi="Times New Roman"/>
          <w:sz w:val="24"/>
          <w:szCs w:val="24"/>
        </w:rPr>
        <w:t>оценива</w:t>
      </w:r>
      <w:r>
        <w:rPr>
          <w:rFonts w:ascii="Times New Roman" w:hAnsi="Times New Roman"/>
          <w:sz w:val="24"/>
          <w:szCs w:val="24"/>
        </w:rPr>
        <w:t>е</w:t>
      </w:r>
      <w:r w:rsidRPr="00665591">
        <w:rPr>
          <w:rFonts w:ascii="Times New Roman" w:hAnsi="Times New Roman"/>
          <w:sz w:val="24"/>
          <w:szCs w:val="24"/>
        </w:rPr>
        <w:t>т возможность своевременного востребования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w:t>
      </w:r>
      <w:r>
        <w:rPr>
          <w:rFonts w:ascii="Times New Roman" w:hAnsi="Times New Roman"/>
          <w:sz w:val="24"/>
          <w:szCs w:val="24"/>
        </w:rPr>
        <w:t>;</w:t>
      </w:r>
    </w:p>
    <w:p w14:paraId="3083CC81" w14:textId="77777777" w:rsidR="002602D9" w:rsidRPr="00D7519F" w:rsidRDefault="002602D9" w:rsidP="00441380">
      <w:pPr>
        <w:pStyle w:val="-11"/>
        <w:numPr>
          <w:ilvl w:val="0"/>
          <w:numId w:val="63"/>
        </w:numPr>
        <w:jc w:val="both"/>
        <w:rPr>
          <w:rFonts w:ascii="Times New Roman" w:hAnsi="Times New Roman"/>
          <w:sz w:val="24"/>
          <w:szCs w:val="24"/>
        </w:rPr>
      </w:pPr>
      <w:r w:rsidRPr="00D7519F">
        <w:rPr>
          <w:rFonts w:ascii="Times New Roman" w:hAnsi="Times New Roman"/>
          <w:sz w:val="24"/>
          <w:szCs w:val="24"/>
        </w:rPr>
        <w:t>обеспечивает возможность создания резервов и (или) страхования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 для покрытия потенциальных убытков, возникающих в случае несостоятельности кастодиана.</w:t>
      </w:r>
    </w:p>
    <w:p w14:paraId="4B49393E" w14:textId="77777777" w:rsidR="00B73A1A" w:rsidRDefault="00B73A1A" w:rsidP="002602D9">
      <w:pPr>
        <w:pStyle w:val="2"/>
        <w:jc w:val="center"/>
        <w:rPr>
          <w:rFonts w:ascii="Times New Roman" w:eastAsia="Calibri" w:hAnsi="Times New Roman" w:cs="Times New Roman"/>
          <w:b/>
          <w:i/>
          <w:color w:val="auto"/>
          <w:sz w:val="24"/>
          <w:szCs w:val="24"/>
        </w:rPr>
      </w:pPr>
    </w:p>
    <w:p w14:paraId="5325EB32" w14:textId="77777777" w:rsidR="002602D9" w:rsidRDefault="002602D9" w:rsidP="002602D9">
      <w:pPr>
        <w:pStyle w:val="2"/>
        <w:jc w:val="center"/>
        <w:rPr>
          <w:rFonts w:ascii="Times New Roman" w:eastAsia="Calibri" w:hAnsi="Times New Roman" w:cs="Times New Roman"/>
          <w:b/>
          <w:i/>
          <w:color w:val="auto"/>
          <w:sz w:val="24"/>
          <w:szCs w:val="24"/>
        </w:rPr>
      </w:pPr>
      <w:r>
        <w:rPr>
          <w:rFonts w:ascii="Times New Roman" w:eastAsia="Calibri" w:hAnsi="Times New Roman" w:cs="Times New Roman"/>
          <w:b/>
          <w:i/>
          <w:color w:val="auto"/>
          <w:sz w:val="24"/>
          <w:szCs w:val="24"/>
        </w:rPr>
        <w:t>Управление коммерческим риском</w:t>
      </w:r>
    </w:p>
    <w:p w14:paraId="70BCB7AD" w14:textId="77777777" w:rsidR="00F676A1" w:rsidRDefault="00F676A1" w:rsidP="00646F52">
      <w:pPr>
        <w:spacing w:after="0" w:line="240" w:lineRule="auto"/>
        <w:ind w:firstLine="709"/>
        <w:contextualSpacing/>
        <w:jc w:val="both"/>
        <w:rPr>
          <w:rFonts w:ascii="Times New Roman" w:hAnsi="Times New Roman" w:cs="Times New Roman"/>
          <w:color w:val="000000"/>
          <w:sz w:val="24"/>
          <w:szCs w:val="24"/>
        </w:rPr>
      </w:pPr>
    </w:p>
    <w:p w14:paraId="12DF51E0"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Pr="00EA2597">
        <w:rPr>
          <w:rFonts w:ascii="Times New Roman" w:hAnsi="Times New Roman" w:cs="Times New Roman"/>
          <w:bCs/>
          <w:sz w:val="24"/>
          <w:szCs w:val="24"/>
        </w:rPr>
        <w:t xml:space="preserve">Под </w:t>
      </w:r>
      <w:r w:rsidR="002602D9" w:rsidRPr="00EA2597">
        <w:rPr>
          <w:rFonts w:ascii="Times New Roman" w:hAnsi="Times New Roman" w:cs="Times New Roman"/>
          <w:bCs/>
          <w:sz w:val="24"/>
          <w:szCs w:val="24"/>
        </w:rPr>
        <w:t>коммерческим риском понимается любое потенциальное ухудшение финансового положения Банка (как коммерческой организации) вследствие превышения расходов над доходами, в случае если они приводят к потерям, не связанным с реализацией кредитного или кастодиального риска.</w:t>
      </w:r>
    </w:p>
    <w:p w14:paraId="1C54B2C1" w14:textId="77777777" w:rsidR="002602D9" w:rsidRPr="00EA2597" w:rsidRDefault="002602D9"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lastRenderedPageBreak/>
        <w:t>С целью управления коммерческим риском НКЦ осуществляет следующие меры:</w:t>
      </w:r>
    </w:p>
    <w:p w14:paraId="785A4850" w14:textId="77777777" w:rsidR="002602D9" w:rsidRPr="00640D4D" w:rsidRDefault="002602D9" w:rsidP="00441380">
      <w:pPr>
        <w:pStyle w:val="-11"/>
        <w:numPr>
          <w:ilvl w:val="0"/>
          <w:numId w:val="63"/>
        </w:numPr>
        <w:spacing w:line="240" w:lineRule="auto"/>
        <w:jc w:val="both"/>
        <w:rPr>
          <w:rFonts w:ascii="Times New Roman" w:hAnsi="Times New Roman"/>
          <w:sz w:val="24"/>
          <w:szCs w:val="24"/>
        </w:rPr>
      </w:pPr>
      <w:r w:rsidRPr="00640D4D">
        <w:rPr>
          <w:rFonts w:ascii="Times New Roman" w:hAnsi="Times New Roman"/>
          <w:sz w:val="24"/>
          <w:szCs w:val="24"/>
        </w:rPr>
        <w:t>разрабатывает планы действий по восстановлению/упорядоченному сокращению объемов деятельности на случай реализации общего делового риска и риска потери деловой репутации;</w:t>
      </w:r>
    </w:p>
    <w:p w14:paraId="3A9519BA" w14:textId="77777777" w:rsidR="002602D9" w:rsidRPr="005938DE" w:rsidRDefault="002602D9" w:rsidP="00441380">
      <w:pPr>
        <w:pStyle w:val="-11"/>
        <w:numPr>
          <w:ilvl w:val="0"/>
          <w:numId w:val="63"/>
        </w:numPr>
        <w:spacing w:line="240" w:lineRule="auto"/>
        <w:jc w:val="both"/>
        <w:rPr>
          <w:rFonts w:ascii="Times New Roman" w:hAnsi="Times New Roman"/>
          <w:sz w:val="24"/>
          <w:szCs w:val="24"/>
        </w:rPr>
      </w:pPr>
      <w:r w:rsidRPr="00640D4D">
        <w:rPr>
          <w:rFonts w:ascii="Times New Roman" w:hAnsi="Times New Roman"/>
          <w:sz w:val="24"/>
          <w:szCs w:val="24"/>
        </w:rPr>
        <w:t>обеспечивает проведение анализа доходов и расходов при введении новых инструментов и продуктов.</w:t>
      </w:r>
    </w:p>
    <w:p w14:paraId="0508C75F" w14:textId="77777777" w:rsidR="00B73A1A" w:rsidRDefault="00B73A1A" w:rsidP="00646F52">
      <w:pPr>
        <w:pStyle w:val="2"/>
        <w:spacing w:line="240" w:lineRule="auto"/>
        <w:jc w:val="center"/>
        <w:rPr>
          <w:rFonts w:ascii="Times New Roman" w:eastAsia="Calibri" w:hAnsi="Times New Roman" w:cs="Times New Roman"/>
          <w:b/>
          <w:i/>
          <w:color w:val="auto"/>
          <w:sz w:val="24"/>
          <w:szCs w:val="24"/>
        </w:rPr>
      </w:pPr>
    </w:p>
    <w:p w14:paraId="3CD52FF9" w14:textId="77777777" w:rsidR="002602D9" w:rsidRPr="00C11834" w:rsidRDefault="002602D9" w:rsidP="00646F52">
      <w:pPr>
        <w:pStyle w:val="2"/>
        <w:spacing w:line="240" w:lineRule="auto"/>
        <w:jc w:val="center"/>
        <w:rPr>
          <w:rFonts w:ascii="Times New Roman" w:eastAsia="Calibri" w:hAnsi="Times New Roman" w:cs="Times New Roman"/>
          <w:b/>
          <w:i/>
          <w:color w:val="auto"/>
          <w:sz w:val="24"/>
          <w:szCs w:val="24"/>
        </w:rPr>
      </w:pPr>
      <w:r w:rsidRPr="00C11834">
        <w:rPr>
          <w:rFonts w:ascii="Times New Roman" w:eastAsia="Calibri" w:hAnsi="Times New Roman" w:cs="Times New Roman"/>
          <w:b/>
          <w:i/>
          <w:color w:val="auto"/>
          <w:sz w:val="24"/>
          <w:szCs w:val="24"/>
        </w:rPr>
        <w:t>Управление системным риском</w:t>
      </w:r>
    </w:p>
    <w:p w14:paraId="599E4097" w14:textId="77777777" w:rsidR="00F676A1" w:rsidRDefault="00F676A1" w:rsidP="001E0717">
      <w:pPr>
        <w:spacing w:after="0" w:line="240" w:lineRule="auto"/>
        <w:contextualSpacing/>
        <w:jc w:val="both"/>
        <w:rPr>
          <w:rFonts w:ascii="Times New Roman" w:hAnsi="Times New Roman" w:cs="Times New Roman"/>
          <w:color w:val="000000"/>
          <w:sz w:val="24"/>
          <w:szCs w:val="24"/>
        </w:rPr>
      </w:pPr>
    </w:p>
    <w:p w14:paraId="2720D898"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Источником системного риска является реализация иных рисков, указанных в настоящем отчете. Учитывая указанную специфику реализации системного риска, ответственность по управлению им распределяется между всеми подразделениями/ответственными лицами НКЦ в рамках их компетенций по управлению рисками и координируется Департаментом анализа и контроля рисков. Кроме того, для снижения системного риска при принятии решений органы управления и ответственные должностные лица принимают во внимание взаимное влияние НКЦ и других инфраструктурных организаций, участников клиринга и иных контрагентов.</w:t>
      </w:r>
    </w:p>
    <w:p w14:paraId="5CE99701"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602D9" w:rsidRPr="00EA2597">
        <w:rPr>
          <w:rFonts w:ascii="Times New Roman" w:hAnsi="Times New Roman" w:cs="Times New Roman"/>
          <w:bCs/>
          <w:sz w:val="24"/>
          <w:szCs w:val="24"/>
        </w:rPr>
        <w:t>Помимо общих мер, направленных на снижение иных возникающих в деятельности НКЦ рисков, в целях снижения системного риска НКЦ дополнительно:</w:t>
      </w:r>
    </w:p>
    <w:p w14:paraId="0852F1FC" w14:textId="77777777" w:rsidR="002602D9" w:rsidRPr="00640D4D" w:rsidRDefault="002602D9" w:rsidP="00441380">
      <w:pPr>
        <w:pStyle w:val="-11"/>
        <w:numPr>
          <w:ilvl w:val="0"/>
          <w:numId w:val="63"/>
        </w:numPr>
        <w:spacing w:line="240" w:lineRule="auto"/>
        <w:jc w:val="both"/>
        <w:rPr>
          <w:rFonts w:ascii="Times New Roman" w:hAnsi="Times New Roman"/>
          <w:sz w:val="24"/>
          <w:szCs w:val="24"/>
        </w:rPr>
      </w:pPr>
      <w:r w:rsidRPr="00DA776E">
        <w:rPr>
          <w:rFonts w:ascii="Times New Roman" w:hAnsi="Times New Roman"/>
          <w:sz w:val="24"/>
          <w:szCs w:val="24"/>
        </w:rPr>
        <w:t>п</w:t>
      </w:r>
      <w:r w:rsidRPr="00640D4D">
        <w:rPr>
          <w:rFonts w:ascii="Times New Roman" w:hAnsi="Times New Roman"/>
          <w:sz w:val="24"/>
          <w:szCs w:val="24"/>
        </w:rPr>
        <w:t>роводит мониторинг финансовой устойчивости инфраструктурных организаций, с которым установлены договорные отношения и в отношении которых у НКЦ возникает кредитный риск;</w:t>
      </w:r>
    </w:p>
    <w:p w14:paraId="711A043F" w14:textId="77777777" w:rsidR="002602D9" w:rsidRDefault="002602D9" w:rsidP="00441380">
      <w:pPr>
        <w:pStyle w:val="-11"/>
        <w:numPr>
          <w:ilvl w:val="0"/>
          <w:numId w:val="63"/>
        </w:numPr>
        <w:spacing w:line="240" w:lineRule="auto"/>
        <w:jc w:val="both"/>
        <w:rPr>
          <w:rFonts w:ascii="Times New Roman" w:hAnsi="Times New Roman"/>
          <w:sz w:val="24"/>
          <w:szCs w:val="24"/>
        </w:rPr>
      </w:pPr>
      <w:r w:rsidRPr="00640D4D">
        <w:rPr>
          <w:rFonts w:ascii="Times New Roman" w:hAnsi="Times New Roman"/>
          <w:sz w:val="24"/>
          <w:szCs w:val="24"/>
        </w:rPr>
        <w:t>проводит мониторинг совокупных позиций участников клиринга, открытых на всех рынках, на которых НКЦ выступает как центральный контрагент;</w:t>
      </w:r>
    </w:p>
    <w:p w14:paraId="0E21CB78" w14:textId="77777777" w:rsidR="002602D9" w:rsidRPr="009E0BC3" w:rsidRDefault="002602D9" w:rsidP="00441380">
      <w:pPr>
        <w:pStyle w:val="-11"/>
        <w:numPr>
          <w:ilvl w:val="0"/>
          <w:numId w:val="63"/>
        </w:numPr>
        <w:spacing w:line="240" w:lineRule="auto"/>
        <w:jc w:val="both"/>
        <w:rPr>
          <w:rFonts w:ascii="Times New Roman" w:hAnsi="Times New Roman"/>
          <w:sz w:val="24"/>
          <w:szCs w:val="24"/>
        </w:rPr>
      </w:pPr>
      <w:r w:rsidRPr="009E0BC3">
        <w:rPr>
          <w:rFonts w:ascii="Times New Roman" w:hAnsi="Times New Roman"/>
          <w:sz w:val="24"/>
          <w:szCs w:val="24"/>
        </w:rPr>
        <w:t>разрабатывает процедуры передачи позиций клиентов участника клиринга в случае его несостоятельности (банкротства) другому участнику клиринга;</w:t>
      </w:r>
    </w:p>
    <w:p w14:paraId="41876155" w14:textId="77777777" w:rsidR="002602D9" w:rsidRPr="00640D4D" w:rsidRDefault="002602D9" w:rsidP="00441380">
      <w:pPr>
        <w:pStyle w:val="-11"/>
        <w:numPr>
          <w:ilvl w:val="0"/>
          <w:numId w:val="63"/>
        </w:numPr>
        <w:spacing w:line="240" w:lineRule="auto"/>
        <w:jc w:val="both"/>
        <w:rPr>
          <w:rFonts w:ascii="Times New Roman" w:hAnsi="Times New Roman"/>
          <w:sz w:val="24"/>
          <w:szCs w:val="24"/>
        </w:rPr>
      </w:pPr>
      <w:r w:rsidRPr="00640D4D">
        <w:rPr>
          <w:rFonts w:ascii="Times New Roman" w:hAnsi="Times New Roman"/>
          <w:sz w:val="24"/>
          <w:szCs w:val="24"/>
        </w:rPr>
        <w:t>ограничивает процикличность расчета</w:t>
      </w:r>
      <w:r>
        <w:rPr>
          <w:rFonts w:ascii="Times New Roman" w:hAnsi="Times New Roman"/>
          <w:sz w:val="24"/>
          <w:szCs w:val="24"/>
        </w:rPr>
        <w:t xml:space="preserve"> </w:t>
      </w:r>
      <w:r w:rsidRPr="00640D4D">
        <w:rPr>
          <w:rFonts w:ascii="Times New Roman" w:hAnsi="Times New Roman"/>
          <w:sz w:val="24"/>
          <w:szCs w:val="24"/>
        </w:rPr>
        <w:t xml:space="preserve">размера </w:t>
      </w:r>
      <w:r>
        <w:rPr>
          <w:rFonts w:ascii="Times New Roman" w:hAnsi="Times New Roman"/>
          <w:sz w:val="24"/>
          <w:szCs w:val="24"/>
        </w:rPr>
        <w:t xml:space="preserve">требуемого </w:t>
      </w:r>
      <w:r w:rsidRPr="00640D4D">
        <w:rPr>
          <w:rFonts w:ascii="Times New Roman" w:hAnsi="Times New Roman"/>
          <w:sz w:val="24"/>
          <w:szCs w:val="24"/>
        </w:rPr>
        <w:t>обеспечения по сделкам участников клиринга.</w:t>
      </w:r>
    </w:p>
    <w:p w14:paraId="01ADD033" w14:textId="77777777" w:rsidR="002602D9" w:rsidRPr="00C11834" w:rsidRDefault="002602D9" w:rsidP="00441380">
      <w:pPr>
        <w:pStyle w:val="1"/>
        <w:numPr>
          <w:ilvl w:val="0"/>
          <w:numId w:val="65"/>
        </w:numPr>
        <w:jc w:val="center"/>
        <w:rPr>
          <w:rFonts w:ascii="Times New Roman" w:eastAsia="Calibri" w:hAnsi="Times New Roman" w:cs="Times New Roman"/>
          <w:b/>
          <w:color w:val="auto"/>
          <w:sz w:val="24"/>
        </w:rPr>
      </w:pPr>
      <w:r w:rsidRPr="00C11834">
        <w:rPr>
          <w:rFonts w:ascii="Times New Roman" w:eastAsia="Calibri" w:hAnsi="Times New Roman" w:cs="Times New Roman"/>
          <w:b/>
          <w:color w:val="auto"/>
          <w:sz w:val="24"/>
        </w:rPr>
        <w:t xml:space="preserve"> Стресс-тестирование финансовой устойчивости</w:t>
      </w:r>
    </w:p>
    <w:p w14:paraId="0418F199" w14:textId="77777777" w:rsidR="00F676A1" w:rsidRDefault="00F676A1" w:rsidP="001E0717">
      <w:pPr>
        <w:spacing w:after="0" w:line="240" w:lineRule="auto"/>
        <w:jc w:val="both"/>
        <w:rPr>
          <w:rFonts w:ascii="Times New Roman" w:eastAsia="Times New Roman" w:hAnsi="Times New Roman" w:cs="Times New Roman"/>
          <w:color w:val="000000"/>
          <w:sz w:val="24"/>
          <w:szCs w:val="24"/>
          <w:lang w:eastAsia="ru-RU"/>
        </w:rPr>
      </w:pPr>
    </w:p>
    <w:p w14:paraId="4BF92F7C"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2602D9" w:rsidRPr="00EA2597">
        <w:rPr>
          <w:rFonts w:ascii="Times New Roman" w:hAnsi="Times New Roman" w:cs="Times New Roman"/>
          <w:bCs/>
          <w:sz w:val="24"/>
          <w:szCs w:val="24"/>
        </w:rPr>
        <w:t>Стресс-тестирование финансовой устойчивости НКЦ направлено на снижение рисков до приемлемого уровня, определяемого обязательностью выполнения функций инфраструктурной организации финансового рынка Российской Федерации – поддержание стабильности на обслуживаемых сегментах финансового рынка, предоставление участникам клиринговых услуг, позволяющих эффективно использовать направляемые на рынок средства.</w:t>
      </w:r>
    </w:p>
    <w:p w14:paraId="4E57C1DC"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lang w:eastAsia="ru-RU"/>
        </w:rPr>
        <w:t xml:space="preserve">     </w:t>
      </w:r>
      <w:r w:rsidR="002602D9" w:rsidRPr="00EA2597">
        <w:rPr>
          <w:rFonts w:ascii="Times New Roman" w:hAnsi="Times New Roman" w:cs="Times New Roman"/>
          <w:bCs/>
          <w:sz w:val="24"/>
          <w:szCs w:val="24"/>
        </w:rPr>
        <w:t>В 2016 году комплексное стресс-тестирование финансовой устойчивости НКЦ проводилось по модернизированной методологии, что способствовало повышению надежности в обосновании принимаемых стратегических и оперативных бизнес-решений в нестандартных рыночных условиях. При стресс-тестировании НКЦ оценке подлежат риски, присущие деятельности ЦК, включая кредитный, рыночный риски и риск ликвидности, а также риски традиционной банковской деятельности.</w:t>
      </w:r>
    </w:p>
    <w:p w14:paraId="125B2A79"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2602D9" w:rsidRPr="00EA2597">
        <w:rPr>
          <w:rFonts w:ascii="Times New Roman" w:hAnsi="Times New Roman" w:cs="Times New Roman"/>
          <w:bCs/>
          <w:sz w:val="24"/>
          <w:szCs w:val="24"/>
        </w:rPr>
        <w:t>Риск центрального контрагента определяет величину потерь вследствие неисполнения, несвоевременного либо неполного исполнения недобросовестными участниками клиринга на рынках Московской Биржи своих финансовых обязательств перед ЦК.</w:t>
      </w:r>
    </w:p>
    <w:p w14:paraId="4E792166" w14:textId="77777777" w:rsidR="000E6EF9" w:rsidRDefault="000E6EF9" w:rsidP="00646F52">
      <w:pPr>
        <w:tabs>
          <w:tab w:val="left" w:pos="708"/>
        </w:tabs>
        <w:spacing w:after="0" w:line="240" w:lineRule="auto"/>
        <w:ind w:firstLine="567"/>
        <w:jc w:val="both"/>
        <w:textAlignment w:val="top"/>
        <w:rPr>
          <w:rFonts w:ascii="Times New Roman" w:eastAsia="Times New Roman" w:hAnsi="Times New Roman" w:cs="Times New Roman"/>
          <w:color w:val="000000"/>
          <w:sz w:val="24"/>
          <w:szCs w:val="24"/>
          <w:lang w:eastAsia="ru-RU"/>
        </w:rPr>
      </w:pPr>
    </w:p>
    <w:p w14:paraId="18031DCC" w14:textId="77777777" w:rsidR="002602D9" w:rsidRPr="00EA2597" w:rsidRDefault="00F676A1"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     </w:t>
      </w:r>
      <w:r w:rsidR="002602D9" w:rsidRPr="00EA2597">
        <w:rPr>
          <w:rFonts w:ascii="Times New Roman" w:hAnsi="Times New Roman" w:cs="Times New Roman"/>
          <w:bCs/>
          <w:sz w:val="24"/>
          <w:szCs w:val="24"/>
        </w:rPr>
        <w:t>Банк использует модель одновременного урегулирования крупнейших дефолтных нетто-позиций контрагентов. При определении количества используемых дефолтов участников клиринга НКЦ учитывает рекомендации CPMI-IOSCO для центральных контрагентов. Обратное стресс-тестирование НКЦ проводится с целью определения значений риск-факторов, при которых показатели финансовой устойчивости принимают критические (минимально/максимально допустимые) значения, с учетом необходимости соблюдения пруденциальных требований Банка России. Стресс-тестирование финансовой устойчивости проводится как в направлении анализа чувствительности к действию отдельных риск-факторов, способных привести к возникновению возможных потерь ЦК, так и одновременного действия заданного набора факторов риска, что позволяет оценить достаточность финансовых ресурсов ЦК в условиях кризиса. НКЦ проводит валидацию моделей стресс-тестирования ЦК. При значительном изменении рыночной конъюнктуры стресс-параметры оперативно пересматриваются.</w:t>
      </w:r>
    </w:p>
    <w:p w14:paraId="33FC13BD" w14:textId="1CCD6685" w:rsidR="002602D9" w:rsidRPr="00C11834" w:rsidRDefault="00136C29" w:rsidP="001E07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76A1">
        <w:rPr>
          <w:rFonts w:ascii="Times New Roman" w:eastAsia="Calibri" w:hAnsi="Times New Roman" w:cs="Times New Roman"/>
          <w:sz w:val="24"/>
          <w:szCs w:val="24"/>
        </w:rPr>
        <w:t xml:space="preserve">     </w:t>
      </w:r>
      <w:r w:rsidR="002602D9" w:rsidRPr="00EA2597">
        <w:rPr>
          <w:rFonts w:ascii="Times New Roman" w:hAnsi="Times New Roman" w:cs="Times New Roman"/>
          <w:bCs/>
          <w:sz w:val="24"/>
          <w:szCs w:val="24"/>
        </w:rPr>
        <w:t>Итоги стресс-тестирования, проводимого в 2016 году, свидетельствуют о способности НКЦ сохранить общую финансовую устойчивость без возникновения угрозы непрерывности деятельности, определяемую через достаточность источников покрытия рисков, в условиях смоделированных шоков и их сочетания</w:t>
      </w:r>
      <w:r w:rsidR="002602D9" w:rsidRPr="00341240">
        <w:rPr>
          <w:rFonts w:ascii="Times New Roman" w:eastAsia="Calibri" w:hAnsi="Times New Roman" w:cs="Times New Roman"/>
          <w:sz w:val="24"/>
          <w:szCs w:val="24"/>
        </w:rPr>
        <w:t>.</w:t>
      </w:r>
    </w:p>
    <w:p w14:paraId="688DFD65" w14:textId="77777777" w:rsidR="002C4839" w:rsidRDefault="002C4839" w:rsidP="00646F52">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p>
    <w:p w14:paraId="2A3EED53" w14:textId="77777777" w:rsidR="002C4839" w:rsidRDefault="002C4839" w:rsidP="00646F52">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p>
    <w:p w14:paraId="4B2356A1" w14:textId="77777777" w:rsidR="002C4839" w:rsidRDefault="002C4839" w:rsidP="00631204">
      <w:pPr>
        <w:widowControl w:val="0"/>
        <w:tabs>
          <w:tab w:val="left" w:pos="8820"/>
        </w:tabs>
        <w:overflowPunct w:val="0"/>
        <w:autoSpaceDE w:val="0"/>
        <w:autoSpaceDN w:val="0"/>
        <w:adjustRightInd w:val="0"/>
        <w:spacing w:after="0" w:line="240" w:lineRule="auto"/>
        <w:ind w:left="142" w:right="76"/>
        <w:jc w:val="center"/>
        <w:textAlignment w:val="baseline"/>
        <w:rPr>
          <w:rFonts w:ascii="Times New Roman" w:eastAsia="Times New Roman" w:hAnsi="Times New Roman" w:cs="Times New Roman"/>
          <w:b/>
          <w:sz w:val="28"/>
          <w:szCs w:val="28"/>
          <w:lang w:eastAsia="ru-RU"/>
        </w:rPr>
      </w:pPr>
    </w:p>
    <w:p w14:paraId="25BF3149" w14:textId="77777777" w:rsidR="0045065C" w:rsidRPr="00143BC1" w:rsidRDefault="0045065C"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32D28C58" w14:textId="77777777" w:rsidR="001E6F67" w:rsidRPr="008442BB" w:rsidRDefault="001E6F67" w:rsidP="001E6F67">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525EE91B" w14:textId="77777777" w:rsidR="00A10D24" w:rsidRPr="00A10D24" w:rsidRDefault="00A10D24" w:rsidP="00A10D24">
      <w:pPr>
        <w:widowControl w:val="0"/>
        <w:tabs>
          <w:tab w:val="left" w:pos="8820"/>
        </w:tabs>
        <w:overflowPunct w:val="0"/>
        <w:autoSpaceDE w:val="0"/>
        <w:autoSpaceDN w:val="0"/>
        <w:adjustRightInd w:val="0"/>
        <w:spacing w:after="0" w:line="240" w:lineRule="auto"/>
        <w:ind w:left="709" w:right="76"/>
        <w:jc w:val="center"/>
        <w:textAlignment w:val="baseline"/>
        <w:rPr>
          <w:rFonts w:ascii="Times New Roman" w:eastAsia="Times New Roman" w:hAnsi="Times New Roman" w:cs="Times New Roman"/>
          <w:b/>
          <w:sz w:val="28"/>
          <w:szCs w:val="28"/>
          <w:lang w:eastAsia="ru-RU"/>
        </w:rPr>
      </w:pPr>
      <w:r w:rsidRPr="00A10D24">
        <w:rPr>
          <w:rFonts w:ascii="Times New Roman" w:eastAsia="Times New Roman" w:hAnsi="Times New Roman" w:cs="Times New Roman"/>
          <w:b/>
          <w:sz w:val="28"/>
          <w:szCs w:val="28"/>
          <w:lang w:eastAsia="ru-RU"/>
        </w:rPr>
        <w:t>8. Система внутреннего контроля</w:t>
      </w:r>
    </w:p>
    <w:p w14:paraId="1E21822F" w14:textId="77777777" w:rsidR="00A10D24" w:rsidRPr="00A10D24" w:rsidRDefault="00A10D24" w:rsidP="00290B38">
      <w:pPr>
        <w:autoSpaceDE w:val="0"/>
        <w:autoSpaceDN w:val="0"/>
        <w:adjustRightInd w:val="0"/>
        <w:spacing w:after="0" w:line="240" w:lineRule="auto"/>
        <w:rPr>
          <w:rFonts w:ascii="Times New Roman" w:eastAsia="Calibri" w:hAnsi="Times New Roman" w:cs="Times New Roman"/>
          <w:b/>
          <w:bCs/>
          <w:color w:val="000000"/>
          <w:sz w:val="23"/>
          <w:szCs w:val="23"/>
        </w:rPr>
      </w:pPr>
    </w:p>
    <w:p w14:paraId="068C0298" w14:textId="0EC4FEA6" w:rsidR="00640296" w:rsidRPr="00EA2597" w:rsidRDefault="00640296"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 xml:space="preserve">В условиях повышенного внимания надзорных органов к организации и функционированию внутреннего аудита и контроля в кредитных организациях и, в первую очередь, в инфраструктурных организациях финансового рынка в 2016 году значительное внимание уделялось эффективности деятельности Службы внутреннего аудита  (далее –СВА) и Службы внутреннего контроля (далее – СВК). Первоочередными задачами этих служб являлось повышение качества и актуальности выполняемых задач, оказываемых услуг, содействие успешному развитию бизнеса. </w:t>
      </w:r>
    </w:p>
    <w:p w14:paraId="444C3991" w14:textId="5004D94C" w:rsidR="00640296" w:rsidRPr="00EA2597" w:rsidRDefault="00640296"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Так, с 2016 года СВА применя</w:t>
      </w:r>
      <w:r w:rsidR="00A45B51">
        <w:rPr>
          <w:rFonts w:ascii="Times New Roman" w:hAnsi="Times New Roman" w:cs="Times New Roman"/>
          <w:bCs/>
          <w:sz w:val="24"/>
          <w:szCs w:val="24"/>
        </w:rPr>
        <w:t>ла</w:t>
      </w:r>
      <w:r w:rsidRPr="00EA2597">
        <w:rPr>
          <w:rFonts w:ascii="Times New Roman" w:hAnsi="Times New Roman" w:cs="Times New Roman"/>
          <w:bCs/>
          <w:sz w:val="24"/>
          <w:szCs w:val="24"/>
        </w:rPr>
        <w:t xml:space="preserve"> в своей деятельности Международные профессиональные стандарты внутреннего аудита и принципы международного Кодекса профессиональной этики внутренних аудиторов. В связи с этим в 2016 году была утверждена и поддерживалась программа гарантии и повышения качества внутреннего аудита. По результатам самооценки, СВА в значительной степени повысила уровень соответствия Профессиональным стандартам внутреннего аудита. Так, по состоянию на 01.01.2016 из одиннадцати Профессиональных стандартов СВА соответствовала четырем и частично соответствовала семи стандартам, а по состоянию на 01.01.2017 - девяти и  двум Профессиональным стандартам, соответственно. </w:t>
      </w:r>
    </w:p>
    <w:p w14:paraId="3B4939EE" w14:textId="77777777" w:rsidR="00640296" w:rsidRPr="00EA2597" w:rsidRDefault="00640296"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В 2016 году продолжила свое развитие комплаенс-функция, деятельность по разработке и контролю мероприятий в рамках политики по предотвращению конфликта интересов, антикоррупционной политики, противодействию легализации (отмыванию) доходов, полученных преступным путем, и финансированию терроризма, выполнению требований закона по налогообложению иностранных счетов FATCA и стандарта по международному обмену налоговой информацией CRS.</w:t>
      </w:r>
    </w:p>
    <w:p w14:paraId="03403987" w14:textId="77777777" w:rsidR="00640296" w:rsidRPr="00EA2597" w:rsidRDefault="00640296" w:rsidP="00EA2597">
      <w:pPr>
        <w:spacing w:line="240" w:lineRule="auto"/>
        <w:ind w:firstLine="567"/>
        <w:jc w:val="both"/>
        <w:rPr>
          <w:rFonts w:ascii="Times New Roman" w:hAnsi="Times New Roman" w:cs="Times New Roman"/>
          <w:bCs/>
          <w:sz w:val="24"/>
          <w:szCs w:val="24"/>
        </w:rPr>
      </w:pPr>
      <w:r>
        <w:rPr>
          <w:rFonts w:ascii="Times New Roman" w:eastAsia="Calibri" w:hAnsi="Times New Roman" w:cs="Times New Roman"/>
          <w:bCs/>
          <w:color w:val="000000"/>
          <w:sz w:val="24"/>
          <w:szCs w:val="24"/>
        </w:rPr>
        <w:lastRenderedPageBreak/>
        <w:t xml:space="preserve">     </w:t>
      </w:r>
      <w:r w:rsidRPr="00EA2597">
        <w:rPr>
          <w:rFonts w:ascii="Times New Roman" w:hAnsi="Times New Roman" w:cs="Times New Roman"/>
          <w:bCs/>
          <w:sz w:val="24"/>
          <w:szCs w:val="24"/>
        </w:rPr>
        <w:t>Внутренний контроль в НКЦ осуществляется  в соответствии с Федеральным законом от 02.12.1990 № 395-1 «О банках и банковской деятельности», Федеральным законом от 07.02.2011 № 7-ФЗ «О клиринге, клиринговой деятельности и центральном контрагенте», Положением Банка России от 16.12.2003 № 242-П «Об организации внутреннего контроля в кредитных организациях и банковских группах» и Приказом ФСФР России от 13.08.2013 №13-72/пз-н «Об утверждении требований по организации внутреннего контроля клиринговой организации, а также к документу, устанавливающему порядок осуществления внутреннего контроля клиринговой организации», с учетом характера и масштаба осуществляемых операций, уровня и сочетания принимаемых рисков, как клиринговой организацией-центральным контрагентом, Банком и оператором товарных поставок (ОТП), оказывающих взаимное влияние друг на друга.</w:t>
      </w:r>
    </w:p>
    <w:p w14:paraId="51EBB041" w14:textId="77777777" w:rsidR="00640296" w:rsidRPr="00EA2597" w:rsidRDefault="00640296" w:rsidP="00EA2597">
      <w:pPr>
        <w:spacing w:line="240" w:lineRule="auto"/>
        <w:ind w:firstLine="567"/>
        <w:jc w:val="both"/>
        <w:rPr>
          <w:rFonts w:ascii="Times New Roman" w:hAnsi="Times New Roman" w:cs="Times New Roman"/>
          <w:bCs/>
          <w:sz w:val="24"/>
          <w:szCs w:val="24"/>
        </w:rPr>
      </w:pPr>
      <w:r w:rsidRPr="00A10D24">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Внутренний контроль осуществляется в целях обеспечения:</w:t>
      </w:r>
    </w:p>
    <w:p w14:paraId="59D5A101" w14:textId="77777777" w:rsidR="00640296" w:rsidRPr="00A10D24" w:rsidRDefault="00640296" w:rsidP="00441380">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A10D24">
        <w:rPr>
          <w:rFonts w:ascii="Times New Roman" w:eastAsia="Times New Roman" w:hAnsi="Times New Roman" w:cs="Times New Roman"/>
          <w:sz w:val="24"/>
          <w:szCs w:val="24"/>
          <w:lang w:eastAsia="ru-RU"/>
        </w:rPr>
        <w:t>ффективности финансово-хозяйственной деятельности НКЦ при совершении банковских операций и других сделок, выполнении функции клиринговой организации и центрального контрагента, эффективности управления активами и пассивами, включая обеспечение сохранности активов, управления банковскими рисками/рисками центрального контрагента и ОТП;</w:t>
      </w:r>
    </w:p>
    <w:p w14:paraId="738E89B6" w14:textId="77777777" w:rsidR="00640296" w:rsidRPr="00A10D24" w:rsidRDefault="00640296" w:rsidP="00441380">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10D24">
        <w:rPr>
          <w:rFonts w:ascii="Times New Roman" w:eastAsia="Times New Roman" w:hAnsi="Times New Roman" w:cs="Times New Roman"/>
          <w:sz w:val="24"/>
          <w:szCs w:val="24"/>
          <w:lang w:eastAsia="ru-RU"/>
        </w:rPr>
        <w:t>остоверности, полноты, объективности и своевременности составления и представления финансовой, бухгалтерской, статистической и иной отчетности;</w:t>
      </w:r>
    </w:p>
    <w:p w14:paraId="3E460FF7" w14:textId="77777777" w:rsidR="00640296" w:rsidRPr="00A10D24" w:rsidRDefault="00640296" w:rsidP="00441380">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10D24">
        <w:rPr>
          <w:rFonts w:ascii="Times New Roman" w:eastAsia="Times New Roman" w:hAnsi="Times New Roman" w:cs="Times New Roman"/>
          <w:sz w:val="24"/>
          <w:szCs w:val="24"/>
          <w:lang w:eastAsia="ru-RU"/>
        </w:rPr>
        <w:t>нформационной безопасности, т.е. защищенности интересов НКЦ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w:t>
      </w:r>
    </w:p>
    <w:p w14:paraId="20DF5285" w14:textId="77777777" w:rsidR="00640296" w:rsidRPr="00A10D24" w:rsidRDefault="00640296" w:rsidP="00441380">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10D24">
        <w:rPr>
          <w:rFonts w:ascii="Times New Roman" w:eastAsia="Times New Roman" w:hAnsi="Times New Roman" w:cs="Times New Roman"/>
          <w:sz w:val="24"/>
          <w:szCs w:val="24"/>
          <w:lang w:eastAsia="ru-RU"/>
        </w:rPr>
        <w:t>облюдения требований законодательства Российской Федерации, Устава НКЦ и внутренних документов НКЦ;</w:t>
      </w:r>
    </w:p>
    <w:p w14:paraId="326D7F59" w14:textId="77777777" w:rsidR="00640296" w:rsidRPr="00A10D24" w:rsidRDefault="00640296" w:rsidP="00441380">
      <w:pPr>
        <w:numPr>
          <w:ilvl w:val="0"/>
          <w:numId w:val="5"/>
        </w:numPr>
        <w:autoSpaceDE w:val="0"/>
        <w:autoSpaceDN w:val="0"/>
        <w:adjustRightInd w:val="0"/>
        <w:spacing w:after="0" w:line="240" w:lineRule="auto"/>
        <w:ind w:left="1066"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10D24">
        <w:rPr>
          <w:rFonts w:ascii="Times New Roman" w:eastAsia="Times New Roman" w:hAnsi="Times New Roman" w:cs="Times New Roman"/>
          <w:sz w:val="24"/>
          <w:szCs w:val="24"/>
          <w:lang w:eastAsia="ru-RU"/>
        </w:rPr>
        <w:t xml:space="preserve">сключения вовлечения НКЦ и участия его работников в осуществлении противоправной деятельности, в том числе легализации (отмывания) доходов, полученных преступным путем, и финансирования терроризма, в проведении сомнительных операций; </w:t>
      </w:r>
    </w:p>
    <w:p w14:paraId="2DBB5AAA" w14:textId="77777777" w:rsidR="00640296" w:rsidRPr="00A10D24" w:rsidRDefault="00640296" w:rsidP="00441380">
      <w:pPr>
        <w:numPr>
          <w:ilvl w:val="0"/>
          <w:numId w:val="5"/>
        </w:numPr>
        <w:autoSpaceDE w:val="0"/>
        <w:autoSpaceDN w:val="0"/>
        <w:adjustRightInd w:val="0"/>
        <w:spacing w:after="120" w:line="240" w:lineRule="auto"/>
        <w:ind w:left="1066"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10D24">
        <w:rPr>
          <w:rFonts w:ascii="Times New Roman" w:eastAsia="Times New Roman" w:hAnsi="Times New Roman" w:cs="Times New Roman"/>
          <w:sz w:val="24"/>
          <w:szCs w:val="24"/>
          <w:lang w:eastAsia="ru-RU"/>
        </w:rPr>
        <w:t>нижения риска возникновения у Банка убытков в результате применения санкций и (или) иных мер воздействия со стороны надзорных органов, в том числе из-за несоблюдения законодательства Российской Федерации, внутренних документов Банка, стандартов саморегулируемых организаций, а также своевременного представления в соответствии с законодательством Российской Федерации сведений в органы государственной власти и Банк России, поддержания эффективности системы внутреннего контроля по противодействию легализации (отмыванию) доходов и финансированию терроризма НКЦ на уровне, достаточном для управления риском легализации (отмывания) доходов, полученных преступным путем, и финансирования терроризма.</w:t>
      </w:r>
    </w:p>
    <w:p w14:paraId="079203BA" w14:textId="77777777" w:rsidR="00640296" w:rsidRPr="00A10D24" w:rsidRDefault="00640296" w:rsidP="00EA2597">
      <w:pPr>
        <w:spacing w:line="240" w:lineRule="auto"/>
        <w:ind w:firstLine="567"/>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Эффективность системы внутреннего контроля, функционирующей в НКЦ, достигается:</w:t>
      </w:r>
      <w:r w:rsidRPr="00A10D24">
        <w:rPr>
          <w:rFonts w:ascii="Times New Roman" w:eastAsia="Calibri" w:hAnsi="Times New Roman" w:cs="Times New Roman"/>
          <w:bCs/>
          <w:color w:val="000000"/>
          <w:sz w:val="24"/>
          <w:szCs w:val="24"/>
        </w:rPr>
        <w:t xml:space="preserve"> </w:t>
      </w:r>
    </w:p>
    <w:p w14:paraId="07A5B37E"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w:t>
      </w:r>
      <w:r w:rsidRPr="00A10D24">
        <w:rPr>
          <w:rFonts w:ascii="Times New Roman" w:eastAsia="Calibri" w:hAnsi="Times New Roman" w:cs="Times New Roman"/>
          <w:bCs/>
          <w:color w:val="000000"/>
          <w:sz w:val="24"/>
          <w:szCs w:val="24"/>
        </w:rPr>
        <w:t>роцедурами контроля, реализуемыми на всех уровнях управления;</w:t>
      </w:r>
    </w:p>
    <w:p w14:paraId="7AE38FBC"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существлением периодических проверок обеспечения соответствия всех областей деятельности установленным политикам и процедурам;</w:t>
      </w:r>
    </w:p>
    <w:p w14:paraId="070E0A86"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беспечением встроенности контрольных процедур в ежедневные операции НКЦ;</w:t>
      </w:r>
    </w:p>
    <w:p w14:paraId="40B66775"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существлением последующего контроля проведенных операций;</w:t>
      </w:r>
    </w:p>
    <w:p w14:paraId="30ABD6DC"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о</w:t>
      </w:r>
      <w:r w:rsidRPr="00A10D24">
        <w:rPr>
          <w:rFonts w:ascii="Times New Roman" w:eastAsia="Calibri" w:hAnsi="Times New Roman" w:cs="Times New Roman"/>
          <w:bCs/>
          <w:color w:val="000000"/>
          <w:sz w:val="24"/>
          <w:szCs w:val="24"/>
        </w:rPr>
        <w:t>беспечением разделения функционала и отсутствием конфликта интересов при выполнении персоналом своих обязанностей;</w:t>
      </w:r>
    </w:p>
    <w:p w14:paraId="4B5E8A37"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беспечением соответствия проводимых операций действующему законодательству Российской Федерации, нормативным актам Банка России;</w:t>
      </w:r>
    </w:p>
    <w:p w14:paraId="04E94716"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беспечением оперативного доведения необходимой информации до соответствующих работников НКЦ;</w:t>
      </w:r>
    </w:p>
    <w:p w14:paraId="0458C813"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беспечением соответствующего уровня безопасности информационных систем;</w:t>
      </w:r>
    </w:p>
    <w:p w14:paraId="5D003367"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w:t>
      </w:r>
      <w:r w:rsidRPr="00A10D24">
        <w:rPr>
          <w:rFonts w:ascii="Times New Roman" w:eastAsia="Calibri" w:hAnsi="Times New Roman" w:cs="Times New Roman"/>
          <w:bCs/>
          <w:color w:val="000000"/>
          <w:sz w:val="24"/>
          <w:szCs w:val="24"/>
        </w:rPr>
        <w:t>роведением ежедневного мониторинга наиболее рискованных операций;</w:t>
      </w:r>
    </w:p>
    <w:p w14:paraId="6BC0E097"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w:t>
      </w:r>
      <w:r w:rsidRPr="00A10D24">
        <w:rPr>
          <w:rFonts w:ascii="Times New Roman" w:eastAsia="Calibri" w:hAnsi="Times New Roman" w:cs="Times New Roman"/>
          <w:bCs/>
          <w:color w:val="000000"/>
          <w:sz w:val="24"/>
          <w:szCs w:val="24"/>
        </w:rPr>
        <w:t>роведением внешнего и внутреннего аудита системы внутреннего контроля;</w:t>
      </w:r>
    </w:p>
    <w:p w14:paraId="6174E974" w14:textId="77777777" w:rsidR="00640296" w:rsidRPr="00A10D24" w:rsidRDefault="00640296" w:rsidP="00441380">
      <w:pPr>
        <w:numPr>
          <w:ilvl w:val="0"/>
          <w:numId w:val="4"/>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существлением на регулярной основе контроля за эффективностью принятых подразделениями и органами управления мер по результатам проверок, обеспечивающих снижение уровня выявленных рисков;</w:t>
      </w:r>
    </w:p>
    <w:p w14:paraId="5D2CF6DB" w14:textId="77777777" w:rsidR="00640296" w:rsidRPr="00A10D24" w:rsidRDefault="00640296" w:rsidP="00441380">
      <w:pPr>
        <w:numPr>
          <w:ilvl w:val="0"/>
          <w:numId w:val="4"/>
        </w:numPr>
        <w:autoSpaceDE w:val="0"/>
        <w:autoSpaceDN w:val="0"/>
        <w:adjustRightInd w:val="0"/>
        <w:spacing w:after="120" w:line="240" w:lineRule="auto"/>
        <w:ind w:left="1066" w:hanging="35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 xml:space="preserve">беспечением своевременного доведения до менеджмента и Наблюдательного совета информации о существенных рисках и недостатках внутреннего контроля.      </w:t>
      </w:r>
    </w:p>
    <w:p w14:paraId="21072918" w14:textId="77777777" w:rsidR="00640296" w:rsidRPr="00E50A6C" w:rsidRDefault="00640296" w:rsidP="00EA2597">
      <w:pPr>
        <w:spacing w:line="240" w:lineRule="auto"/>
        <w:ind w:firstLine="567"/>
        <w:jc w:val="both"/>
        <w:rPr>
          <w:rFonts w:ascii="Times New Roman" w:hAnsi="Times New Roman" w:cs="Times New Roman"/>
          <w:sz w:val="24"/>
          <w:szCs w:val="24"/>
        </w:rPr>
      </w:pPr>
      <w:r>
        <w:rPr>
          <w:rFonts w:ascii="Times New Roman" w:eastAsia="Calibri" w:hAnsi="Times New Roman" w:cs="Times New Roman"/>
          <w:bCs/>
          <w:color w:val="000000"/>
          <w:sz w:val="24"/>
          <w:szCs w:val="24"/>
        </w:rPr>
        <w:t xml:space="preserve">     </w:t>
      </w:r>
      <w:r w:rsidRPr="00E50A6C">
        <w:rPr>
          <w:rFonts w:ascii="Times New Roman" w:hAnsi="Times New Roman" w:cs="Times New Roman"/>
          <w:sz w:val="24"/>
          <w:szCs w:val="24"/>
        </w:rPr>
        <w:t>По состоянию на 31.12.2016</w:t>
      </w:r>
      <w:r w:rsidR="00D723F0" w:rsidRPr="00E50A6C">
        <w:rPr>
          <w:rFonts w:ascii="Times New Roman" w:hAnsi="Times New Roman" w:cs="Times New Roman"/>
          <w:sz w:val="24"/>
          <w:szCs w:val="24"/>
        </w:rPr>
        <w:t>,</w:t>
      </w:r>
      <w:r w:rsidRPr="00E50A6C">
        <w:rPr>
          <w:rFonts w:ascii="Times New Roman" w:hAnsi="Times New Roman" w:cs="Times New Roman"/>
          <w:sz w:val="24"/>
          <w:szCs w:val="24"/>
        </w:rPr>
        <w:t xml:space="preserve"> в систему органов внутреннего контроля НКЦ, осуществляющих внутренний контроль в соответствии с полномочиями, определенными Уставом и внутренними документами НКЦ, входили:</w:t>
      </w:r>
    </w:p>
    <w:p w14:paraId="2AC04906" w14:textId="77777777" w:rsidR="00640296" w:rsidRPr="00A10D24" w:rsidRDefault="00640296" w:rsidP="00441380">
      <w:pPr>
        <w:numPr>
          <w:ilvl w:val="0"/>
          <w:numId w:val="3"/>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w:t>
      </w:r>
      <w:r w:rsidRPr="00A10D24">
        <w:rPr>
          <w:rFonts w:ascii="Times New Roman" w:eastAsia="Calibri" w:hAnsi="Times New Roman" w:cs="Times New Roman"/>
          <w:bCs/>
          <w:color w:val="000000"/>
          <w:sz w:val="24"/>
          <w:szCs w:val="24"/>
        </w:rPr>
        <w:t>рганы управления НКЦ (Общее собрание акционеров, Наблюдательный совет, Правление, Председатель Правления);</w:t>
      </w:r>
    </w:p>
    <w:p w14:paraId="2DBE33B6" w14:textId="77777777" w:rsidR="00640296" w:rsidRPr="00A10D24" w:rsidRDefault="00640296" w:rsidP="00441380">
      <w:pPr>
        <w:numPr>
          <w:ilvl w:val="0"/>
          <w:numId w:val="3"/>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Ревизионная комиссия НКЦ;</w:t>
      </w:r>
    </w:p>
    <w:p w14:paraId="74D2A05C" w14:textId="77777777" w:rsidR="00640296" w:rsidRPr="00A10D24" w:rsidRDefault="00640296" w:rsidP="00441380">
      <w:pPr>
        <w:numPr>
          <w:ilvl w:val="0"/>
          <w:numId w:val="3"/>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Главный бухгалтер НКЦ (его заместители);</w:t>
      </w:r>
    </w:p>
    <w:p w14:paraId="4F5EE20E" w14:textId="77777777" w:rsidR="00640296" w:rsidRPr="00A10D24" w:rsidRDefault="00640296" w:rsidP="00441380">
      <w:pPr>
        <w:numPr>
          <w:ilvl w:val="0"/>
          <w:numId w:val="3"/>
        </w:numPr>
        <w:autoSpaceDE w:val="0"/>
        <w:autoSpaceDN w:val="0"/>
        <w:adjustRightInd w:val="0"/>
        <w:spacing w:after="0" w:line="240" w:lineRule="auto"/>
        <w:ind w:left="1066" w:hanging="357"/>
        <w:contextualSpacing/>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Служба внутреннего аудита. СВА действует под непосредственным контролем Наблюдательного совета НКЦ. Основной задачей </w:t>
      </w:r>
      <w:r>
        <w:rPr>
          <w:rFonts w:ascii="Times New Roman" w:eastAsia="Calibri" w:hAnsi="Times New Roman" w:cs="Times New Roman"/>
          <w:bCs/>
          <w:color w:val="000000"/>
          <w:sz w:val="24"/>
          <w:szCs w:val="24"/>
        </w:rPr>
        <w:t xml:space="preserve">этой </w:t>
      </w:r>
      <w:r w:rsidRPr="00A10D24">
        <w:rPr>
          <w:rFonts w:ascii="Times New Roman" w:eastAsia="Calibri" w:hAnsi="Times New Roman" w:cs="Times New Roman"/>
          <w:bCs/>
          <w:color w:val="000000"/>
          <w:sz w:val="24"/>
          <w:szCs w:val="24"/>
        </w:rPr>
        <w:t xml:space="preserve">Службы является независимая объективная оценка эффективности внутреннего контроля, системы риск-менеджмента и корпоративного управления. </w:t>
      </w:r>
    </w:p>
    <w:p w14:paraId="06131E03" w14:textId="77777777" w:rsidR="00640296" w:rsidRPr="00A10D24" w:rsidRDefault="00640296" w:rsidP="00441380">
      <w:pPr>
        <w:numPr>
          <w:ilvl w:val="0"/>
          <w:numId w:val="3"/>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Служба внутреннего контроля. </w:t>
      </w:r>
      <w:r w:rsidRPr="00A10D24">
        <w:rPr>
          <w:rFonts w:ascii="Times New Roman" w:eastAsia="Calibri" w:hAnsi="Times New Roman" w:cs="Times New Roman"/>
          <w:bCs/>
          <w:sz w:val="24"/>
          <w:szCs w:val="24"/>
        </w:rPr>
        <w:t xml:space="preserve">СВК действует под непосредственным контролем Председателя Правления НКЦ и подотчетна ему. </w:t>
      </w:r>
      <w:r w:rsidRPr="00A10D24">
        <w:rPr>
          <w:rFonts w:ascii="Times New Roman" w:eastAsia="Calibri" w:hAnsi="Times New Roman" w:cs="Times New Roman"/>
          <w:sz w:val="24"/>
          <w:szCs w:val="24"/>
        </w:rPr>
        <w:t xml:space="preserve">В части вопросов, связанных с выполнением требований законодательства о противодействии неправомерному использованию инсайдерской информации и манипулированию рынком, Руководитель СВК подотчетен </w:t>
      </w:r>
      <w:r w:rsidRPr="00A10D24">
        <w:rPr>
          <w:rFonts w:ascii="Times New Roman" w:eastAsia="Calibri" w:hAnsi="Times New Roman" w:cs="Times New Roman"/>
          <w:bCs/>
          <w:sz w:val="24"/>
          <w:szCs w:val="24"/>
        </w:rPr>
        <w:t>Наблюдательному совету НКЦ. Основными задачами СВК являются минимизация комплаенс (регуляторного) риска, контроль соблюдения Банком законодательства о клиринге, клиринговой деятельности и центральном контрагенте и законодательства о противодействии неправомерному использованию инсайдерской информации и манипулированию рынком</w:t>
      </w:r>
      <w:r w:rsidRPr="00A10D24">
        <w:rPr>
          <w:rFonts w:ascii="Times New Roman" w:eastAsia="Calibri" w:hAnsi="Times New Roman" w:cs="Times New Roman"/>
          <w:sz w:val="24"/>
          <w:szCs w:val="24"/>
        </w:rPr>
        <w:t>.</w:t>
      </w:r>
    </w:p>
    <w:p w14:paraId="26731449" w14:textId="77777777" w:rsidR="00640296" w:rsidRPr="00A10D24" w:rsidRDefault="00640296" w:rsidP="00441380">
      <w:pPr>
        <w:numPr>
          <w:ilvl w:val="0"/>
          <w:numId w:val="2"/>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Служба финансового мониторинга (СФМ) - структурное подразделение НКЦ по противодействию легализации (отмыванию) доходов, полученных преступным путем, и финансированию терроризма, созданное и осуществляющее свою деятельность в соответствии с пунктом 2 статьи 7 Федерального закона от 07.08. 2001 N 115-ФЗ "О противодействии легализации (отмыванию) доходов, полученных преступным путем, и финансированию терроризма". </w:t>
      </w:r>
    </w:p>
    <w:p w14:paraId="27DDFB07" w14:textId="77777777" w:rsidR="00640296" w:rsidRPr="00A10D24" w:rsidRDefault="00640296" w:rsidP="00640296">
      <w:pPr>
        <w:autoSpaceDE w:val="0"/>
        <w:autoSpaceDN w:val="0"/>
        <w:adjustRightInd w:val="0"/>
        <w:spacing w:after="0" w:line="240" w:lineRule="auto"/>
        <w:ind w:left="1066"/>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Приказом по Банку назначен Ответственный сотрудник (руководитель Службы финансового мониторинга) -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НКЦ, а функции контроля за организацией в Банке работы по ПОД/ФТ возложены на заместителя Председателя Правления. СФМ подотчетна Наблюдательному Совету Банка – отчет за 2016 год был принят к сведению;</w:t>
      </w:r>
    </w:p>
    <w:p w14:paraId="09F41277" w14:textId="77777777" w:rsidR="00640296" w:rsidRPr="00A10D24" w:rsidRDefault="00640296" w:rsidP="00441380">
      <w:pPr>
        <w:numPr>
          <w:ilvl w:val="0"/>
          <w:numId w:val="1"/>
        </w:numPr>
        <w:autoSpaceDE w:val="0"/>
        <w:autoSpaceDN w:val="0"/>
        <w:adjustRightInd w:val="0"/>
        <w:spacing w:after="0" w:line="240" w:lineRule="auto"/>
        <w:ind w:left="1066"/>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Департамент анализа и контроля рисков (ДАКР)– структурное подразделение НКЦ, деятельность которого направлена на формирование единой и </w:t>
      </w:r>
      <w:r w:rsidRPr="00A10D24">
        <w:rPr>
          <w:rFonts w:ascii="Times New Roman" w:eastAsia="Calibri" w:hAnsi="Times New Roman" w:cs="Times New Roman"/>
          <w:bCs/>
          <w:color w:val="000000"/>
          <w:sz w:val="24"/>
          <w:szCs w:val="24"/>
        </w:rPr>
        <w:lastRenderedPageBreak/>
        <w:t>эффективной системы управления экономическими рисками НКЦ, как кредитной организации, клирингового центра и ОТП, осуществляющего деятельность на рынках Группы «Московская Биржа».  ДАКР</w:t>
      </w:r>
      <w:r>
        <w:rPr>
          <w:rFonts w:ascii="Times New Roman" w:eastAsia="Calibri" w:hAnsi="Times New Roman" w:cs="Times New Roman"/>
          <w:bCs/>
          <w:color w:val="000000"/>
          <w:sz w:val="24"/>
          <w:szCs w:val="24"/>
        </w:rPr>
        <w:t xml:space="preserve"> также</w:t>
      </w:r>
      <w:r w:rsidRPr="00A10D24">
        <w:rPr>
          <w:rFonts w:ascii="Times New Roman" w:eastAsia="Calibri" w:hAnsi="Times New Roman" w:cs="Times New Roman"/>
          <w:bCs/>
          <w:color w:val="000000"/>
          <w:sz w:val="24"/>
          <w:szCs w:val="24"/>
        </w:rPr>
        <w:t xml:space="preserve"> координирует и контролирует работу всех подразделений (работников), осуществляющих функции управления нефинансовыми рисками;</w:t>
      </w:r>
    </w:p>
    <w:p w14:paraId="73750750" w14:textId="77777777" w:rsidR="00640296" w:rsidRPr="00A10D24" w:rsidRDefault="00640296" w:rsidP="00441380">
      <w:pPr>
        <w:numPr>
          <w:ilvl w:val="0"/>
          <w:numId w:val="1"/>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 xml:space="preserve">Ответственный сотрудник по правовым вопросам – лицо, осуществляющее управление правовым риском и организацию работы по минимизации правового риска. Ответственный сотрудник по правовым вопросам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 </w:t>
      </w:r>
    </w:p>
    <w:p w14:paraId="6BA68F15" w14:textId="77777777" w:rsidR="00640296" w:rsidRPr="00A10D24" w:rsidRDefault="00640296" w:rsidP="00441380">
      <w:pPr>
        <w:numPr>
          <w:ilvl w:val="0"/>
          <w:numId w:val="1"/>
        </w:num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10D24">
        <w:rPr>
          <w:rFonts w:ascii="Times New Roman" w:eastAsia="Calibri" w:hAnsi="Times New Roman" w:cs="Times New Roman"/>
          <w:bCs/>
          <w:color w:val="000000"/>
          <w:sz w:val="24"/>
          <w:szCs w:val="24"/>
        </w:rPr>
        <w:t>Ответственный сотрудник по управлению риском потери деловой репутации - лицо, осуществляющее управление риском потери деловой репутации и организацию работы по его минимизации. Ответственный сотрудник по управлению риском потери деловой репутации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w:t>
      </w:r>
    </w:p>
    <w:p w14:paraId="6FCBFEC1" w14:textId="77777777" w:rsidR="00640296" w:rsidRPr="00A10D24" w:rsidRDefault="00640296" w:rsidP="00441380">
      <w:pPr>
        <w:numPr>
          <w:ilvl w:val="0"/>
          <w:numId w:val="1"/>
        </w:num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w:t>
      </w:r>
      <w:r w:rsidRPr="00A10D24">
        <w:rPr>
          <w:rFonts w:ascii="Times New Roman" w:eastAsia="Calibri" w:hAnsi="Times New Roman" w:cs="Times New Roman"/>
          <w:bCs/>
          <w:color w:val="000000"/>
          <w:sz w:val="24"/>
          <w:szCs w:val="24"/>
        </w:rPr>
        <w:t xml:space="preserve">олжностное лицо, ответственное за организацию управления операционным и стратегическим риском. Должностное лицо, ответственное за организацию управления операционным и стратегическим риском,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   </w:t>
      </w:r>
    </w:p>
    <w:p w14:paraId="7FF92221" w14:textId="77777777" w:rsidR="00640296" w:rsidRPr="00A10D24" w:rsidRDefault="00640296" w:rsidP="00441380">
      <w:pPr>
        <w:numPr>
          <w:ilvl w:val="0"/>
          <w:numId w:val="1"/>
        </w:num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w:t>
      </w:r>
      <w:r w:rsidRPr="00A10D24">
        <w:rPr>
          <w:rFonts w:ascii="Times New Roman" w:eastAsia="Calibri" w:hAnsi="Times New Roman" w:cs="Times New Roman"/>
          <w:bCs/>
          <w:color w:val="000000"/>
          <w:sz w:val="24"/>
          <w:szCs w:val="24"/>
        </w:rPr>
        <w:t>ные структурные подразделения и работники НКЦ, осуществляющие внутренний контроль в соответствии с полномочиями, определенными внутренними документами НКЦ. Например, Служба информационной безопасности (СИБ). СИБ действует под непосредственным контролем Председателя Правления НКЦ и подотчетна ему. Основными задачами Службы информационной безопасности является разработка комплекса мер по защите конфиденциальной информации (в том числе банковской тайны, клиринговой информации, персональных данных), осуществление периодического аудита объектов информационной инфраструктуры Банка, а также существующих процессов на предмет соответствия требованиям по защите информации.</w:t>
      </w:r>
    </w:p>
    <w:p w14:paraId="139F3B1C" w14:textId="77777777" w:rsidR="00640296" w:rsidRPr="00A10D24" w:rsidRDefault="00640296" w:rsidP="00EA2597">
      <w:pPr>
        <w:spacing w:line="240" w:lineRule="auto"/>
        <w:ind w:firstLine="567"/>
        <w:jc w:val="both"/>
        <w:rPr>
          <w:rFonts w:ascii="Times New Roman" w:eastAsia="Calibri" w:hAnsi="Times New Roman" w:cs="Times New Roman"/>
          <w:b/>
          <w:bCs/>
          <w:i/>
          <w:sz w:val="24"/>
          <w:szCs w:val="24"/>
        </w:rPr>
      </w:pPr>
      <w:r>
        <w:rPr>
          <w:rFonts w:ascii="Times New Roman" w:eastAsia="Calibri" w:hAnsi="Times New Roman" w:cs="Times New Roman"/>
          <w:bCs/>
          <w:color w:val="000000"/>
          <w:sz w:val="24"/>
          <w:szCs w:val="24"/>
        </w:rPr>
        <w:t xml:space="preserve">     </w:t>
      </w:r>
      <w:r w:rsidRPr="00EA2597">
        <w:rPr>
          <w:rFonts w:ascii="Times New Roman" w:hAnsi="Times New Roman" w:cs="Times New Roman"/>
          <w:bCs/>
          <w:sz w:val="24"/>
          <w:szCs w:val="24"/>
        </w:rPr>
        <w:t>Взаимодействие подразделений и работников НКЦ, входящих в систему внутреннего контроля, проиллюстрировано на схеме.</w:t>
      </w:r>
    </w:p>
    <w:p w14:paraId="5EAB6308" w14:textId="77777777" w:rsidR="00640296" w:rsidRDefault="00BF46D9" w:rsidP="00A10D24">
      <w:pPr>
        <w:autoSpaceDE w:val="0"/>
        <w:autoSpaceDN w:val="0"/>
        <w:adjustRightInd w:val="0"/>
        <w:spacing w:after="12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p w14:paraId="70031D25" w14:textId="77777777" w:rsidR="00640296" w:rsidRDefault="00640296" w:rsidP="00A10D24">
      <w:pPr>
        <w:autoSpaceDE w:val="0"/>
        <w:autoSpaceDN w:val="0"/>
        <w:adjustRightInd w:val="0"/>
        <w:spacing w:after="120" w:line="240" w:lineRule="auto"/>
        <w:jc w:val="both"/>
        <w:rPr>
          <w:rFonts w:ascii="Times New Roman" w:eastAsia="Calibri" w:hAnsi="Times New Roman" w:cs="Times New Roman"/>
          <w:bCs/>
          <w:color w:val="000000"/>
          <w:sz w:val="24"/>
          <w:szCs w:val="24"/>
        </w:rPr>
      </w:pPr>
    </w:p>
    <w:p w14:paraId="4281FC38" w14:textId="77777777" w:rsidR="00640296" w:rsidRDefault="00640296" w:rsidP="00A10D24">
      <w:pPr>
        <w:autoSpaceDE w:val="0"/>
        <w:autoSpaceDN w:val="0"/>
        <w:adjustRightInd w:val="0"/>
        <w:spacing w:after="120" w:line="240" w:lineRule="auto"/>
        <w:jc w:val="both"/>
        <w:rPr>
          <w:rFonts w:ascii="Times New Roman" w:eastAsia="Calibri" w:hAnsi="Times New Roman" w:cs="Times New Roman"/>
          <w:bCs/>
          <w:color w:val="000000"/>
          <w:sz w:val="24"/>
          <w:szCs w:val="24"/>
        </w:rPr>
      </w:pPr>
    </w:p>
    <w:p w14:paraId="0FB5B9DA" w14:textId="77777777" w:rsidR="00A10D24" w:rsidRPr="00A10D24" w:rsidRDefault="00A10D24"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65111332"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5B1A5628"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1C681313"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5FB091DF"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13D90D47"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08DF1A8A"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7209C705"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7C24EF11"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2FF460E1" w14:textId="77777777" w:rsidR="00A45B51" w:rsidRDefault="00A45B51" w:rsidP="00A10D24">
      <w:pPr>
        <w:autoSpaceDE w:val="0"/>
        <w:autoSpaceDN w:val="0"/>
        <w:adjustRightInd w:val="0"/>
        <w:spacing w:after="0" w:line="240" w:lineRule="auto"/>
        <w:ind w:firstLine="709"/>
        <w:jc w:val="center"/>
        <w:rPr>
          <w:rFonts w:ascii="Times New Roman" w:eastAsia="Calibri" w:hAnsi="Times New Roman" w:cs="Times New Roman"/>
          <w:b/>
          <w:bCs/>
          <w:i/>
          <w:sz w:val="24"/>
          <w:szCs w:val="24"/>
        </w:rPr>
      </w:pPr>
    </w:p>
    <w:p w14:paraId="49A79AF0" w14:textId="77777777" w:rsidR="00A10D24" w:rsidRPr="00A10D24" w:rsidRDefault="00A10D24" w:rsidP="00A10D24">
      <w:pPr>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A10D24">
        <w:rPr>
          <w:rFonts w:ascii="Times New Roman" w:eastAsia="Calibri" w:hAnsi="Times New Roman" w:cs="Times New Roman"/>
          <w:b/>
          <w:bCs/>
          <w:i/>
          <w:sz w:val="24"/>
          <w:szCs w:val="24"/>
        </w:rPr>
        <w:lastRenderedPageBreak/>
        <w:t>Взаимодействие подразделений и сотрудников НКЦ, входящих в систему внутреннего контроля</w:t>
      </w:r>
    </w:p>
    <w:p w14:paraId="3DEFD29D"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p>
    <w:p w14:paraId="346F9A51"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3C56B3DA" wp14:editId="653E7C13">
                <wp:simplePos x="0" y="0"/>
                <wp:positionH relativeFrom="column">
                  <wp:posOffset>1091565</wp:posOffset>
                </wp:positionH>
                <wp:positionV relativeFrom="paragraph">
                  <wp:posOffset>155575</wp:posOffset>
                </wp:positionV>
                <wp:extent cx="2905125" cy="329565"/>
                <wp:effectExtent l="0" t="0" r="28575" b="1333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29565"/>
                        </a:xfrm>
                        <a:prstGeom prst="roundRect">
                          <a:avLst/>
                        </a:prstGeom>
                        <a:solidFill>
                          <a:sysClr val="window" lastClr="FFFFFF"/>
                        </a:solidFill>
                        <a:ln w="25400" cap="flat" cmpd="sng" algn="ctr">
                          <a:solidFill>
                            <a:srgbClr val="F79646"/>
                          </a:solidFill>
                          <a:prstDash val="solid"/>
                        </a:ln>
                        <a:effectLst/>
                      </wps:spPr>
                      <wps:txbx>
                        <w:txbxContent>
                          <w:p w14:paraId="638B4D96" w14:textId="77777777" w:rsidR="0068193E" w:rsidRDefault="0068193E" w:rsidP="00A10D24">
                            <w:pPr>
                              <w:jc w:val="center"/>
                            </w:pPr>
                            <w:r>
                              <w:t xml:space="preserve"> Общее собрание акционеров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C56B3DA" id="Скругленный прямоугольник 31" o:spid="_x0000_s1036" style="position:absolute;margin-left:85.95pt;margin-top:12.25pt;width:228.75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B+vQIAAEQFAAAOAAAAZHJzL2Uyb0RvYy54bWysVE1uEzEU3iNxB8t7OkmapCTqpIpaBSFF&#10;paJFXTseTzLC42dsJ5OwQmIJEmfgDAgJWlquMLkRz55JmpauELMYvf/f7/nwaJlLshDGZqBi2txr&#10;UCIUhyRT05i+uRg9e06JdUwlTIISMV0JS48GT58cFrovWjADmQhDMIiy/ULHdOac7keR5TORM7sH&#10;WihUpmBy5pA10ygxrMDouYxajUY3KsAk2gAX1qL0pFLSQYifpoK7V2lqhSMyplibC38T/hP/jwaH&#10;rD81TM8yXpfB/qGKnGUKk25DnTDHyNxkf4XKM27AQur2OOQRpGnGRegBu2k2HnRzPmNahF5wOFZv&#10;x2T/X1h+ujgzJEtiut+kRLEcd1R+La/WH9Yfy2/ldfm9vClv1p/Kn6T8jcIv5a/yNqhuy+v1Z1T+&#10;KK8I+uIgC237GO9cnxk/CqvHwN9aVET3NJ6xtc0yNbm3xUGQZdjKarsVsXSEo7DVa3SarQ4lHHX7&#10;rV6n2/HZItbfeGtj3QsBOfFETA3MVfIaVx82whZj6yr7jV2oDmSWjDIpA7Oyx9KQBUOUILgSKCiR&#10;zDoUxnQUvjql3XWTihRYX6fdQGhxhvBNJXNI5hoHatWUEianeBfcmVDLPW9rppNt1tFBr9vuPpbE&#10;F33C7KyqLkSozaTytYuA8rrHu9l6yi0ny7DbnvfwkgkkK9y3geoQrOajDOOPsdczZhD52Ahes3uF&#10;v1QCdgc1RckMzPvH5N4eAYlaSgq8JOz83ZwZgSN8qRCqvWa77U8vMO3OQQsZs6uZ7GrUPD8GXAOi&#10;EasLpLd3ckOmBvJLPPqhz4oqpjjmrmZcM8euunB8NrgYDoMZnptmbqzONffB/eT8ZC+Wl8zoGjgO&#10;IXcKm6tj/QfQqWy9p4Lh3EGaBVzdzbVGOp5qgGf9rPi3YJcPVneP3+APAAAA//8DAFBLAwQUAAYA&#10;CAAAACEAgTBDvuAAAAAJAQAADwAAAGRycy9kb3ducmV2LnhtbEyPwU7DMBBE70j8g7VI3KjTKKRt&#10;iFOhih6QkFBSDnBz4iWxiNeR7Tbh7zEnOI72aeZtuV/MyC7ovLYkYL1KgCF1VmnqBbydjndbYD5I&#10;UnK0hAK+0cO+ur4qZaHsTDVemtCzWEK+kAKGEKaCc98NaKRf2Qkp3j6tMzLE6HqunJxjuRl5miQ5&#10;N1JTXBjkhIcBu6/mbAQ8n16O8+Ke8lfdbkddvzcftT4IcXuzPD4AC7iEPxh+9aM6VNGptWdSno0x&#10;b9a7iApIs3tgEcjTXQasFbDJM+BVyf9/UP0AAAD//wMAUEsBAi0AFAAGAAgAAAAhALaDOJL+AAAA&#10;4QEAABMAAAAAAAAAAAAAAAAAAAAAAFtDb250ZW50X1R5cGVzXS54bWxQSwECLQAUAAYACAAAACEA&#10;OP0h/9YAAACUAQAACwAAAAAAAAAAAAAAAAAvAQAAX3JlbHMvLnJlbHNQSwECLQAUAAYACAAAACEA&#10;LIHgfr0CAABEBQAADgAAAAAAAAAAAAAAAAAuAgAAZHJzL2Uyb0RvYy54bWxQSwECLQAUAAYACAAA&#10;ACEAgTBDvuAAAAAJAQAADwAAAAAAAAAAAAAAAAAXBQAAZHJzL2Rvd25yZXYueG1sUEsFBgAAAAAE&#10;AAQA8wAAACQGAAAAAA==&#10;" fillcolor="window" strokecolor="#f79646" strokeweight="2pt">
                <v:path arrowok="t"/>
                <v:textbox>
                  <w:txbxContent>
                    <w:p w14:paraId="638B4D96" w14:textId="77777777" w:rsidR="0068193E" w:rsidRDefault="0068193E" w:rsidP="00A10D24">
                      <w:pPr>
                        <w:jc w:val="center"/>
                      </w:pPr>
                      <w:r>
                        <w:t xml:space="preserve"> Общее собрание акционеров</w:t>
                      </w:r>
                    </w:p>
                  </w:txbxContent>
                </v:textbox>
              </v:roundrect>
            </w:pict>
          </mc:Fallback>
        </mc:AlternateContent>
      </w:r>
    </w:p>
    <w:p w14:paraId="387FE1A1"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p>
    <w:p w14:paraId="1CFFACEA"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292AC27D" wp14:editId="68740A3A">
                <wp:simplePos x="0" y="0"/>
                <wp:positionH relativeFrom="column">
                  <wp:posOffset>4579620</wp:posOffset>
                </wp:positionH>
                <wp:positionV relativeFrom="paragraph">
                  <wp:posOffset>12700</wp:posOffset>
                </wp:positionV>
                <wp:extent cx="1485900" cy="6858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14:paraId="2E314768" w14:textId="77777777" w:rsidR="0068193E" w:rsidRDefault="0068193E" w:rsidP="00A10D24">
                            <w:pPr>
                              <w:spacing w:after="0"/>
                              <w:jc w:val="center"/>
                            </w:pPr>
                            <w:r>
                              <w:t>Служба внутреннего аудита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2AC27D" id="Прямоугольник 33" o:spid="_x0000_s1037" style="position:absolute;margin-left:360.6pt;margin-top:1pt;width:117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EqAIAACkFAAAOAAAAZHJzL2Uyb0RvYy54bWysVEtu2zAQ3RfoHQjuG9mO7ThC5MBI4KKA&#10;kRhIiqxpirKE8leStuSuCnRboEfoIbop+skZ5Bt1SMmOk2ZVVAthhjOcz5s3PDuvBEdrZmyhZIK7&#10;Rx2MmKQqLeQywW9vp69GGFlHZEq4kizBG2bx+fjli7NSx6yncsVTZhAEkTYudYJz53QcRZbmTBB7&#10;pDSTYMyUEcSBapZRakgJ0QWPep3OMCqVSbVRlFkLp5eNEY9D/Cxj1F1nmWUO8QRDbS78Tfgv/D8a&#10;n5F4aYjOC9qWQf6hCkEKCUn3oS6JI2hlir9CiYIaZVXmjqgSkcqygrLQA3TT7Tzp5iYnmoVeAByr&#10;9zDZ/xeWXq3nBhVpgo+PMZJEwIzqr9uP2y/1r/p++6n+Vt/XP7ef69/19/oHAidArNQ2hos3em58&#10;z1bPFH1nwRA9snjFtj5VZoT3hY5RFeDf7OFnlUMUDrv90eC0A1OiYBuOBiOQfVAS725rY91rpgTy&#10;QoINjDegTtYz6xrXnUsoTPEinRacB2VjL7hBawJMAAKlqsSIE+vgMMHT8LXZ7OE1LlGZ4N6gHwoj&#10;QNGMEwc1Cg2gWbnEiPAlcJ86E2p5dNua5WKfdXpyOuwPn0vii74kNm+qCxFaNy597Swwue3xAVYv&#10;uWpRhfl1A1j+aKHSDQzVqIbtVtNpAQlm0OycGKA3QAwr667hl3EF7alWwihX5sNz594fWAdWjEpY&#10;F2j9/YoYBhi+kcDH026/7/crKP3BSQ8Uc2hZHFrkSlwomEMXHgdNg+j9Hd+JmVHiDjZ74rOCiUgK&#10;uRuQW+XCNWsMbwNlk0lwg53SxM3kjaY+uIfOQ3tb3RGjW9I4oNuV2q0WiZ9wp/H1N6WarJzKikCs&#10;B1xblsM+Bmq2b4df+EM9eD28cOM/AAAA//8DAFBLAwQUAAYACAAAACEAum4s7OAAAAAJAQAADwAA&#10;AGRycy9kb3ducmV2LnhtbEyPzU7DMBCE70i8g7VI3KiTSOEnxKlaIg4cqKCFSr258ZJEtddR7Lbh&#10;7VlOcBzNaOabcj45K044ht6TgnSWgEBqvOmpVfCxeb65BxGiJqOtJ1TwjQHm1eVFqQvjz/SOp3Vs&#10;BZdQKLSCLsahkDI0HTodZn5AYu/Lj05HlmMrzajPXO6szJLkVjrdEy90esCnDpvD+ugU7Jar1ety&#10;+7mobf3WbGrzYvtDrtT11bR4BBFxin9h+MVndKiYae+PZIKwCu6yNOOogowvsf+Q56z3HEyTBGRV&#10;yv8Pqh8AAAD//wMAUEsBAi0AFAAGAAgAAAAhALaDOJL+AAAA4QEAABMAAAAAAAAAAAAAAAAAAAAA&#10;AFtDb250ZW50X1R5cGVzXS54bWxQSwECLQAUAAYACAAAACEAOP0h/9YAAACUAQAACwAAAAAAAAAA&#10;AAAAAAAvAQAAX3JlbHMvLnJlbHNQSwECLQAUAAYACAAAACEAP8orhKgCAAApBQAADgAAAAAAAAAA&#10;AAAAAAAuAgAAZHJzL2Uyb0RvYy54bWxQSwECLQAUAAYACAAAACEAum4s7OAAAAAJAQAADwAAAAAA&#10;AAAAAAAAAAACBQAAZHJzL2Rvd25yZXYueG1sUEsFBgAAAAAEAAQA8wAAAA8GAAAAAA==&#10;" fillcolor="window" strokecolor="#f79646" strokeweight="2pt">
                <v:path arrowok="t"/>
                <v:textbox>
                  <w:txbxContent>
                    <w:p w14:paraId="2E314768" w14:textId="77777777" w:rsidR="0068193E" w:rsidRDefault="0068193E" w:rsidP="00A10D24">
                      <w:pPr>
                        <w:spacing w:after="0"/>
                        <w:jc w:val="center"/>
                      </w:pPr>
                      <w:r>
                        <w:t>Служба внутреннего аудита</w:t>
                      </w:r>
                    </w:p>
                  </w:txbxContent>
                </v:textbox>
              </v:rect>
            </w:pict>
          </mc:Fallback>
        </mc:AlternateContent>
      </w:r>
      <w:r w:rsidRPr="00A10D24">
        <w:rPr>
          <w:rFonts w:ascii="Calibri" w:eastAsia="Calibri" w:hAnsi="Calibri" w:cs="Times New Roman"/>
          <w:noProof/>
          <w:lang w:eastAsia="ru-RU"/>
        </w:rPr>
        <mc:AlternateContent>
          <mc:Choice Requires="wps">
            <w:drawing>
              <wp:anchor distT="0" distB="0" distL="114299" distR="114299" simplePos="0" relativeHeight="251699200" behindDoc="0" locked="0" layoutInCell="1" allowOverlap="1" wp14:anchorId="46B94496" wp14:editId="4C890F73">
                <wp:simplePos x="0" y="0"/>
                <wp:positionH relativeFrom="column">
                  <wp:posOffset>2592070</wp:posOffset>
                </wp:positionH>
                <wp:positionV relativeFrom="paragraph">
                  <wp:posOffset>159385</wp:posOffset>
                </wp:positionV>
                <wp:extent cx="0" cy="314325"/>
                <wp:effectExtent l="95250" t="38100" r="5715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2B3F2542" id="_x0000_t32" coordsize="21600,21600" o:spt="32" o:oned="t" path="m,l21600,21600e" filled="f">
                <v:path arrowok="t" fillok="f" o:connecttype="none"/>
                <o:lock v:ext="edit" shapetype="t"/>
              </v:shapetype>
              <v:shape id="Прямая со стрелкой 34" o:spid="_x0000_s1026" type="#_x0000_t32" style="position:absolute;margin-left:204.1pt;margin-top:12.55pt;width:0;height:24.75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aUJAIAAPQDAAAOAAAAZHJzL2Uyb0RvYy54bWysU82O0zAQviPxDpbvNOm2RbtR05VoKZcF&#10;Ki1wnzpOYuHYlm2a9rbwAvsIvAIXDvxonyF5I8ZJWnbhhrhY4xnPN/PNfJ5f7itJdtw6oVVKx6OY&#10;Eq6YzoQqUvr2zfrJOSXOg8pAasVTeuCOXi4eP5rXJuFnutQy45YgiHJJbVJaem+SKHKs5BW4kTZc&#10;YTDXtgKPV1tEmYUa0SsZncXx06jWNjNWM+4celd9kC46/DznzL/Oc8c9kSnF3nx32u7chjNazCEp&#10;LJhSsKEN+IcuKhAKi56gVuCBfLDiL6hKMKudzv2I6SrSeS4Y7zggm3H8B5vrEgzvuOBwnDmNyf0/&#10;WPZqt7FEZCmdTClRUOGOms/tTXvb/Gy+tLek/djc4dF+am+ar82P5ntz13wj+BgnVxuXIMBSbWzg&#10;zvbq2lxp9t5hLHoQDBdn+mf73FYkl8K8Q8F0Q8MxkH23k8NpJ3zvCeudDL2T8XRyNgtFI0gCQiho&#10;rPMvuK5IMFLqvAVRlH6plcLFa9ujw+7K+T7xmBCSlV4LKdEPiVSkTunFDAsQBqjCXIJHszI4F6cK&#10;SkAWKG/mbdev01JkITskO1tsl9KSHaDEpuvz8bNV/6iEjPfei1kcD1Jz4F/qrHeP46MfOQ0wHb8H&#10;+KHnFbiyz+lCvWo9CPlcZcQfDC4NrNX1MB+pQmO8k//A/fcCgrXV2WFjj1tCaXVlh28QtHv/jvb9&#10;z7r4BQAA//8DAFBLAwQUAAYACAAAACEAb2RvJ98AAAAJAQAADwAAAGRycy9kb3ducmV2LnhtbEyP&#10;wU7DMAyG70i8Q2QkbixZWcdU6k6AxGGHHSiVJm5ZY9pqjVM12VZ4eoJ2gKPtT7+/P19PthcnGn3n&#10;GGE+UyCIa2c6bhCq99e7FQgfNBvdOyaEL/KwLq6vcp0Zd+Y3OpWhETGEfaYR2hCGTEpft2S1n7mB&#10;ON4+3Wh1iOPYSDPqcwy3vUyUWkqrO44fWj3QS0v1oTxaBLfZHdzHc6W+0yq93yXTUG43KeLtzfT0&#10;CCLQFP5g+NWP6lBEp707svGiR1ioVRJRhCSdg4jAZbFHeFgsQRa5/N+g+AEAAP//AwBQSwECLQAU&#10;AAYACAAAACEAtoM4kv4AAADhAQAAEwAAAAAAAAAAAAAAAAAAAAAAW0NvbnRlbnRfVHlwZXNdLnht&#10;bFBLAQItABQABgAIAAAAIQA4/SH/1gAAAJQBAAALAAAAAAAAAAAAAAAAAC8BAABfcmVscy8ucmVs&#10;c1BLAQItABQABgAIAAAAIQBA7iaUJAIAAPQDAAAOAAAAAAAAAAAAAAAAAC4CAABkcnMvZTJvRG9j&#10;LnhtbFBLAQItABQABgAIAAAAIQBvZG8n3wAAAAkBAAAPAAAAAAAAAAAAAAAAAH4EAABkcnMvZG93&#10;bnJldi54bWxQSwUGAAAAAAQABADzAAAAigU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41228A44" wp14:editId="651F2439">
                <wp:simplePos x="0" y="0"/>
                <wp:positionH relativeFrom="column">
                  <wp:posOffset>586740</wp:posOffset>
                </wp:positionH>
                <wp:positionV relativeFrom="paragraph">
                  <wp:posOffset>20320</wp:posOffset>
                </wp:positionV>
                <wp:extent cx="504825" cy="523875"/>
                <wp:effectExtent l="0" t="38100" r="47625"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4D4E45" id="Прямая со стрелкой 32" o:spid="_x0000_s1026" type="#_x0000_t32" style="position:absolute;margin-left:46.2pt;margin-top:1.6pt;width:39.75pt;height:41.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TrKgIAAPkDAAAOAAAAZHJzL2Uyb0RvYy54bWysU81uEzEQviPxDpbvdDdpA+kqm0okhEuB&#10;SAXuE69318JrW7bJJrfCC/QR+gpcOPCjPsPmjRh7k9DCDXEZ2TOeb+ab+Ty52DSSrLl1QqucDk5S&#10;SrhiuhCqyum7t4snY0qcB1WA1IrndMsdvZg+fjRpTcaHutay4JYgiHJZa3Jae2+yJHGs5g24E224&#10;wmCpbQMer7ZKCgstojcyGabp06TVtjBWM+4ceud9kE4jflly5t+UpeOeyJxibz5aG+0q2GQ6gayy&#10;YGrB9m3AP3TRgFBY9Ag1Bw/koxV/QTWCWe106U+YbhJdloLxyAHZDNI/2FzVYHjkgsNx5jgm9/9g&#10;2ev10hJR5PR0SImCBnfU3e6udzfdz+7L7obsPnV3aHafd9fd1+5H9727674RfIyTa43LEGCmljZw&#10;Zxt1ZS41++AwljwIhosz/bNNaRtSSmHeo2Di0HAMZBN3sj3uhG88YegcpWfj4YgShqHR8HT8bBQq&#10;J5AFmFDVWOdfct2QcMip8xZEVfuZVgq3r21fAtaXzveJh4SQrPRCSIl+yKQibU7PR7EYoBRLCR7r&#10;NgaH41RFCcgKNc68jU07LUURskOys9VqJi1ZA+rsbDEePJ/3j2ooeO89H6XpXm8O/Ctd9O5BevAj&#10;pz1M5PcAP/Q8B1f3OTHUS9eDkC9UQfzW4ObAWt3u5yNVaIzHP7Dn/nsL4bTSxXZpD6tCfcWy+78Q&#10;BHz/juf7P3b6CwAA//8DAFBLAwQUAAYACAAAACEAjWoZz98AAAAHAQAADwAAAGRycy9kb3ducmV2&#10;LnhtbEyOTU/DMBBE70j8B2uRuFGnKelHyKYCJA49cCCNVHFz4yWJGq+j2G1Df33dExxHM3rzsvVo&#10;OnGiwbWWEaaTCARxZXXLNUK5/XhagnBesVadZUL4JQfr/P4uU6m2Z/6iU+FrESDsUoXQeN+nUrqq&#10;IaPcxPbEofuxg1E+xKGWelDnADedjKNoLo1qOTw0qqf3hqpDcTQIdrM72O+3MrokZTLbxWNffG4S&#10;xMeH8fUFhKfR/43hph/UIQ9Oe3tk7USHsIqfwxJhFoO41YvpCsQeYZksQOaZ/O+fXwEAAP//AwBQ&#10;SwECLQAUAAYACAAAACEAtoM4kv4AAADhAQAAEwAAAAAAAAAAAAAAAAAAAAAAW0NvbnRlbnRfVHlw&#10;ZXNdLnhtbFBLAQItABQABgAIAAAAIQA4/SH/1gAAAJQBAAALAAAAAAAAAAAAAAAAAC8BAABfcmVs&#10;cy8ucmVsc1BLAQItABQABgAIAAAAIQBzcGTrKgIAAPkDAAAOAAAAAAAAAAAAAAAAAC4CAABkcnMv&#10;ZTJvRG9jLnhtbFBLAQItABQABgAIAAAAIQCNahnP3wAAAAcBAAAPAAAAAAAAAAAAAAAAAIQEAABk&#10;cnMvZG93bnJldi54bWxQSwUGAAAAAAQABADzAAAAkAUAAAAA&#10;" strokecolor="#4a7ebb">
                <v:stroke endarrow="open"/>
                <o:lock v:ext="edit" shapetype="f"/>
              </v:shape>
            </w:pict>
          </mc:Fallback>
        </mc:AlternateContent>
      </w:r>
    </w:p>
    <w:p w14:paraId="1799552B"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76BD9085" wp14:editId="615E3B25">
                <wp:simplePos x="0" y="0"/>
                <wp:positionH relativeFrom="column">
                  <wp:posOffset>-594360</wp:posOffset>
                </wp:positionH>
                <wp:positionV relativeFrom="paragraph">
                  <wp:posOffset>109220</wp:posOffset>
                </wp:positionV>
                <wp:extent cx="1685925" cy="685800"/>
                <wp:effectExtent l="4763" t="0" r="14287" b="14288"/>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85925" cy="685800"/>
                        </a:xfrm>
                        <a:prstGeom prst="rect">
                          <a:avLst/>
                        </a:prstGeom>
                        <a:solidFill>
                          <a:sysClr val="window" lastClr="FFFFFF"/>
                        </a:solidFill>
                        <a:ln w="25400" cap="flat" cmpd="sng" algn="ctr">
                          <a:solidFill>
                            <a:srgbClr val="F79646"/>
                          </a:solidFill>
                          <a:prstDash val="solid"/>
                        </a:ln>
                        <a:effectLst/>
                      </wps:spPr>
                      <wps:txbx>
                        <w:txbxContent>
                          <w:p w14:paraId="4A654A93" w14:textId="77777777" w:rsidR="0068193E" w:rsidRDefault="0068193E" w:rsidP="00A10D24">
                            <w:pPr>
                              <w:spacing w:after="0"/>
                              <w:jc w:val="center"/>
                            </w:pPr>
                            <w:r>
                              <w:t>Ревизионная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D9085" id="Прямоугольник 35" o:spid="_x0000_s1038" style="position:absolute;margin-left:-46.8pt;margin-top:8.6pt;width:132.75pt;height:5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6KrAIAADgFAAAOAAAAZHJzL2Uyb0RvYy54bWysVN1q2zAUvh/sHYTuV8dZkramTgktGYPQ&#10;FtrR6xNZjs1kSZOUONnVYLeFPcIeYjdjP30G5412pDhp2vVqzBfi/P9+xyeny0qQBTe2VDKl8UGH&#10;Ei6Zyko5S+m7m/GrI0qsA5mBUJKndMUtPR2+fHFS64R3VaFExg3BINImtU5p4ZxOosiygldgD5Tm&#10;EpW5MhU4ZM0sygzUGL0SUbfTGUS1Mpk2inFrUXq+UdJhiJ/nnLnLPLfcEZFSrM2F14R36t9oeALJ&#10;zIAuStaWAf9QRQWlxKS7UOfggMxN+VeoqmRGWZW7A6aqSOV5yXjoAbuJO0+6uS5A89ALDsfq3Zjs&#10;/wvLLhZXhpRZSl/3KZFQ4Y6ar+tP6y/Nr+Z+/bn51tw3P9d3ze/me/ODoBFOrNY2QcdrfWV8z1ZP&#10;FHtvURE90njGtjbL3FTEKJx/PMC94RfGhQMgy7CN1W4bfOkIQ2E8OOofd7Eqhjqkj9DH54DEB/OJ&#10;tbHuDVcV8URKDW47RIXFxLqN6dYk1KlEmY1LIQKzsmfCkAUgMBBPmaopEWAdClM6Dl+bze67CUnq&#10;lHb7PSyGMEDE5gIckpXGGVo5owTEDE+BORNqeeRtzWy6yzo+PB70Bs8l8UWfgy021YUIrZmQvnYe&#10;gN32+DBlT7nldBnWGcfexYumKlvhjsPwsWir2bjEBBNs9goMoh2FeMHuEp9cKGxPtRQlhTIfn5N7&#10;ewQhaimp8Xqw9Q9zMBxn+FYiPI/jXs+fW2B6/cMuMmZfM93XyHl1pnAPcagukN7eiS2ZG1Xd4qGP&#10;fFZUgWSYezPkljlzm6vGXwXjo1EwwxPT4CbyWjMffAuZm+UtGN2CxiHcLtT20iB5gp2NrfeUajR3&#10;Ki8DsB7m2oIezzNAs/2V+Pvf54PVww9v+AcAAP//AwBQSwMEFAAGAAgAAAAhAADg56nfAAAACgEA&#10;AA8AAABkcnMvZG93bnJldi54bWxMj81OwzAQhO9IvIO1SFyq1kmKQhviVAipJ060/FzdeHEi7HUU&#10;u014e5YT3Ha0o5lv6t3snbjgGPtACvJVBgKpDaYnq+D1uF9uQMSkyWgXCBV8Y4Rdc31V68qEiV7w&#10;ckhWcAjFSivoUhoqKWPboddxFQYk/n2G0evEcrTSjHricO9kkWWl9Lonbuj0gE8dtl+Hs1cgnwPt&#10;39y9c4v3xUdR9naaN1ap25v58QFEwjn9meEXn9GhYaZTOJOJwilY5neMnvgo8xIEO7brAsRJQZGt&#10;tyCbWv6f0PwAAAD//wMAUEsBAi0AFAAGAAgAAAAhALaDOJL+AAAA4QEAABMAAAAAAAAAAAAAAAAA&#10;AAAAAFtDb250ZW50X1R5cGVzXS54bWxQSwECLQAUAAYACAAAACEAOP0h/9YAAACUAQAACwAAAAAA&#10;AAAAAAAAAAAvAQAAX3JlbHMvLnJlbHNQSwECLQAUAAYACAAAACEAXti+iqwCAAA4BQAADgAAAAAA&#10;AAAAAAAAAAAuAgAAZHJzL2Uyb0RvYy54bWxQSwECLQAUAAYACAAAACEAAODnqd8AAAAKAQAADwAA&#10;AAAAAAAAAAAAAAAGBQAAZHJzL2Rvd25yZXYueG1sUEsFBgAAAAAEAAQA8wAAABIGAAAAAA==&#10;" fillcolor="window" strokecolor="#f79646" strokeweight="2pt">
                <v:path arrowok="t"/>
                <v:textbox>
                  <w:txbxContent>
                    <w:p w14:paraId="4A654A93" w14:textId="77777777" w:rsidR="0068193E" w:rsidRDefault="0068193E" w:rsidP="00A10D24">
                      <w:pPr>
                        <w:spacing w:after="0"/>
                        <w:jc w:val="center"/>
                      </w:pPr>
                      <w:r>
                        <w:t>Ревизионная комиссия</w:t>
                      </w:r>
                    </w:p>
                  </w:txbxContent>
                </v:textbox>
              </v:rect>
            </w:pict>
          </mc:Fallback>
        </mc:AlternateContent>
      </w:r>
    </w:p>
    <w:p w14:paraId="70650306"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770FEBF4" wp14:editId="38DBF6F6">
                <wp:simplePos x="0" y="0"/>
                <wp:positionH relativeFrom="column">
                  <wp:posOffset>3994785</wp:posOffset>
                </wp:positionH>
                <wp:positionV relativeFrom="paragraph">
                  <wp:posOffset>32385</wp:posOffset>
                </wp:positionV>
                <wp:extent cx="586740" cy="230505"/>
                <wp:effectExtent l="38100" t="0" r="22860" b="742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 cy="2305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DD7B76" id="Прямая со стрелкой 36" o:spid="_x0000_s1026" type="#_x0000_t32" style="position:absolute;margin-left:314.55pt;margin-top:2.55pt;width:46.2pt;height:18.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LaLQIAAPkDAAAOAAAAZHJzL2Uyb0RvYy54bWysU82O0zAQviPxDpbvNGl3s3SjpivRUjgs&#10;UGnhAaaOk1g4tmWbpr0tvMA+Aq/AhQM/2mdI34hxki27cENcrPGM55v5Zj7PLna1JFtundAqo+NR&#10;TAlXTOdClRl993b1ZEqJ86BykFrxjO65oxfzx49mjUn5RFda5twSBFEubUxGK+9NGkWOVbwGN9KG&#10;KwwW2tbg8WrLKLfQIHoto0kcn0WNtrmxmnHn0Lvsg3Te4RcFZ/5NUTjuicwo9ua703bnJpzRfAZp&#10;acFUgg1twD90UYNQWPQItQQP5IMVf0HVglntdOFHTNeRLgrBeMcB2YzjP9hcVWB4xwWH48xxTO7/&#10;wbLX27UlIs/oyRklCmrcUfv5cH24aX+2Xw435PCxvcXj8Olw3X5tf7Tf29v2G8HHOLnGuBQBFmpt&#10;A3e2U1fmUrP3DmPRg2C4ONM/2xW2JoUU5iUKphsajoHsup3sjzvhO08YOpPp2dNT3BzD0OQkTuIk&#10;VI4gDTChqrHOv+C6JsHIqPMWRFn5hVYKt69tXwK2l873iXcJIVnplZAS/ZBKRZqMnieTBIsBSrGQ&#10;4NGsDQ7HqZISkCVqnHnbNe20FHnIDsnOlpuFtGQLqLPT1XT8bNk/qiDnvfc8ieNBbw78K5337jFS&#10;6v3IaYDp+D3ADz0vwVV9ThfqpetByOcqJ35vcHNgrW6G+UgVGuPdHxi4/95CsDY636/t3apQX13Z&#10;4S8EAd+/o33/x85/AQAA//8DAFBLAwQUAAYACAAAACEApMTra+AAAAAIAQAADwAAAGRycy9kb3du&#10;cmV2LnhtbEyPwU7DMBBE70j8g7VI3KiTUBcI2VSAxKEHDg2RKm5ubJKo8TqK3Tbw9SwnOI1WM5p5&#10;W6xnN4iTnULvCSFdJCAsNd701CLU76839yBC1GT04MkifNkA6/LyotC58Wfa2lMVW8ElFHKN0MU4&#10;5lKGprNOh4UfLbH36SenI59TK82kz1zuBpklyUo63RMvdHq0L51tDtXRIfjN7uA/nuvkW9XqdpfN&#10;Y/W2UYjXV/PTI4ho5/gXhl98RoeSmfb+SCaIAWGVPaQcRVAs7N9lqQKxR1imS5BlIf8/UP4AAAD/&#10;/wMAUEsBAi0AFAAGAAgAAAAhALaDOJL+AAAA4QEAABMAAAAAAAAAAAAAAAAAAAAAAFtDb250ZW50&#10;X1R5cGVzXS54bWxQSwECLQAUAAYACAAAACEAOP0h/9YAAACUAQAACwAAAAAAAAAAAAAAAAAvAQAA&#10;X3JlbHMvLnJlbHNQSwECLQAUAAYACAAAACEAKrFi2i0CAAD5AwAADgAAAAAAAAAAAAAAAAAuAgAA&#10;ZHJzL2Uyb0RvYy54bWxQSwECLQAUAAYACAAAACEApMTra+AAAAAIAQAADwAAAAAAAAAAAAAAAACH&#10;BAAAZHJzL2Rvd25yZXYueG1sUEsFBgAAAAAEAAQA8wAAAJQFA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699E1701" wp14:editId="70E560D2">
                <wp:simplePos x="0" y="0"/>
                <wp:positionH relativeFrom="column">
                  <wp:posOffset>1090930</wp:posOffset>
                </wp:positionH>
                <wp:positionV relativeFrom="paragraph">
                  <wp:posOffset>143510</wp:posOffset>
                </wp:positionV>
                <wp:extent cx="2905125" cy="352425"/>
                <wp:effectExtent l="0" t="0" r="28575"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352425"/>
                        </a:xfrm>
                        <a:prstGeom prst="roundRect">
                          <a:avLst/>
                        </a:prstGeom>
                        <a:solidFill>
                          <a:sysClr val="window" lastClr="FFFFFF"/>
                        </a:solidFill>
                        <a:ln w="25400" cap="flat" cmpd="sng" algn="ctr">
                          <a:solidFill>
                            <a:srgbClr val="F79646"/>
                          </a:solidFill>
                          <a:prstDash val="solid"/>
                        </a:ln>
                        <a:effectLst/>
                      </wps:spPr>
                      <wps:txbx>
                        <w:txbxContent>
                          <w:p w14:paraId="0AAA3AB3" w14:textId="77777777" w:rsidR="0068193E" w:rsidRDefault="0068193E" w:rsidP="00A10D24">
                            <w:pPr>
                              <w:jc w:val="center"/>
                            </w:pPr>
                            <w:r>
                              <w:t>Наблюдательный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99E1701" id="Скругленный прямоугольник 37" o:spid="_x0000_s1039" style="position:absolute;margin-left:85.9pt;margin-top:11.3pt;width:228.7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YkvQIAAEUFAAAOAAAAZHJzL2Uyb0RvYy54bWysVN1u0zAUvkfiHSzfs7Rdu7Fo6VRtKkKq&#10;xsSGdu06ThPh+BjbbVqukLgEiWfgGRASbGy8QvpGHLtp141dIXIRnf/f7/jwaF5KMhPGFqAS2t5p&#10;USIUh7RQk4S+uRg+e06JdUylTIISCV0IS4/6T58cVjoWHchBpsIQDKJsXOmE5s7pOIosz0XJ7A5o&#10;oVCZgSmZQ9ZMotSwCqOXMuq0WntRBSbVBriwFqUnKyXth/hZJrh7lWVWOCITirW58DfhP/b/qH/I&#10;4olhOi94Uwb7hypKVihMugl1whwjU1P8FaosuAELmdvhUEaQZQUXoQfspt160M15zrQIveBwrN6M&#10;yf6/sPx0dmZIkSZ0d58SxUrcUf21vlp+WH6sv9XX9ff6pr5Zfqp/kvo3Cr/Uv+rboLqtr5efUfmj&#10;viLoi4OstI0x3rk+M34UVo+Av7WoiO5pPGMbm3lmSm+LgyDzsJXFZiti7ghHYeeg1Wt3epRw1O32&#10;Ol2kfVAWr721se6FgJJ4IqEGpip9jasPG2GzkXUr+7VdqA5kkQ4LKQOzsMfSkBlDlCC4Uqgokcw6&#10;FCZ0GL4mpd12k4pUWF+v20JocYbwzSRzSJYaB2rVhBImJ3gX3JlQyz1vaybjTdbh/sFed++xJL7o&#10;E2bzVXUhQmMmla9dBJQ3Pd7N1lNuPp6H3bY73sWLxpAucOEGVpdgNR8WmGCEzZ4xg9DHTvCc3Sv8&#10;ZRKwPWgoSnIw7x+Te3tEJGopqfCUsPV3U2YEzvClQqwetLtdf3uB6fb2O8iYbc14W6Om5THgHtr4&#10;cGgeSG/v5JrMDJSXePUDnxVVTHHMvRpywxy71Ynju8HFYBDM8N40cyN1rrkP7kfnR3sxv2RGN8hx&#10;iLlTWJ8dix9gZ2XrPRUMpg6yIgDrbq4N1PFWAz6bd8U/Btt8sLp7/fp/AAAA//8DAFBLAwQUAAYA&#10;CAAAACEAho3usd8AAAAJAQAADwAAAGRycy9kb3ducmV2LnhtbEyPT0vEMBTE74LfITzBm5u2QrfW&#10;poss7kEQpF0PekubZxvMn9Jkt/Xb+zy5x2GGmd9Uu9UadsY5aO8EpJsEGLreK+0GAe/Hw10BLETp&#10;lDTeoYAfDLCrr68qWSq/uAbPbRwYlbhQSgFjjFPJeehHtDJs/ISOvC8/WxlJzgNXs1yo3BqeJUnO&#10;rdSOFkY54X7E/rs9WQEvx9fDss7P+ZvuCqObj/az0Xshbm/Wp0dgEdf4H4Y/fEKHmpg6f3IqMEN6&#10;mxJ6FJBlOTAK5NnDPbBOwLZIgdcVv3xQ/wIAAP//AwBQSwECLQAUAAYACAAAACEAtoM4kv4AAADh&#10;AQAAEwAAAAAAAAAAAAAAAAAAAAAAW0NvbnRlbnRfVHlwZXNdLnhtbFBLAQItABQABgAIAAAAIQA4&#10;/SH/1gAAAJQBAAALAAAAAAAAAAAAAAAAAC8BAABfcmVscy8ucmVsc1BLAQItABQABgAIAAAAIQB1&#10;k0YkvQIAAEUFAAAOAAAAAAAAAAAAAAAAAC4CAABkcnMvZTJvRG9jLnhtbFBLAQItABQABgAIAAAA&#10;IQCGje6x3wAAAAkBAAAPAAAAAAAAAAAAAAAAABcFAABkcnMvZG93bnJldi54bWxQSwUGAAAAAAQA&#10;BADzAAAAIwYAAAAA&#10;" fillcolor="window" strokecolor="#f79646" strokeweight="2pt">
                <v:path arrowok="t"/>
                <v:textbox>
                  <w:txbxContent>
                    <w:p w14:paraId="0AAA3AB3" w14:textId="77777777" w:rsidR="0068193E" w:rsidRDefault="0068193E" w:rsidP="00A10D24">
                      <w:pPr>
                        <w:jc w:val="center"/>
                      </w:pPr>
                      <w:r>
                        <w:t>Наблюдательный совет</w:t>
                      </w:r>
                    </w:p>
                  </w:txbxContent>
                </v:textbox>
              </v:roundrect>
            </w:pict>
          </mc:Fallback>
        </mc:AlternateContent>
      </w:r>
    </w:p>
    <w:p w14:paraId="6E31E40E"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b/>
          <w:bCs/>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2AC041DD" wp14:editId="2CAB9294">
                <wp:simplePos x="0" y="0"/>
                <wp:positionH relativeFrom="column">
                  <wp:posOffset>-358140</wp:posOffset>
                </wp:positionH>
                <wp:positionV relativeFrom="paragraph">
                  <wp:posOffset>1829435</wp:posOffset>
                </wp:positionV>
                <wp:extent cx="1685925" cy="68580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85800"/>
                        </a:xfrm>
                        <a:prstGeom prst="rect">
                          <a:avLst/>
                        </a:prstGeom>
                        <a:solidFill>
                          <a:sysClr val="window" lastClr="FFFFFF"/>
                        </a:solidFill>
                        <a:ln w="25400" cap="flat" cmpd="sng" algn="ctr">
                          <a:solidFill>
                            <a:srgbClr val="F79646"/>
                          </a:solidFill>
                          <a:prstDash val="solid"/>
                        </a:ln>
                        <a:effectLst/>
                      </wps:spPr>
                      <wps:txbx>
                        <w:txbxContent>
                          <w:p w14:paraId="2A1B500D" w14:textId="77777777" w:rsidR="0068193E" w:rsidRDefault="0068193E" w:rsidP="00A10D24">
                            <w:pPr>
                              <w:spacing w:after="0"/>
                              <w:jc w:val="center"/>
                            </w:pPr>
                            <w:r>
                              <w:t>Главный бухгалтер и его заместители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041DD" id="Прямоугольник 51" o:spid="_x0000_s1040" style="position:absolute;margin-left:-28.2pt;margin-top:144.05pt;width:132.7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90rAIAACkFAAAOAAAAZHJzL2Uyb0RvYy54bWysVEtu2zAQ3RfoHQjuG9mu7SRC5MBI4KKA&#10;kQRIiqzHFGUJpUiWpC27qwLdBugReohuin5yBvlGHVKy46RZFdWCmOEM5/PmjU5OV6UgS25soWRC&#10;uwcdSrhkKi3kPKHvbiavjiixDmQKQkme0DW39HT08sVJpWPeU7kSKTcEg0gbVzqhuXM6jiLLcl6C&#10;PVCaSzRmypTgUDXzKDVQYfRSRL1OZxhVyqTaKMatxdvzxkhHIX6WceYus8xyR0RCsTYXThPOmT+j&#10;0QnEcwM6L1hbBvxDFSUUEpPuQp2DA7IwxV+hyoIZZVXmDpgqI5VlBeOhB+ym23nSzXUOmodeEByr&#10;dzDZ/xeWXSyvDCnShA66lEgocUb1182nzZf6V32/+Vx/q+/rn5u7+nf9vf5B0AkRq7SN8eG1vjK+&#10;Z6unir23aIgeWbxiW59VZkrvix2TVYB/vYOfrxxheNkdHg2OewNKGNpQPuqE+UQQb19rY90brkri&#10;hYQaHG9AHZZT63x+iLcuoTAlinRSCBGUtT0ThiwBmYAESlVFiQDr8DKhk/D53jCE3X8mJKkS2hv0&#10;sRjCACmaCXAolhpBs3JOCYg5cp85E2p59Nqa+WyXdXJ4POwPn0viiz4HmzfVhQitm5C+dh6Y3Pb4&#10;AKuX3Gq2CvPrvt6OZqbSNQ7VqIbtVrNJgQmm2OwVGKQ3doIr6y7xyITC9lQrUZIr8/G5e++PrEMr&#10;JRWuC7b+YQGGI4ZvJfLxuNvv+/0KSn9w2EPF7Ftm+xa5KM8UzgEph9UF0fs7sRUzo8pb3Oyxz4om&#10;kAxzNyC3yplr1hj/DYyPx8ENd0qDm8przXxwD52H9mZ1C0a3pHFItwu1XS2In3Cn8fUvpRovnMqK&#10;QCwPdYNry3Lcx0CW9t/hF35fD14Pf7jRHwAAAP//AwBQSwMEFAAGAAgAAAAhAMtDp+nkAAAACwEA&#10;AA8AAABkcnMvZG93bnJldi54bWxMj8tOwzAQRfdI/IM1SOxaJ4FGaYhTtUQsWFBBH0js3HhIovoR&#10;xW4b/r7DCnYzmqM75xaL0Wh2xsF3zgqIpxEwtLVTnW0E7LYvkwyYD9IqqZ1FAT/oYVHe3hQyV+5i&#10;P/C8CQ2jEOtzKaANoc8593WLRvqp69HS7dsNRgZah4arQV4o3GieRFHKjewsfWhlj88t1sfNyQj4&#10;Wq3Xb6vP/bLS1Xu9rdSr7o4zIe7vxuUTsIBj+IPhV5/UoSSngztZ5ZkWMJmlj4QKSLIsBkZEEs1p&#10;OAh4mKcx8LLg/zuUVwAAAP//AwBQSwECLQAUAAYACAAAACEAtoM4kv4AAADhAQAAEwAAAAAAAAAA&#10;AAAAAAAAAAAAW0NvbnRlbnRfVHlwZXNdLnhtbFBLAQItABQABgAIAAAAIQA4/SH/1gAAAJQBAAAL&#10;AAAAAAAAAAAAAAAAAC8BAABfcmVscy8ucmVsc1BLAQItABQABgAIAAAAIQC0JV90rAIAACkFAAAO&#10;AAAAAAAAAAAAAAAAAC4CAABkcnMvZTJvRG9jLnhtbFBLAQItABQABgAIAAAAIQDLQ6fp5AAAAAsB&#10;AAAPAAAAAAAAAAAAAAAAAAYFAABkcnMvZG93bnJldi54bWxQSwUGAAAAAAQABADzAAAAFwYAAAAA&#10;" fillcolor="window" strokecolor="#f79646" strokeweight="2pt">
                <v:path arrowok="t"/>
                <v:textbox>
                  <w:txbxContent>
                    <w:p w14:paraId="2A1B500D" w14:textId="77777777" w:rsidR="0068193E" w:rsidRDefault="0068193E" w:rsidP="00A10D24">
                      <w:pPr>
                        <w:spacing w:after="0"/>
                        <w:jc w:val="center"/>
                      </w:pPr>
                      <w:r>
                        <w:t>Главный бухгалтер и его заместители</w:t>
                      </w:r>
                    </w:p>
                  </w:txbxContent>
                </v:textbox>
              </v:rect>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4D2302B2" wp14:editId="532B32B7">
                <wp:simplePos x="0" y="0"/>
                <wp:positionH relativeFrom="column">
                  <wp:posOffset>586740</wp:posOffset>
                </wp:positionH>
                <wp:positionV relativeFrom="paragraph">
                  <wp:posOffset>135255</wp:posOffset>
                </wp:positionV>
                <wp:extent cx="504825" cy="19050"/>
                <wp:effectExtent l="0" t="76200" r="9525"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89D487" id="Прямая со стрелкой 38" o:spid="_x0000_s1026" type="#_x0000_t32" style="position:absolute;margin-left:46.2pt;margin-top:10.65pt;width:39.75pt;height: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hKAIAAPgDAAAOAAAAZHJzL2Uyb0RvYy54bWysU82O0zAQviPxDpbvNGnZojZquhIt5bJA&#10;pQXuU8dJLBzbsk3T3hZeYB9hX4ELB360z5C+EWOndHfhhriM7BnPNz/f59n5rpFky60TWuV0OEgp&#10;4YrpQqgqp+/erp5MKHEeVAFSK57TPXf0fP740aw1GR/pWsuCW4IgymWtyWntvcmSxLGaN+AG2nCF&#10;wVLbBjxebZUUFlpEb2QyStNnSattYaxm3Dn0LvsgnUf8suTMvylLxz2ROcXefLQ22k2wyXwGWWXB&#10;1IId24B/6KIBobDoCWoJHshHK/6CagSz2unSD5huEl2WgvE4A04zTP+Y5rIGw+MsuBxnTmty/w+W&#10;vd6uLRFFTp8iUwoa5Ki7OVwdrruf3ZfDNTl86m7RHD4frrqv3Y/ue3fbfSP4GDfXGpchwEKtbZid&#10;7dSludDsg8NY8iAYLs70z3albUgphXmPgolLwzWQXeRkf+KE7zxh6BynZ5PRmBKGoeE0HUfKEsgC&#10;SihqrPMvuW5IOOTUeQuiqv1CK4Xka9tXgO2F86Gru4SQrPRKSBk1IBVpczodx1qASiwleCzbGNyN&#10;UxUlICuUOPM29uy0FEXIDjjOVpuFtGQLKLOz1WT4fNk/qqHgvXc6TtOj3Bz4V7ro3UOcqPdja0eY&#10;2OYD/DDbElzd58RQr1wPQr5QBfF7g8SBtboNAcSSKjTG4xc4zn5HQjhtdLFf299Mobxi2vErBP3e&#10;v+P5/oed/wIAAP//AwBQSwMEFAAGAAgAAAAhAET23YLgAAAACAEAAA8AAABkcnMvZG93bnJldi54&#10;bWxMj81OwzAQhO9IvIO1SNyo89MADXEqQOLQA4eGSBU3N16SqPFuFLtt4OlxT3CcndHMt8V6toM4&#10;4eR6JgXxIgKB1LDpqVVQf7zdPYJwXpPRAxMq+EYH6/L6qtC54TNt8VT5VoQScrlW0Hk/5lK6pkOr&#10;3YJHpOB98WS1D3JqpZn0OZTbQSZRdC+t7iksdHrE1w6bQ3W0CnizO/DnSx39ZHWW7pJ5rN43mVK3&#10;N/PzEwiPs/8LwwU/oEMZmPZ8JOPEoGCVLENSQRKnIC7+Q7wCsQ+HZQqyLOT/B8pfAAAA//8DAFBL&#10;AQItABQABgAIAAAAIQC2gziS/gAAAOEBAAATAAAAAAAAAAAAAAAAAAAAAABbQ29udGVudF9UeXBl&#10;c10ueG1sUEsBAi0AFAAGAAgAAAAhADj9If/WAAAAlAEAAAsAAAAAAAAAAAAAAAAALwEAAF9yZWxz&#10;Ly5yZWxzUEsBAi0AFAAGAAgAAAAhAG79cqEoAgAA+AMAAA4AAAAAAAAAAAAAAAAALgIAAGRycy9l&#10;Mm9Eb2MueG1sUEsBAi0AFAAGAAgAAAAhAET23YLgAAAACAEAAA8AAAAAAAAAAAAAAAAAggQAAGRy&#10;cy9kb3ducmV2LnhtbFBLBQYAAAAABAAEAPMAAACPBQAAAAA=&#10;" strokecolor="#4a7ebb">
                <v:stroke endarrow="open"/>
                <o:lock v:ext="edit" shapetype="f"/>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A10D24" w:rsidRPr="00A10D24" w14:paraId="204EE9B9" w14:textId="77777777" w:rsidTr="00F73763">
        <w:trPr>
          <w:trHeight w:val="519"/>
        </w:trPr>
        <w:tc>
          <w:tcPr>
            <w:tcW w:w="9365" w:type="dxa"/>
          </w:tcPr>
          <w:p w14:paraId="0B06D610"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r w:rsidRPr="00A10D24">
              <w:rPr>
                <w:rFonts w:ascii="Calibri" w:eastAsia="Calibri" w:hAnsi="Calibri" w:cs="Times New Roman"/>
                <w:noProof/>
                <w:lang w:eastAsia="ru-RU"/>
              </w:rPr>
              <mc:AlternateContent>
                <mc:Choice Requires="wps">
                  <w:drawing>
                    <wp:anchor distT="0" distB="0" distL="114299" distR="114299" simplePos="0" relativeHeight="251700224" behindDoc="0" locked="0" layoutInCell="1" allowOverlap="1" wp14:anchorId="3B457E55" wp14:editId="740C5346">
                      <wp:simplePos x="0" y="0"/>
                      <wp:positionH relativeFrom="column">
                        <wp:posOffset>2523490</wp:posOffset>
                      </wp:positionH>
                      <wp:positionV relativeFrom="paragraph">
                        <wp:posOffset>153670</wp:posOffset>
                      </wp:positionV>
                      <wp:extent cx="0" cy="314325"/>
                      <wp:effectExtent l="95250" t="38100" r="57150" b="95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F2D2A9D" id="Прямая со стрелкой 42" o:spid="_x0000_s1026" type="#_x0000_t32" style="position:absolute;margin-left:198.7pt;margin-top:12.1pt;width:0;height:24.75pt;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VJAIAAPQDAAAOAAAAZHJzL2Uyb0RvYy54bWysU82O0zAQviPxDpbvNGm3RbtR05VoKZcF&#10;Ki1wnzpOYuHYlm2a9rbwAvsIvAIXDvxonyF5I8ZJWnbhhrhY4xnPN/PNfJ5f7itJdtw6oVVKx6OY&#10;Eq6YzoQqUvr2zfrJOSXOg8pAasVTeuCOXi4eP5rXJuETXWqZcUsQRLmkNiktvTdJFDlW8grcSBuu&#10;MJhrW4HHqy2izEKN6JWMJnH8NKq1zYzVjDuH3lUfpIsOP88586/z3HFPZEqxN9+dtju34YwWc0gK&#10;C6YUbGgD/qGLCoTCoieoFXggH6z4C6oSzGqncz9iuop0ngvGOw7IZhz/wea6BMM7LjgcZ05jcv8P&#10;lr3abSwRWUqnE0oUVLij5nN70942P5sv7S1pPzZ3eLSf2pvma/Oj+d7cNd8IPsbJ1cYlCLBUGxu4&#10;s726NleavXcYix4Ew8WZ/tk+txXJpTDvUDDd0HAMZN/t5HDaCd97wnonQ+/ZeHo2mYWiESQBIRQ0&#10;1vkXXFckGCl13oIoSr/USuHite3RYXflfJ94TAjJSq+FlOiHRCpSp/RihgUIA1RhLsGjWRmci1MF&#10;JSALlDfztuvXaSmykB2SnS22S2nJDlBi0/X5+Nmqf1RCxnvvxSyOB6k58C911rvH8dGPnAaYjt8D&#10;/NDzClzZ53ShXrUehHyuMuIPBpcG1up6mI9UoTHeyX/g/nsBwdrq7LCxxy2htLqywzcI2r1/R/v+&#10;Z138AgAA//8DAFBLAwQUAAYACAAAACEA+bWw9t8AAAAJAQAADwAAAGRycy9kb3ducmV2LnhtbEyP&#10;wU6DQBCG7ya+w2ZMvNlFKKLI0KiJhx48iCSNty07Aik7S9htiz591/Sgx5n58s/3F6vZDOJAk+st&#10;I9wuIhDEjdU9twj1x+vNPQjnFWs1WCaEb3KwKi8vCpVre+R3OlS+FSGEXa4QOu/HXErXdGSUW9iR&#10;ONy+7GSUD+PUSj2pYwg3g4yj6E4a1XP40KmRXjpqdtXeINj1Zmc/n+voJ63TZBPPY/W2ThGvr+an&#10;RxCeZv8Hw69+UIcyOG3tnrUTA0LykC0DihAvYxABOC+2CFmSgSwL+b9BeQIAAP//AwBQSwECLQAU&#10;AAYACAAAACEAtoM4kv4AAADhAQAAEwAAAAAAAAAAAAAAAAAAAAAAW0NvbnRlbnRfVHlwZXNdLnht&#10;bFBLAQItABQABgAIAAAAIQA4/SH/1gAAAJQBAAALAAAAAAAAAAAAAAAAAC8BAABfcmVscy8ucmVs&#10;c1BLAQItABQABgAIAAAAIQA19+mVJAIAAPQDAAAOAAAAAAAAAAAAAAAAAC4CAABkcnMvZTJvRG9j&#10;LnhtbFBLAQItABQABgAIAAAAIQD5tbD23wAAAAkBAAAPAAAAAAAAAAAAAAAAAH4EAABkcnMvZG93&#10;bnJldi54bWxQSwUGAAAAAAQABADzAAAAigU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17E3A0D0" wp14:editId="129D131F">
                      <wp:simplePos x="0" y="0"/>
                      <wp:positionH relativeFrom="column">
                        <wp:posOffset>3941445</wp:posOffset>
                      </wp:positionH>
                      <wp:positionV relativeFrom="paragraph">
                        <wp:posOffset>39369</wp:posOffset>
                      </wp:positionV>
                      <wp:extent cx="567690" cy="436245"/>
                      <wp:effectExtent l="38100" t="38100" r="22860"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7690" cy="436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7F8757" id="Прямая со стрелкой 40" o:spid="_x0000_s1026" type="#_x0000_t32" style="position:absolute;margin-left:310.35pt;margin-top:3.1pt;width:44.7pt;height:34.3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AhMAIAAAMEAAAOAAAAZHJzL2Uyb0RvYy54bWysU82O0zAQviPxDpbvbNLSlm3UdCVaCocF&#10;Ki1wnzpOYuHYlm2a9rbwAvsIvAIXDvxonyF5I8ZJW3bhhrhY4xnPN9/MfJ5d7CpJttw6oVVKB2cx&#10;JVwxnQlVpPTtm9Wjc0qcB5WB1IqndM8dvZg/fDCrTcKHutQy45YgiHJJbVJaem+SKHKs5BW4M224&#10;wmCubQUer7aIMgs1olcyGsbxJKq1zYzVjDuH3mUfpPMOP88586/z3HFPZEqRm+9O252bcEbzGSSF&#10;BVMKdqAB/8CiAqGw6AlqCR7IByv+gqoEs9rp3J8xXUU6zwXjXQ/YzSD+o5urEgzvesHhOHMak/t/&#10;sOzVdm2JyFI6wvEoqHBHzef2ur1pfjZf2hvSfmxu8Wg/tdfN1+ZH8725bb4RfIyTq41LEGCh1jb0&#10;znbqylxq9t5hLLoXDBdn+me73FYkl8K8QMHQznoXrACBAyG7bjv703b4zhOGzvHkyWSKJBmGRo8n&#10;w9E4cIggCYAh2Vjnn3NdkWCk1HkLoij9QiuFOtC2LwHbS+f7xGNCSFZ6JaREPyRSkTql0/FwjMUA&#10;RZlL8GhWBsfkVEEJyALVzrztSDstRRayQ7KzxWYhLdkCKm60Oh88XfaPSsh4752O4/igPAf+pc56&#10;9yA++rGnA0zX3z38wHkJruxzulAvYg9CPlMZ8XuDOwRrdX2Yj1SBGO9+w6H33/sI1kZn+7U9Lg2V&#10;1pU9/Iog5bt3tO/+3fkvAAAA//8DAFBLAwQUAAYACAAAACEAQi6zjdwAAAAIAQAADwAAAGRycy9k&#10;b3ducmV2LnhtbEyPwU7DMBBE70j8g7VI3KidgJI2jVMBEhISJ1oQ1228TSJiO7LdNvw92xPcZjWj&#10;2Tf1ZrajOFGIg3casoUCQa71ZnCdho/dy90SREzoDI7ekYYfirBprq9qrIw/u3c6bVMnuMTFCjX0&#10;KU2VlLHtyWJc+IkcewcfLCY+QydNwDOX21HmShXS4uD4Q48TPffUfm+PVsMOn8o3/zot78Pnly9M&#10;Xq6yOWh9ezM/rkEkmtNfGC74jA4NM+390ZkoRg1FrkqOXgQI9stMZSD2LB5WIJta/h/Q/AIAAP//&#10;AwBQSwECLQAUAAYACAAAACEAtoM4kv4AAADhAQAAEwAAAAAAAAAAAAAAAAAAAAAAW0NvbnRlbnRf&#10;VHlwZXNdLnhtbFBLAQItABQABgAIAAAAIQA4/SH/1gAAAJQBAAALAAAAAAAAAAAAAAAAAC8BAABf&#10;cmVscy8ucmVsc1BLAQItABQABgAIAAAAIQDemkAhMAIAAAMEAAAOAAAAAAAAAAAAAAAAAC4CAABk&#10;cnMvZTJvRG9jLnhtbFBLAQItABQABgAIAAAAIQBCLrON3AAAAAgBAAAPAAAAAAAAAAAAAAAAAIoE&#10;AABkcnMvZG93bnJldi54bWxQSwUGAAAAAAQABADzAAAAkwU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2EF351A6" wp14:editId="4790086C">
                      <wp:simplePos x="0" y="0"/>
                      <wp:positionH relativeFrom="column">
                        <wp:posOffset>520065</wp:posOffset>
                      </wp:positionH>
                      <wp:positionV relativeFrom="paragraph">
                        <wp:posOffset>146050</wp:posOffset>
                      </wp:positionV>
                      <wp:extent cx="573405" cy="384175"/>
                      <wp:effectExtent l="0" t="0" r="55245" b="539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 cy="384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1CE1D4" id="Прямая со стрелкой 39" o:spid="_x0000_s1026" type="#_x0000_t32" style="position:absolute;margin-left:40.95pt;margin-top:11.5pt;width:45.15pt;height:3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laIwIAAO8DAAAOAAAAZHJzL2Uyb0RvYy54bWysU0uOEzEQ3SNxB8t70t35MEkrnZFICJsB&#10;Ig0coOJ2f4TbtmyTTnYDF5gjzBXYsOCjOUP3jSh3J2EGdohNqVyfV/WqyvPLfSXIjhtbKpnQaBBS&#10;wiVTaSnzhL5/t342pcQ6kCkIJXlCD9zSy8XTJ/Nax3yoCiVSbgiCSBvXOqGFczoOAssKXoEdKM0l&#10;OjNlKnD4NHmQGqgRvRLBMAyfB7UyqTaKcWvRuuqddNHhZxln7m2WWe6ISCj25jppOrn1MljMIc4N&#10;6KJkxzbgH7qooJRY9Ay1Agfkoyn/gqpKZpRVmRswVQUqy0rGOw7IJgr/YHNdgOYdFxyO1ecx2f8H&#10;y97sNoaUaUJHM0okVLij5q69aW+bn82X9pa0n5p7FO3n9qb52vxovjf3zTeCwTi5WtsYAZZyYzx3&#10;tpfX+kqxDxZ9wSOnf1jdh+0zU/lwJE/23SYO503wvSMMjZOL0TicUMLQNZqOo4uJrxdAfErWxrpX&#10;XFXEKwm1zkCZF26ppMSdKxN124DdlXV94inBV5ZqXQqBdoiFJHVCZ5OhLwZ4gJkAh2qlcSRW5pSA&#10;yPGymTMdolWiTH22T7Ym3y6FITvA6xqvp9GLVR9UQMp762wShscrs+Beq7Q3R+HJjpyOMB2/R/i+&#10;5xXYos/pXP3BOijFS5kSd9C4LzBG1cf5COkb493lH7n/nr3Xtio9bMxpQXhVXdnjD/Bn+/CN+sN/&#10;uvgFAAD//wMAUEsDBBQABgAIAAAAIQDpKgqz3wAAAAgBAAAPAAAAZHJzL2Rvd25yZXYueG1sTI9B&#10;S8NAEIXvgv9hGcGb3STFWmM2pQiFHhRsLLTHaXbMpmZ3Q3bbxn/v9KTH4Xu8+V6xGG0nzjSE1jsF&#10;6SQBQa72unWNgu3n6mEOIkR0GjvvSMEPBViUtzcF5tpf3IbOVWwEl7iQowITY59LGWpDFsPE9+SY&#10;ffnBYuRzaKQe8MLltpNZksykxdbxB4M9vRqqv6uTVbBbp7O02pslxdXx/e0j2+PmuFbq/m5cvoCI&#10;NMa/MFz1WR1Kdjr4k9NBdArm6TMnFWRTnnTlT1kG4sBg+giyLOT/AeUvAAAA//8DAFBLAQItABQA&#10;BgAIAAAAIQC2gziS/gAAAOEBAAATAAAAAAAAAAAAAAAAAAAAAABbQ29udGVudF9UeXBlc10ueG1s&#10;UEsBAi0AFAAGAAgAAAAhADj9If/WAAAAlAEAAAsAAAAAAAAAAAAAAAAALwEAAF9yZWxzLy5yZWxz&#10;UEsBAi0AFAAGAAgAAAAhAJFqmVojAgAA7wMAAA4AAAAAAAAAAAAAAAAALgIAAGRycy9lMm9Eb2Mu&#10;eG1sUEsBAi0AFAAGAAgAAAAhAOkqCrPfAAAACAEAAA8AAAAAAAAAAAAAAAAAfQQAAGRycy9kb3du&#10;cmV2LnhtbFBLBQYAAAAABAAEAPMAAACJBQ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7B9FFD22" wp14:editId="43BF02C1">
                      <wp:simplePos x="0" y="0"/>
                      <wp:positionH relativeFrom="column">
                        <wp:posOffset>4511040</wp:posOffset>
                      </wp:positionH>
                      <wp:positionV relativeFrom="paragraph">
                        <wp:posOffset>291465</wp:posOffset>
                      </wp:positionV>
                      <wp:extent cx="1485900" cy="6858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14:paraId="0B0D14D5" w14:textId="77777777" w:rsidR="0068193E" w:rsidRDefault="0068193E" w:rsidP="00A10D24">
                                  <w:pPr>
                                    <w:spacing w:after="0"/>
                                    <w:jc w:val="center"/>
                                  </w:pPr>
                                  <w:r>
                                    <w:t>Служба внутреннего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9FFD22" id="Прямоугольник 41" o:spid="_x0000_s1041" style="position:absolute;margin-left:355.2pt;margin-top:22.95pt;width:117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QLpgIAACkFAAAOAAAAZHJzL2Uyb0RvYy54bWysVN1q2zAUvh/sHYTuVyfBSVNTp4SWjEFo&#10;C+3otSJLsZksaZISO7sa7HawR9hD7Gbsp8/gvNGOZCdNu16N+ULo6Px/5zs+PatLgdbM2ELJFPeP&#10;ehgxSVVWyGWK397OXo0xso7IjAglWYo3zOKzycsXp5VO2EDlSmTMIAgibVLpFOfO6SSKLM1ZSeyR&#10;0kyCkitTEgeiWUaZIRVEL0U06PVGUaVMpo2izFp4vWiVeBLic86ou+LcModEiqE2F04TzoU/o8kp&#10;SZaG6LygXRnkH6ooSSEh6T7UBXEErUzxV6iyoEZZxd0RVWWkOC8oCz1AN/3ek25ucqJZ6AXAsXoP&#10;k/1/Yenl+tqgIktx3MdIkhJm1Hzdftx+aX4199tPzbfmvvm5/dz8br43PxAYAWKVtgk43uhr43u2&#10;eq7oOwuK6JHGC7azqbkpvS10jOoA/2YPP6sdovDYj8fDkx5MiYJuNB6O4e6DkmTnrY11r5kqkb+k&#10;2MB4A+pkPbeuNd2ZhMKUKLJZIUQQNvZcGLQmwAQgUKYqjASxDh5TPAtfl80eugmJqhQPhnEojABF&#10;uSAOaiw1gGblEiMilsB96kyo5ZG3NcvFPuvs+GQUj55L4ou+IDZvqwsROjMhfe0sMLnr8QFWf3P1&#10;og7z68fexT8tVLaBoRrVst1qOisgwRyavSYG6A0Qw8q6Kzi4UNCe6m4Y5cp8eO7d2wPrQItRBesC&#10;rb9fEcMAwzcS+HjSj2O/X0GIh8cDEMyhZnGokavyXMEcgHJQXbh6eyd2V25UeQebPfVZQUUkhdwt&#10;yJ1w7to1hn8DZdNpMIOd0sTN5Y2mPriHzkN7W98RozvSOKDbpdqtFkmecKe19Z5STVdO8SIQ6wHX&#10;juWwj4Ga3b/DL/yhHKwe/nCTPwAAAP//AwBQSwMEFAAGAAgAAAAhADT79qnhAAAACgEAAA8AAABk&#10;cnMvZG93bnJldi54bWxMj8FOwzAMhu9IvENkJG4sHbRAS9NpY+LAYRNsgMQta0xbLXGqJtvK22NO&#10;cLT96ff3l7PRWXHEIXSeFEwnCQik2puOGgVv26erexAhajLaekIF3xhgVp2flbow/kSveNzERnAI&#10;hUIraGPsCylD3aLTYeJ7JL59+cHpyOPQSDPoE4c7K6+T5FY63RF/aHWPjy3W+83BKfhcrNerxcf7&#10;fGmXL/V2aZ5tt8+UurwY5w8gIo7xD4ZffVaHip12/kAmCKvgbpqkjCpIsxwEA3ma8mLHZHaTg6xK&#10;+b9C9QMAAP//AwBQSwECLQAUAAYACAAAACEAtoM4kv4AAADhAQAAEwAAAAAAAAAAAAAAAAAAAAAA&#10;W0NvbnRlbnRfVHlwZXNdLnhtbFBLAQItABQABgAIAAAAIQA4/SH/1gAAAJQBAAALAAAAAAAAAAAA&#10;AAAAAC8BAABfcmVscy8ucmVsc1BLAQItABQABgAIAAAAIQB95nQLpgIAACkFAAAOAAAAAAAAAAAA&#10;AAAAAC4CAABkcnMvZTJvRG9jLnhtbFBLAQItABQABgAIAAAAIQA0+/ap4QAAAAoBAAAPAAAAAAAA&#10;AAAAAAAAAAAFAABkcnMvZG93bnJldi54bWxQSwUGAAAAAAQABADzAAAADgYAAAAA&#10;" fillcolor="window" strokecolor="#f79646" strokeweight="2pt">
                      <v:path arrowok="t"/>
                      <v:textbox>
                        <w:txbxContent>
                          <w:p w14:paraId="0B0D14D5" w14:textId="77777777" w:rsidR="0068193E" w:rsidRDefault="0068193E" w:rsidP="00A10D24">
                            <w:pPr>
                              <w:spacing w:after="0"/>
                              <w:jc w:val="center"/>
                            </w:pPr>
                            <w:r>
                              <w:t>Служба внутреннего контроля</w:t>
                            </w:r>
                          </w:p>
                        </w:txbxContent>
                      </v:textbox>
                    </v:rect>
                  </w:pict>
                </mc:Fallback>
              </mc:AlternateContent>
            </w:r>
          </w:p>
        </w:tc>
      </w:tr>
      <w:tr w:rsidR="00A10D24" w:rsidRPr="00A10D24" w14:paraId="728CF913" w14:textId="77777777" w:rsidTr="00F73763">
        <w:trPr>
          <w:trHeight w:val="361"/>
        </w:trPr>
        <w:tc>
          <w:tcPr>
            <w:tcW w:w="9365" w:type="dxa"/>
          </w:tcPr>
          <w:p w14:paraId="0E6923BE"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r w:rsidRPr="00A10D24">
              <w:rPr>
                <w:rFonts w:ascii="Calibri" w:eastAsia="Calibri" w:hAnsi="Calibri" w:cs="Times New Roman"/>
                <w:noProof/>
                <w:lang w:eastAsia="ru-RU"/>
              </w:rPr>
              <mc:AlternateContent>
                <mc:Choice Requires="wps">
                  <w:drawing>
                    <wp:anchor distT="0" distB="0" distL="114300" distR="114300" simplePos="0" relativeHeight="251718656" behindDoc="0" locked="0" layoutInCell="1" allowOverlap="1" wp14:anchorId="11D97444" wp14:editId="5E4E197C">
                      <wp:simplePos x="0" y="0"/>
                      <wp:positionH relativeFrom="column">
                        <wp:posOffset>3994784</wp:posOffset>
                      </wp:positionH>
                      <wp:positionV relativeFrom="paragraph">
                        <wp:posOffset>394971</wp:posOffset>
                      </wp:positionV>
                      <wp:extent cx="514350" cy="45719"/>
                      <wp:effectExtent l="38100" t="38100" r="19050" b="1073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457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97721A" id="Прямая со стрелкой 1" o:spid="_x0000_s1026" type="#_x0000_t32" style="position:absolute;margin-left:314.55pt;margin-top:31.1pt;width:40.5pt;height:3.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r9JwIAAPYDAAAOAAAAZHJzL2Uyb0RvYy54bWysU02O0zAU3iNxB8t7JklpYRo1HYmWwmKA&#10;SgMHeHWcxMKxLds07W7gAnMErsCGBT+aM6Q34jlJywzsEBvr+T1/3/v5nmcXu1qSLbdOaJXR5Cym&#10;hCumc6HKjL57u3p0TonzoHKQWvGM7rmjF/OHD2aNSflIV1rm3BIkUS5tTEYr700aRY5VvAZ3pg1X&#10;GCy0rcHj1ZZRbqFB9lpGozh+EjXa5sZqxp1D77IP0nnHXxSc+TdF4bgnMqNYm+9O252bcEbzGaSl&#10;BVMJNpQB/1BFDUJh0hPVEjyQD1b8RVULZrXThT9juo50UQjGux6wmyT+o5urCgzvesHhOHMak/t/&#10;tOz1dm2JyFE7ShTUKFH7+XB9uGl/tl8ON+Twsb3F4/DpcN1+bX+039vb9htJwtwa41KEL9Tahs7Z&#10;Tl2ZS83eO4xF94Lh4kz/bFfYmhRSmJchZQDiEMiuU2R/UoTvPGHonCTjxxPUjWFoPHmaTEPiCNLA&#10;ErDGOv+C65oEI6POWxBl5RdaKZRe2z4DbC+d74FHQAArvRJSoh9SqUiT0elkNMFcgHtYSPBo1gYn&#10;41RJCcgSF5x529XstBR5QAews+VmIS3ZAi7ZeHWePFv2jyrIee+dTuJ4WDYH/pXOe3cSH/3Y00DT&#10;9XePP9S8BFf1mC7U760HIZ+rnPi9Qd3AWt0M85EqFMa7DzD0/luEYG10vl/bo1K4XF3a4SOE7b17&#10;R/vud53/AgAA//8DAFBLAwQUAAYACAAAACEA1nAgGN8AAAAJAQAADwAAAGRycy9kb3ducmV2Lnht&#10;bEyPMU/DMBCFdyT+g3VIbNROIIWGOBUgMXRgIESq2Nz4SKLG5yh228Cv5zrBdvfe07vvivXsBnHE&#10;KfSeNCQLBQKp8banVkP98XrzACJEQ9YMnlDDNwZYl5cXhcmtP9E7HqvYCi6hkBsNXYxjLmVoOnQm&#10;LPyIxN6Xn5yJvE6ttJM5cbkbZKrUUjrTE1/ozIgvHTb76uA0+M127z+fa/WT1dntNp3H6m2TaX19&#10;NT89gog4x78wnPEZHUpm2vkD2SAGDct0lXD0PKQgOHCfKBZ2LKzuQJaF/P9B+QsAAP//AwBQSwEC&#10;LQAUAAYACAAAACEAtoM4kv4AAADhAQAAEwAAAAAAAAAAAAAAAAAAAAAAW0NvbnRlbnRfVHlwZXNd&#10;LnhtbFBLAQItABQABgAIAAAAIQA4/SH/1gAAAJQBAAALAAAAAAAAAAAAAAAAAC8BAABfcmVscy8u&#10;cmVsc1BLAQItABQABgAIAAAAIQCdUJr9JwIAAPYDAAAOAAAAAAAAAAAAAAAAAC4CAABkcnMvZTJv&#10;RG9jLnhtbFBLAQItABQABgAIAAAAIQDWcCAY3wAAAAkBAAAPAAAAAAAAAAAAAAAAAIEEAABkcnMv&#10;ZG93bnJldi54bWxQSwUGAAAAAAQABADzAAAAjQU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7534A081" wp14:editId="7EFE7BBB">
                      <wp:simplePos x="0" y="0"/>
                      <wp:positionH relativeFrom="column">
                        <wp:posOffset>1090930</wp:posOffset>
                      </wp:positionH>
                      <wp:positionV relativeFrom="paragraph">
                        <wp:posOffset>144780</wp:posOffset>
                      </wp:positionV>
                      <wp:extent cx="2905125" cy="571500"/>
                      <wp:effectExtent l="0" t="0" r="28575" b="190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71500"/>
                              </a:xfrm>
                              <a:prstGeom prst="roundRect">
                                <a:avLst/>
                              </a:prstGeom>
                              <a:solidFill>
                                <a:sysClr val="window" lastClr="FFFFFF"/>
                              </a:solidFill>
                              <a:ln w="25400" cap="flat" cmpd="sng" algn="ctr">
                                <a:solidFill>
                                  <a:srgbClr val="F79646"/>
                                </a:solidFill>
                                <a:prstDash val="solid"/>
                              </a:ln>
                              <a:effectLst/>
                            </wps:spPr>
                            <wps:txbx>
                              <w:txbxContent>
                                <w:p w14:paraId="5CE525F3" w14:textId="77777777" w:rsidR="0068193E" w:rsidRDefault="0068193E" w:rsidP="00A10D24">
                                  <w:pPr>
                                    <w:spacing w:after="0" w:line="240" w:lineRule="auto"/>
                                    <w:jc w:val="center"/>
                                  </w:pPr>
                                  <w:r>
                                    <w:t xml:space="preserve">Правление, </w:t>
                                  </w:r>
                                </w:p>
                                <w:p w14:paraId="5DEDCE24" w14:textId="77777777" w:rsidR="0068193E" w:rsidRDefault="0068193E" w:rsidP="00A10D24">
                                  <w:pPr>
                                    <w:spacing w:after="0" w:line="240" w:lineRule="auto"/>
                                    <w:jc w:val="center"/>
                                  </w:pPr>
                                  <w:r>
                                    <w:t xml:space="preserve">Председатель 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4A081" id="Скругленный прямоугольник 43" o:spid="_x0000_s1042" style="position:absolute;margin-left:85.9pt;margin-top:11.4pt;width:228.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Y7xAIAAEUFAAAOAAAAZHJzL2Uyb0RvYy54bWysVN1u0zAUvkfiHSzfszSl2Vi0dKo2FSFV&#10;28SGdu06ThPh2MZ2m5QrJC5B4hl4BoQEGxuvkL4Rx07adWNXiFxE5/gcn5/vfMcHh3XJ0YJpU0iR&#10;4HCnhxETVKaFmCX4zcX42QuMjCUiJVwKluAlM/hw+PTJQaVi1pe55CnTCIIIE1cqwbm1Kg4CQ3NW&#10;ErMjFRNgzKQuiQVVz4JUkwqilzzo93q7QSV1qrSkzBg4PW6NeOjjZxmj9jTLDLOIJxhqs/6v/X/q&#10;/sHwgMQzTVRe0K4M8g9VlKQQkHQT6phYgua6+CtUWVAtjczsDpVlILOsoMz3AN2EvQfdnOdEMd8L&#10;gGPUBibz/8LSk8WZRkWa4MFzjAQpYUbN1+Zq9WH1sfnWXDffm5vmZvWp+Yma33D4pfnV3HrTbXO9&#10;+gzGH80VgrsAZKVMDPHO1Zl2UBg1kfStAUNwz+IU0/nUmS6dLwCBaj+V5WYqrLaIwmF/vxeF/Qgj&#10;CrZoL4x6fmwBide3lTb2JZMlckKCtZyL9DWM3k+ELCbGuiJIvPbz1UlepOOCc68szRHXaEGAJUCu&#10;VFYYcWIsHCZ47D/XIIQw29e4QBXUFw2gIkQJ0DfjxIJYKgDUiBlGhM9gL6jVvpZ7t42eTTdZx3v7&#10;u4Pdx5K4oo+JydvqfITOjQtXO/Ms73q8w9ZJtp7WfrZhtJ7PVKZLGLiW7SYYRccFJJhAs2dEA/Wh&#10;E1hnewq/jEtoT3YSRrnU7x87d/7ASLBiVMEqQevv5kQzwPCVAK7uh4OB2z2vDKK9Pih62zLdtoh5&#10;eSRhDiE8HIp60flbvhYzLctL2PqRywomIijkbkHulCPbrji8G5SNRt4N9k0ROxHnirrgDjoH7UV9&#10;SbTqmGOBcydyvXYkfsCd1tfdFHI0tzIrPLEc1C2uHdVhVz1ZunfFPQbbuve6e/2GfwAAAP//AwBQ&#10;SwMEFAAGAAgAAAAhAINpgBrfAAAACgEAAA8AAABkcnMvZG93bnJldi54bWxMj09LxDAQxe+C3yGM&#10;4M1NW6Gutekii3sQBGnXg97SZmyD+VOS7LZ+e8eTnoY37/HmN/VutYadMUTtnYB8kwFDN3il3Sjg&#10;7Xi42QKLSToljXco4Bsj7JrLi1pWyi+uxXOXRkYlLlZSwJTSXHEehwmtjBs/oyPv0wcrE8kwchXk&#10;QuXW8CLLSm6ldnRhkjPuJxy+upMV8Hx8OSxreCpfdb81un3vPlq9F+L6an18AJZwTX9h+MUndGiI&#10;qfcnpyIzpO9yQk8CioImBcri/hZYT05OG97U/P8LzQ8AAAD//wMAUEsBAi0AFAAGAAgAAAAhALaD&#10;OJL+AAAA4QEAABMAAAAAAAAAAAAAAAAAAAAAAFtDb250ZW50X1R5cGVzXS54bWxQSwECLQAUAAYA&#10;CAAAACEAOP0h/9YAAACUAQAACwAAAAAAAAAAAAAAAAAvAQAAX3JlbHMvLnJlbHNQSwECLQAUAAYA&#10;CAAAACEAJp22O8QCAABFBQAADgAAAAAAAAAAAAAAAAAuAgAAZHJzL2Uyb0RvYy54bWxQSwECLQAU&#10;AAYACAAAACEAg2mAGt8AAAAKAQAADwAAAAAAAAAAAAAAAAAeBQAAZHJzL2Rvd25yZXYueG1sUEsF&#10;BgAAAAAEAAQA8wAAACoGAAAAAA==&#10;" fillcolor="window" strokecolor="#f79646" strokeweight="2pt">
                      <v:path arrowok="t"/>
                      <v:textbox>
                        <w:txbxContent>
                          <w:p w14:paraId="5CE525F3" w14:textId="77777777" w:rsidR="0068193E" w:rsidRDefault="0068193E" w:rsidP="00A10D24">
                            <w:pPr>
                              <w:spacing w:after="0" w:line="240" w:lineRule="auto"/>
                              <w:jc w:val="center"/>
                            </w:pPr>
                            <w:r>
                              <w:t xml:space="preserve">Правление, </w:t>
                            </w:r>
                          </w:p>
                          <w:p w14:paraId="5DEDCE24" w14:textId="77777777" w:rsidR="0068193E" w:rsidRDefault="0068193E" w:rsidP="00A10D24">
                            <w:pPr>
                              <w:spacing w:after="0" w:line="240" w:lineRule="auto"/>
                              <w:jc w:val="center"/>
                            </w:pPr>
                            <w:r>
                              <w:t xml:space="preserve">Председатель Правления </w:t>
                            </w:r>
                          </w:p>
                        </w:txbxContent>
                      </v:textbox>
                    </v:roundrect>
                  </w:pict>
                </mc:Fallback>
              </mc:AlternateContent>
            </w:r>
          </w:p>
        </w:tc>
      </w:tr>
      <w:tr w:rsidR="00A10D24" w:rsidRPr="00A10D24" w14:paraId="161FCD0A" w14:textId="77777777" w:rsidTr="00F73763">
        <w:trPr>
          <w:trHeight w:val="4046"/>
        </w:trPr>
        <w:tc>
          <w:tcPr>
            <w:tcW w:w="9365" w:type="dxa"/>
          </w:tcPr>
          <w:p w14:paraId="253C51EE"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r w:rsidRPr="00A10D24">
              <w:rPr>
                <w:rFonts w:ascii="Calibri" w:eastAsia="Calibri" w:hAnsi="Calibri" w:cs="Times New Roman"/>
                <w:noProof/>
                <w:lang w:eastAsia="ru-RU"/>
              </w:rPr>
              <mc:AlternateContent>
                <mc:Choice Requires="wps">
                  <w:drawing>
                    <wp:anchor distT="0" distB="0" distL="114299" distR="114299" simplePos="0" relativeHeight="251715584" behindDoc="0" locked="0" layoutInCell="1" allowOverlap="1" wp14:anchorId="03DDB357" wp14:editId="6B35D490">
                      <wp:simplePos x="0" y="0"/>
                      <wp:positionH relativeFrom="column">
                        <wp:posOffset>5221606</wp:posOffset>
                      </wp:positionH>
                      <wp:positionV relativeFrom="page">
                        <wp:posOffset>1804670</wp:posOffset>
                      </wp:positionV>
                      <wp:extent cx="45719" cy="533400"/>
                      <wp:effectExtent l="76200" t="38100" r="6921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6441E2" id="Прямая со стрелкой 45" o:spid="_x0000_s1026" type="#_x0000_t32" style="position:absolute;margin-left:411.15pt;margin-top:142.1pt;width:3.6pt;height:42pt;flip:x 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ILLwIAAAIEAAAOAAAAZHJzL2Uyb0RvYy54bWysU81uEzEQviPxDpbvZDdpAk2UTSUSAocC&#10;kQrcJ17vroXXtmyTTW6lL9BH4BW4cOBHfYbNGzH2pmkLN8RlNJ7xfP5m5vP0bFtLsuHWCa0y2u+l&#10;lHDFdC5UmdH375ZPTilxHlQOUiue0R139Gz2+NG0MRM+0JWWObcEQZSbNCajlfdmkiSOVbwG19OG&#10;K0wW2tbg8WjLJLfQIHotk0GaPk0abXNjNePOYXTRJeks4hcFZ/5tUTjuicwocvPR2mjXwSazKUxK&#10;C6YS7EAD/oFFDULho0eoBXggn6z4C6oWzGqnC99juk50UQjGYw/YTT/9o5uLCgyPveBwnDmOyf0/&#10;WPZms7JE5BkdjihRUOOO2i/7y/11+6v9ur8m+8/tDZr91f6y/db+bH+0N+13gpdxco1xEwSYq5UN&#10;vbOtujDnmn10mEseJMPBme7atrA1KaQwr1AwNHofghcgcCBkG7ezO26Hbz1hGByOnvXHlDDMjE5O&#10;hmlcXgKTgBdqjXX+Jdc1CU5GnbcgysrPtVIoA227F2Bz7nzgd1cQipVeCimjGqQiTUbHowEOhAFq&#10;spDg0a0NTsmpkhKQJYqdeRs5Oy1FHqoDjrPlei4t2QAKbrg87T9fdJcqyHkXHY/SjjveBv9a5124&#10;n97GkdoBJtJ8gB96W4CrupqY6jTsQcgXKid+Z3CFYK1uQgKxpArEePwMh97v1hG8tc53K3u7MxRa&#10;LDt8iqDk+2f073/d2W8AAAD//wMAUEsDBBQABgAIAAAAIQB42kj74AAAAAsBAAAPAAAAZHJzL2Rv&#10;d25yZXYueG1sTI/BTsMwEETvSPyDtZW4UacOpG6IUwESUiVOtCCubrwkUeN1ZLtt+PuaEz2u5mnm&#10;bbWe7MBO6EPvSMFingFDapzpqVXwuXu7l8BC1GT04AgV/GKAdX17U+nSuDN94GkbW5ZKKJRaQRfj&#10;WHIemg6tDnM3IqXsx3mrYzp9y43X51RuBy6yrOBW95QWOj3ia4fNYXu0Cnb6ZfnuNqPM/de3K4xY&#10;rhaTV+puNj0/AYs4xX8Y/vSTOtTJae+OZAIbFEgh8oQqEPJBAEuEFKtHYHsFeSEF8Lri1z/UFwAA&#10;AP//AwBQSwECLQAUAAYACAAAACEAtoM4kv4AAADhAQAAEwAAAAAAAAAAAAAAAAAAAAAAW0NvbnRl&#10;bnRfVHlwZXNdLnhtbFBLAQItABQABgAIAAAAIQA4/SH/1gAAAJQBAAALAAAAAAAAAAAAAAAAAC8B&#10;AABfcmVscy8ucmVsc1BLAQItABQABgAIAAAAIQBub5ILLwIAAAIEAAAOAAAAAAAAAAAAAAAAAC4C&#10;AABkcnMvZTJvRG9jLnhtbFBLAQItABQABgAIAAAAIQB42kj74AAAAAsBAAAPAAAAAAAAAAAAAAAA&#10;AIkEAABkcnMvZG93bnJldi54bWxQSwUGAAAAAAQABADzAAAAlgUAAAAA&#10;" strokecolor="#4a7ebb">
                      <v:stroke endarrow="open"/>
                      <o:lock v:ext="edit" shapetype="f"/>
                      <w10:wrap anchory="page"/>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0B288EDA" wp14:editId="2DFD0276">
                      <wp:simplePos x="0" y="0"/>
                      <wp:positionH relativeFrom="column">
                        <wp:posOffset>4533900</wp:posOffset>
                      </wp:positionH>
                      <wp:positionV relativeFrom="paragraph">
                        <wp:posOffset>2340610</wp:posOffset>
                      </wp:positionV>
                      <wp:extent cx="1485900" cy="6858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14:paraId="2B6F0EE9" w14:textId="77777777" w:rsidR="0068193E" w:rsidRDefault="0068193E" w:rsidP="00A10D24">
                                  <w:pPr>
                                    <w:spacing w:after="0"/>
                                    <w:jc w:val="center"/>
                                  </w:pPr>
                                  <w:r>
                                    <w:t>Служба финансового мониторинга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288EDA" id="Прямоугольник 50" o:spid="_x0000_s1043" style="position:absolute;margin-left:357pt;margin-top:184.3pt;width:117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q7pwIAACkFAAAOAAAAZHJzL2Uyb0RvYy54bWysVM1qGzEQvhf6DkL3Zm1jO86SdTAJLgWT&#10;BJKSs6zV2ku1GlWSveueCr0W+gh9iF5Kf/IM6zfqSLt2nDSnUh3EjGY0P5++0elZVUiyFsbmoBLa&#10;PepQIhSHNFeLhL69nb4aUWIdUymToERCN8LSs/HLF6eljkUPliBTYQgGUTYudUKXzuk4iixfioLZ&#10;I9BCoTEDUzCHqllEqWElRi9k1Ot0hlEJJtUGuLAWTy8aIx2H+FkmuLvKMisckQnF2lzYTdjnfo/G&#10;pyxeGKaXOW/LYP9QRcFyhUn3oS6YY2Rl8r9CFTk3YCFzRxyKCLIs5yL0gN10O0+6uVkyLUIvCI7V&#10;e5js/wvLL9fXhuRpQgcIj2IFvlH9dftx+6X+Vd9vP9Xf6vv65/Zz/bv+Xv8g6ISIldrGePFGXxvf&#10;s9Uz4O8sGqJHFq/Y1qfKTOF9sWNSBfg3e/hF5QjHw25/NDjpYBkcbcPRYISyD8ri3W1trHstoCBe&#10;SKjB5w2os/XMusZ15xIKA5mn01zKoGzsuTRkzZAJSKAUSkoksw4PEzoNq81mD69JRcqE9gb9UBhD&#10;imaSOayx0AiaVQtKmFwg97kzoZZHt61ZzPdZp8cnw/7wuSS+6Atml011IULrJpWvXQQmtz0+wOol&#10;V82r8H7dENkfzSHd4KMaaNhuNZ/mmGCGzV4zg/RGiHFk3RVumQRsD1qJkiWYD8+de39kHVopKXFc&#10;sPX3K2YEYvhGIR9Puv2+n6+g9AfHPVTMoWV+aFGr4hzwHbr4OWgeRO/v5E7MDBR3ONkTnxVNTHHM&#10;3YDcKueuGWP8G7iYTIIbzpRmbqZuNPfBPXQe2tvqjhndksYh3S5hN1osfsKdxtffVDBZOcjyQKwH&#10;XFuW4zwGarZ/hx/4Qz14Pfxw4z8AAAD//wMAUEsDBBQABgAIAAAAIQCFmrjg4wAAAAsBAAAPAAAA&#10;ZHJzL2Rvd25yZXYueG1sTI9LT8MwEITvSPwHa5G4UacQ3BCyqVoiDhyo6AMkbm5skqh+RLHbhn/P&#10;coLj7IxmvynmozXspIfQeYcwnSTAtKu96lyDsNs+32TAQpROSeOdRvjWAebl5UUhc+XPbq1Pm9gw&#10;KnEhlwhtjH3OeahbbWWY+F478r78YGUkOTRcDfJM5dbw2yQR3MrO0YdW9vqp1fVhc7QIn8vV6nX5&#10;8b6oTPVWbyv1YrrDPeL11bh4BBb1GP/C8ItP6FAS094fnQrMIMymKW2JCHciE8Ao8ZBmdNkjpDMh&#10;gJcF/7+h/AEAAP//AwBQSwECLQAUAAYACAAAACEAtoM4kv4AAADhAQAAEwAAAAAAAAAAAAAAAAAA&#10;AAAAW0NvbnRlbnRfVHlwZXNdLnhtbFBLAQItABQABgAIAAAAIQA4/SH/1gAAAJQBAAALAAAAAAAA&#10;AAAAAAAAAC8BAABfcmVscy8ucmVsc1BLAQItABQABgAIAAAAIQDblnq7pwIAACkFAAAOAAAAAAAA&#10;AAAAAAAAAC4CAABkcnMvZTJvRG9jLnhtbFBLAQItABQABgAIAAAAIQCFmrjg4wAAAAsBAAAPAAAA&#10;AAAAAAAAAAAAAAEFAABkcnMvZG93bnJldi54bWxQSwUGAAAAAAQABADzAAAAEQYAAAAA&#10;" fillcolor="window" strokecolor="#f79646" strokeweight="2pt">
                      <v:path arrowok="t"/>
                      <v:textbox>
                        <w:txbxContent>
                          <w:p w14:paraId="2B6F0EE9" w14:textId="77777777" w:rsidR="0068193E" w:rsidRDefault="0068193E" w:rsidP="00A10D24">
                            <w:pPr>
                              <w:spacing w:after="0"/>
                              <w:jc w:val="center"/>
                            </w:pPr>
                            <w:r>
                              <w:t>Служба финансового мониторинга</w:t>
                            </w:r>
                          </w:p>
                        </w:txbxContent>
                      </v:textbox>
                    </v:rect>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6608" behindDoc="0" locked="0" layoutInCell="1" allowOverlap="1" wp14:anchorId="5E54245C" wp14:editId="5D03BFCD">
                      <wp:simplePos x="0" y="0"/>
                      <wp:positionH relativeFrom="column">
                        <wp:posOffset>3712845</wp:posOffset>
                      </wp:positionH>
                      <wp:positionV relativeFrom="paragraph">
                        <wp:posOffset>486410</wp:posOffset>
                      </wp:positionV>
                      <wp:extent cx="1554480" cy="624840"/>
                      <wp:effectExtent l="38100" t="38100" r="26670"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54480" cy="624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EC8BE1" id="Прямая со стрелкой 46" o:spid="_x0000_s1026" type="#_x0000_t32" style="position:absolute;margin-left:292.35pt;margin-top:38.3pt;width:122.4pt;height:49.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MAIAAAQEAAAOAAAAZHJzL2Uyb0RvYy54bWysU81uEzEQviPxDpbvZDdREqVRNpVICBwK&#10;RCpwn3i9uxZe27JNNrkVXqCP0FfgwoEf9Rk2b8TYm6Yt3BCX0XjG8/mbmc+z810tyZZbJ7TKaL+X&#10;UsIV07lQZUbfv1s9m1DiPKgcpFY8o3vu6Pn86ZNZY6Z8oCstc24Jgig3bUxGK+/NNEkcq3gNrqcN&#10;V5gstK3B49GWSW6hQfRaJoM0HSeNtrmxmnHnMLrsknQe8YuCM/+2KBz3RGYUuflobbSbYJP5DKal&#10;BVMJdqQB/8CiBqHw0RPUEjyQT1b8BVULZrXThe8xXSe6KATjsQfspp/+0c1lBYbHXnA4zpzG5P4f&#10;LHuzXVsi8owOx5QoqHFH7c3h6nDd/mq/Hq7J4XN7i+bw5XDVfmt/tj/a2/Y7wcs4uca4KQIs1NqG&#10;3tlOXZoLzT46zCWPkuHgTHdtV9iaFFKYVygYGr0PwQsQOBCyi9vZn7bDd54wDPZHo+FwgktkmBsP&#10;hpNhXF8C04AYqo11/iXXNQlORp23IMrKL7RSKARtuzdge+F8YHhfEIqVXgkpox6kIk1Gz0aDET4G&#10;qMpCgke3Njgnp0pKQJYod+ZtZO20FHmoDjjOlpuFtGQLKLnhatJ/vuwuVZDzLno2StOj9Bz41zrv&#10;wv30Lo7UjjCR5iP80NsSXNXVxFSnYg9CvlA58XuDSwRrdRMSiCVVIMbjdzj2fr+Q4G10vl/bu62h&#10;1GLZ8VsELT88o//w885/AwAA//8DAFBLAwQUAAYACAAAACEAaFyHed8AAAAKAQAADwAAAGRycy9k&#10;b3ducmV2LnhtbEyPy07DMBBF90j8gzVI7KjTQB5N41SAhITEihbEdhpPk4h4HNluG/4es6LL0T26&#10;90y9mc0oTuT8YFnBcpGAIG6tHrhT8LF7uStB+ICscbRMCn7Iw6a5vqqx0vbM73Tahk7EEvYVKuhD&#10;mCopfduTQb+wE3HMDtYZDPF0ndQOz7HcjDJNklwaHDgu9DjRc0/t9/ZoFOzwqXizr1N57z6/bK7T&#10;YrWcnVK3N/PjGkSgOfzD8Kcf1aGJTnt7ZO3FqCArH4qIKijyHEQEynSVgdhHssgSkE0tL19ofgEA&#10;AP//AwBQSwECLQAUAAYACAAAACEAtoM4kv4AAADhAQAAEwAAAAAAAAAAAAAAAAAAAAAAW0NvbnRl&#10;bnRfVHlwZXNdLnhtbFBLAQItABQABgAIAAAAIQA4/SH/1gAAAJQBAAALAAAAAAAAAAAAAAAAAC8B&#10;AABfcmVscy8ucmVsc1BLAQItABQABgAIAAAAIQC/eyTrMAIAAAQEAAAOAAAAAAAAAAAAAAAAAC4C&#10;AABkcnMvZTJvRG9jLnhtbFBLAQItABQABgAIAAAAIQBoXId53wAAAAoBAAAPAAAAAAAAAAAAAAAA&#10;AIoEAABkcnMvZG93bnJldi54bWxQSwUGAAAAAAQABADzAAAAlgU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73E20844" wp14:editId="41640F04">
                      <wp:simplePos x="0" y="0"/>
                      <wp:positionH relativeFrom="column">
                        <wp:posOffset>4511040</wp:posOffset>
                      </wp:positionH>
                      <wp:positionV relativeFrom="paragraph">
                        <wp:posOffset>1115695</wp:posOffset>
                      </wp:positionV>
                      <wp:extent cx="1485900" cy="6858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ect">
                                <a:avLst/>
                              </a:prstGeom>
                              <a:solidFill>
                                <a:sysClr val="window" lastClr="FFFFFF"/>
                              </a:solidFill>
                              <a:ln w="25400" cap="flat" cmpd="sng" algn="ctr">
                                <a:solidFill>
                                  <a:srgbClr val="F79646"/>
                                </a:solidFill>
                                <a:prstDash val="solid"/>
                              </a:ln>
                              <a:effectLst/>
                            </wps:spPr>
                            <wps:txbx>
                              <w:txbxContent>
                                <w:p w14:paraId="1BDD3B70" w14:textId="77777777" w:rsidR="0068193E" w:rsidRDefault="0068193E" w:rsidP="00A10D24">
                                  <w:pPr>
                                    <w:spacing w:after="0"/>
                                    <w:jc w:val="center"/>
                                  </w:pPr>
                                  <w:r>
                                    <w:t>Заместитель Председателя 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E20844" id="Прямоугольник 47" o:spid="_x0000_s1044" style="position:absolute;margin-left:355.2pt;margin-top:87.85pt;width:117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GYqAIAACkFAAAOAAAAZHJzL2Uyb0RvYy54bWysVEtu2zAQ3RfoHQjuG9mG7DhC5MBI4KKA&#10;kQRIiqxpirSEUiRL0pbcVYFuC/QIPUQ3RT85g3yjDinZcdKsimohzHCG83nzhqdndSnQmhlbKJni&#10;/lEPIyapygq5TPHb29mrMUbWEZkRoSRL8YZZfDZ5+eK00gkbqFyJjBkEQaRNKp3i3DmdRJGlOSuJ&#10;PVKaSTByZUriQDXLKDOkguiliAa93iiqlMm0UZRZC6cXrRFPQnzOGXVXnFvmkEgx1ObC34T/wv+j&#10;ySlJlobovKBdGeQfqihJISHpPtQFcQStTPFXqLKgRlnF3RFVZaQ4LygLPUA3/d6Tbm5yolnoBcCx&#10;eg+T/X9h6eX62qAiS3F8jJEkJcyo+br9uP3S/Grut5+ab81983P7ufndfG9+IHACxCptE7h4o6+N&#10;79nquaLvLBiiRxav2M6n5qb0vtAxqgP8mz38rHaIwmE/Hg9PejAlCrbReDgG2Qclye62Nta9ZqpE&#10;XkixgfEG1Ml6bl3runMJhSlRZLNCiKBs7LkwaE2ACUCgTFUYCWIdHKZ4Fr4umz28JiSqUjwYxqEw&#10;AhTlgjiosdQAmpVLjIhYAvepM6GWR7etWS72WWfHJ6N49FwSX/QFsXlbXYjQuQnpa2eByV2PD7B6&#10;ydWLOsyvvx/NQmUbGKpRLdutprMCEsyh2WtigN4AMaysu4IfFwraU52EUa7Mh+fOvT+wDqwYVbAu&#10;0Pr7FTEMMHwjgY8n/Tj2+xWUeHg8AMUcWhaHFrkqzxXMoQ+Pg6ZB9P5O7ERuVHkHmz31WcFEJIXc&#10;Lcidcu7aNYa3gbLpNLjBTmni5vJGUx/cQ+ehva3viNEdaRzQ7VLtVoskT7jT+vqbUk1XTvEiEMtD&#10;3eLasRz2MVCzezv8wh/qwevhhZv8AQAA//8DAFBLAwQUAAYACAAAACEA9ctLreMAAAALAQAADwAA&#10;AGRycy9kb3ducmV2LnhtbEyPwU7DMAyG70i8Q2Qkbizd6OgoTaeNigOHTbABEresMW21xJmabCtv&#10;jznB0f4//f5czAdnxQn70HlSMB4lIJBqbzpqFLxtn25mIELUZLT1hAq+McC8vLwodG78mV7xtImN&#10;4BIKuVbQxnjIpQx1i06HkT8gcfble6cjj30jTa/PXO6snCTJnXS6I77Q6gM+tljvN0en4HO5Xq+W&#10;H++LylYv9bYyz7bbT5W6vhoWDyAiDvEPhl99VoeSnXb+SCYIqyAbJymjHGTTDAQT92nKm52Cyew2&#10;A1kW8v8P5Q8AAAD//wMAUEsBAi0AFAAGAAgAAAAhALaDOJL+AAAA4QEAABMAAAAAAAAAAAAAAAAA&#10;AAAAAFtDb250ZW50X1R5cGVzXS54bWxQSwECLQAUAAYACAAAACEAOP0h/9YAAACUAQAACwAAAAAA&#10;AAAAAAAAAAAvAQAAX3JlbHMvLnJlbHNQSwECLQAUAAYACAAAACEAN2eRmKgCAAApBQAADgAAAAAA&#10;AAAAAAAAAAAuAgAAZHJzL2Uyb0RvYy54bWxQSwECLQAUAAYACAAAACEA9ctLreMAAAALAQAADwAA&#10;AAAAAAAAAAAAAAACBQAAZHJzL2Rvd25yZXYueG1sUEsFBgAAAAAEAAQA8wAAABIGAAAAAA==&#10;" fillcolor="window" strokecolor="#f79646" strokeweight="2pt">
                      <v:path arrowok="t"/>
                      <v:textbox>
                        <w:txbxContent>
                          <w:p w14:paraId="1BDD3B70" w14:textId="77777777" w:rsidR="0068193E" w:rsidRDefault="0068193E" w:rsidP="00A10D24">
                            <w:pPr>
                              <w:spacing w:after="0"/>
                              <w:jc w:val="center"/>
                            </w:pPr>
                            <w:r>
                              <w:t>Заместитель Председателя Правления</w:t>
                            </w:r>
                          </w:p>
                        </w:txbxContent>
                      </v:textbox>
                    </v:rect>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36A0DF1A" wp14:editId="549BA955">
                      <wp:simplePos x="0" y="0"/>
                      <wp:positionH relativeFrom="column">
                        <wp:posOffset>382905</wp:posOffset>
                      </wp:positionH>
                      <wp:positionV relativeFrom="paragraph">
                        <wp:posOffset>486410</wp:posOffset>
                      </wp:positionV>
                      <wp:extent cx="952500" cy="624840"/>
                      <wp:effectExtent l="0" t="38100" r="57150" b="228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624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4C0073" id="Прямая со стрелкой 48" o:spid="_x0000_s1026" type="#_x0000_t32" style="position:absolute;margin-left:30.15pt;margin-top:38.3pt;width:75pt;height:49.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JgIAAPkDAAAOAAAAZHJzL2Uyb0RvYy54bWysU81uEzEQviPxDpbvZDdRWqWrbCqREC4F&#10;KhW4T7zeXQuvbdkmm9wKL9BH4BW4cOBHfYbdN2LsTdMWboiLNZ7xfPPzfZ6f7xpJttw6oVVOx6OU&#10;Eq6YLoSqcvru7frZjBLnQRUgteI53XNHzxdPn8xbk/GJrrUsuCUIolzWmpzW3pssSRyreQNupA1X&#10;GCy1bcDj1VZJYaFF9EYmkzQ9TVptC2M1486hdzUE6SLilyVn/k1ZOu6JzCn25uNp47kJZ7KYQ1ZZ&#10;MLVghzbgH7poQCgseoRagQfy0Yq/oBrBrHa69COmm0SXpWA8zoDTjNM/prmqwfA4Cy7HmeOa3P+D&#10;Za+3l5aIIqdTZEpBgxx1X/rr/qb71X3tb0j/qbvFo//cX3ffup/dj+62+07wMW6uNS5DgKW6tGF2&#10;tlNX5kKzDw5jyaNguDgzPNuVtiGlFOY9CiYuDddAdpGT/ZETvvOEofPsZHKSInMMQ6eT6WwaOUsg&#10;CzChqrHOv+S6IcHIqfMWRFX7pVYK2dd2KAHbC+dDW/cJIVnptZAyikAq0g7lsBigFEsJHs3G4HKc&#10;qigBWaHGmbexaaelKEJ2wHG22iylJVtAnU3Xs/Hz1fCohoIP3jMc46A3B/6VLgb3OL3zY2sHmNjm&#10;I/ww2wpcPeTE0CBdD0K+UAXxe4PMgbW6DQHEkio0xuMfOMx+z0KwNrrYX9o7qlBfMe3wF4KAH97R&#10;fvhjF78BAAD//wMAUEsDBBQABgAIAAAAIQBuvAAU3wAAAAkBAAAPAAAAZHJzL2Rvd25yZXYueG1s&#10;TI/BTsMwDIbvSLxDZCRuLFmndqg0nQCJww4cKJUmbllj2mqNUzXZVnh6vBM72v+n35+LzewGccIp&#10;9J40LBcKBFLjbU+thvrz7eERRIiGrBk8oYYfDLApb28Kk1t/pg88VbEVXEIhNxq6GMdcytB06ExY&#10;+BGJs28/ORN5nFppJ3PmcjfIRKlMOtMTX+jMiK8dNofq6DT47e7gv15q9ZvW6WqXzGP1vk21vr+b&#10;n59ARJzjPwwXfVaHkp32/kg2iEFDplZMalhnGQjOk+VlsWdwnSqQZSGvPyj/AAAA//8DAFBLAQIt&#10;ABQABgAIAAAAIQC2gziS/gAAAOEBAAATAAAAAAAAAAAAAAAAAAAAAABbQ29udGVudF9UeXBlc10u&#10;eG1sUEsBAi0AFAAGAAgAAAAhADj9If/WAAAAlAEAAAsAAAAAAAAAAAAAAAAALwEAAF9yZWxzLy5y&#10;ZWxzUEsBAi0AFAAGAAgAAAAhAJ//8uQmAgAA+QMAAA4AAAAAAAAAAAAAAAAALgIAAGRycy9lMm9E&#10;b2MueG1sUEsBAi0AFAAGAAgAAAAhAG68ABTfAAAACQEAAA8AAAAAAAAAAAAAAAAAgAQAAGRycy9k&#10;b3ducmV2LnhtbFBLBQYAAAAABAAEAPMAAACMBQAAAAA=&#10;" strokecolor="#4a7ebb">
                      <v:stroke endarrow="open"/>
                      <o:lock v:ext="edit" shapetype="f"/>
                    </v:shape>
                  </w:pict>
                </mc:Fallback>
              </mc:AlternateContent>
            </w:r>
            <w:r w:rsidRPr="00A10D24">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72BC0741" wp14:editId="326F3F9A">
                      <wp:simplePos x="0" y="0"/>
                      <wp:positionH relativeFrom="column">
                        <wp:posOffset>1122045</wp:posOffset>
                      </wp:positionH>
                      <wp:positionV relativeFrom="paragraph">
                        <wp:posOffset>2009775</wp:posOffset>
                      </wp:positionV>
                      <wp:extent cx="2800350" cy="14859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1485900"/>
                              </a:xfrm>
                              <a:prstGeom prst="rect">
                                <a:avLst/>
                              </a:prstGeom>
                              <a:solidFill>
                                <a:sysClr val="window" lastClr="FFFFFF"/>
                              </a:solidFill>
                              <a:ln w="25400" cap="flat" cmpd="sng" algn="ctr">
                                <a:solidFill>
                                  <a:srgbClr val="F79646"/>
                                </a:solidFill>
                                <a:prstDash val="solid"/>
                              </a:ln>
                              <a:effectLst/>
                            </wps:spPr>
                            <wps:txbx>
                              <w:txbxContent>
                                <w:p w14:paraId="10DACBC4" w14:textId="77777777" w:rsidR="0068193E" w:rsidRDefault="0068193E" w:rsidP="00A10D24">
                                  <w:pPr>
                                    <w:spacing w:after="0" w:line="240" w:lineRule="auto"/>
                                    <w:jc w:val="both"/>
                                  </w:pPr>
                                  <w:r>
                                    <w:t>Департамент анализа и контроля рисков;</w:t>
                                  </w:r>
                                </w:p>
                                <w:p w14:paraId="34C7E72F" w14:textId="77777777" w:rsidR="0068193E" w:rsidRDefault="0068193E" w:rsidP="00A10D24">
                                  <w:pPr>
                                    <w:spacing w:after="0" w:line="240" w:lineRule="auto"/>
                                    <w:jc w:val="both"/>
                                  </w:pPr>
                                  <w:r>
                                    <w:t>Ответственный сотрудник по правовым вопросам;</w:t>
                                  </w:r>
                                </w:p>
                                <w:p w14:paraId="73FCCCC3" w14:textId="77777777" w:rsidR="0068193E" w:rsidRDefault="0068193E" w:rsidP="00A10D24">
                                  <w:pPr>
                                    <w:spacing w:after="0" w:line="240" w:lineRule="auto"/>
                                    <w:jc w:val="both"/>
                                  </w:pPr>
                                  <w:r>
                                    <w:t>Ответственный сотрудник по управлению риском потери деловой репутации;</w:t>
                                  </w:r>
                                </w:p>
                                <w:p w14:paraId="44485B1D" w14:textId="77777777" w:rsidR="0068193E" w:rsidRDefault="0068193E" w:rsidP="00A10D24">
                                  <w:pPr>
                                    <w:spacing w:after="0" w:line="240" w:lineRule="auto"/>
                                    <w:jc w:val="both"/>
                                  </w:pPr>
                                  <w:r>
                                    <w:t>Должностное лицо, ответственное за управление операционным и</w:t>
                                  </w:r>
                                  <w:r w:rsidRPr="00E9090A">
                                    <w:t xml:space="preserve"> </w:t>
                                  </w:r>
                                  <w:r>
                                    <w:t xml:space="preserve">стратегическим риском. </w:t>
                                  </w:r>
                                </w:p>
                                <w:p w14:paraId="26DC2E32" w14:textId="77777777" w:rsidR="0068193E" w:rsidRDefault="0068193E" w:rsidP="00A10D24">
                                  <w:pPr>
                                    <w:spacing w:after="0" w:line="240" w:lineRule="auto"/>
                                    <w:jc w:val="both"/>
                                  </w:pPr>
                                </w:p>
                                <w:p w14:paraId="67E4F2A7" w14:textId="77777777" w:rsidR="0068193E" w:rsidRDefault="0068193E" w:rsidP="00A10D24">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C0741" id="Прямоугольник 44" o:spid="_x0000_s1045" style="position:absolute;margin-left:88.35pt;margin-top:158.25pt;width:220.5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DrgIAACoFAAAOAAAAZHJzL2Uyb0RvYy54bWysVEtu2zAQ3RfoHQjuG8munDhC5MBI4KKA&#10;kQRIiqzHFGULpUiWpC27qwLdBugReohuin5yBvlGHdKy46RZFdVCmOEM5/PmDU9Ol5UgC25sqWRG&#10;OwcxJVwylZdymtF3N6NXfUqsA5mDUJJndMUtPR28fHFS65R31UyJnBuCQaRNa53RmXM6jSLLZrwC&#10;e6A0l2gslKnAoWqmUW6gxuiViLpxfBjVyuTaKMatxdPzjZEOQvyi4MxdFoXljoiMYm0u/E34T/w/&#10;GpxAOjWgZyVry4B/qKKCUmLSXahzcEDmpvwrVFUyo6wq3AFTVaSKomQ89IDddOIn3VzPQPPQC4Jj&#10;9Q4m+//CsovFlSFlntEkoURChTNqvq4/rb80v5r79efmW3Pf/FzfNb+b780Pgk6IWK1tihev9ZXx&#10;PVs9Vuy9RUP0yOIV2/osC1N5X+yYLAP8qx38fOkIw8NuP45f93BKDG2dpN87jsOAIki317Wx7g1X&#10;FfFCRg3ON8AOi7F1vgBIty6hMiXKfFQKEZSVPROGLACpgAzKVU2JAOvwMKOj8PnmMITdvyYkqbG2&#10;XoLFEAbI0UKAQ7HSiJqVU0pATJH8zJlQy6Pb1kwnu6yjo+PD5PC5JL7oc7CzTXUhQusmpK+dByq3&#10;PT7g6iW3nCzDADv97WwmKl/hVI3a0N1qNioxwRibvQKD/MZOcGfdJf4KobA91UqUzJT5+Ny590fa&#10;oZWSGvcFW/8wB8MRw7cSCXncSRK/YEFJekddVMy+ZbJvkfPqTOEcOvg6aBZE7+/EViyMqm5xtYc+&#10;K5pAMsy9AblVztxmj/FxYHw4DG64VBrcWF5r5oN76Dy0N8tbMLoljUO+XajtbkH6hDsbX39TquHc&#10;qaIMxPJQb3BtaY4LGcjSPh5+4/f14PXwxA3+AAAA//8DAFBLAwQUAAYACAAAACEA68+O1OIAAAAL&#10;AQAADwAAAGRycy9kb3ducmV2LnhtbEyPwU7DMAyG70i8Q2QkbiwtKC0qTaeNigMHprGxSdyyJrTV&#10;Eqdqsq28PeYEx9/+9PtzOZ+cZWczht6jhHSWADPYeN1jK+Fj+3L3CCxEhVpZj0bCtwkwr66vSlVo&#10;f8F3c97EllEJhkJJ6GIcCs5D0xmnwswPBmn35UenIsWx5XpUFyp3lt8nScad6pEudGowz51pjpuT&#10;k/C5XK3elvvdorb1utnW+tX2RyHl7c20eAIWzRT/YPjVJ3WoyOngT6gDs5TzLCdUwkOaCWBEZGlO&#10;k4MEIRIBvCr5/x+qHwAAAP//AwBQSwECLQAUAAYACAAAACEAtoM4kv4AAADhAQAAEwAAAAAAAAAA&#10;AAAAAAAAAAAAW0NvbnRlbnRfVHlwZXNdLnhtbFBLAQItABQABgAIAAAAIQA4/SH/1gAAAJQBAAAL&#10;AAAAAAAAAAAAAAAAAC8BAABfcmVscy8ucmVsc1BLAQItABQABgAIAAAAIQB2N+EDrgIAACoFAAAO&#10;AAAAAAAAAAAAAAAAAC4CAABkcnMvZTJvRG9jLnhtbFBLAQItABQABgAIAAAAIQDrz47U4gAAAAsB&#10;AAAPAAAAAAAAAAAAAAAAAAgFAABkcnMvZG93bnJldi54bWxQSwUGAAAAAAQABADzAAAAFwYAAAAA&#10;" fillcolor="window" strokecolor="#f79646" strokeweight="2pt">
                      <v:path arrowok="t"/>
                      <v:textbox>
                        <w:txbxContent>
                          <w:p w14:paraId="10DACBC4" w14:textId="77777777" w:rsidR="0068193E" w:rsidRDefault="0068193E" w:rsidP="00A10D24">
                            <w:pPr>
                              <w:spacing w:after="0" w:line="240" w:lineRule="auto"/>
                              <w:jc w:val="both"/>
                            </w:pPr>
                            <w:r>
                              <w:t>Департамент анализа и контроля рисков;</w:t>
                            </w:r>
                          </w:p>
                          <w:p w14:paraId="34C7E72F" w14:textId="77777777" w:rsidR="0068193E" w:rsidRDefault="0068193E" w:rsidP="00A10D24">
                            <w:pPr>
                              <w:spacing w:after="0" w:line="240" w:lineRule="auto"/>
                              <w:jc w:val="both"/>
                            </w:pPr>
                            <w:r>
                              <w:t>Ответственный сотрудник по правовым вопросам;</w:t>
                            </w:r>
                          </w:p>
                          <w:p w14:paraId="73FCCCC3" w14:textId="77777777" w:rsidR="0068193E" w:rsidRDefault="0068193E" w:rsidP="00A10D24">
                            <w:pPr>
                              <w:spacing w:after="0" w:line="240" w:lineRule="auto"/>
                              <w:jc w:val="both"/>
                            </w:pPr>
                            <w:r>
                              <w:t>Ответственный сотрудник по управлению риском потери деловой репутации;</w:t>
                            </w:r>
                          </w:p>
                          <w:p w14:paraId="44485B1D" w14:textId="77777777" w:rsidR="0068193E" w:rsidRDefault="0068193E" w:rsidP="00A10D24">
                            <w:pPr>
                              <w:spacing w:after="0" w:line="240" w:lineRule="auto"/>
                              <w:jc w:val="both"/>
                            </w:pPr>
                            <w:r>
                              <w:t>Должностное лицо, ответственное за управление операционным и</w:t>
                            </w:r>
                            <w:r w:rsidRPr="00E9090A">
                              <w:t xml:space="preserve"> </w:t>
                            </w:r>
                            <w:r>
                              <w:t xml:space="preserve">стратегическим риском. </w:t>
                            </w:r>
                          </w:p>
                          <w:p w14:paraId="26DC2E32" w14:textId="77777777" w:rsidR="0068193E" w:rsidRDefault="0068193E" w:rsidP="00A10D24">
                            <w:pPr>
                              <w:spacing w:after="0" w:line="240" w:lineRule="auto"/>
                              <w:jc w:val="both"/>
                            </w:pPr>
                          </w:p>
                          <w:p w14:paraId="67E4F2A7" w14:textId="77777777" w:rsidR="0068193E" w:rsidRDefault="0068193E" w:rsidP="00A10D24">
                            <w:pPr>
                              <w:spacing w:line="240" w:lineRule="auto"/>
                              <w:jc w:val="center"/>
                            </w:pPr>
                          </w:p>
                        </w:txbxContent>
                      </v:textbox>
                    </v:rect>
                  </w:pict>
                </mc:Fallback>
              </mc:AlternateContent>
            </w:r>
            <w:r w:rsidRPr="00A10D24">
              <w:rPr>
                <w:rFonts w:ascii="Calibri" w:eastAsia="Calibri" w:hAnsi="Calibri" w:cs="Times New Roman"/>
                <w:noProof/>
                <w:lang w:eastAsia="ru-RU"/>
              </w:rPr>
              <mc:AlternateContent>
                <mc:Choice Requires="wps">
                  <w:drawing>
                    <wp:anchor distT="0" distB="0" distL="114299" distR="114299" simplePos="0" relativeHeight="251708416" behindDoc="0" locked="0" layoutInCell="1" allowOverlap="1" wp14:anchorId="70E7BB81" wp14:editId="0511256D">
                      <wp:simplePos x="0" y="0"/>
                      <wp:positionH relativeFrom="column">
                        <wp:posOffset>2519680</wp:posOffset>
                      </wp:positionH>
                      <wp:positionV relativeFrom="paragraph">
                        <wp:posOffset>488950</wp:posOffset>
                      </wp:positionV>
                      <wp:extent cx="0" cy="1524000"/>
                      <wp:effectExtent l="95250" t="38100" r="57150"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24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B7297F" id="Прямая со стрелкой 49" o:spid="_x0000_s1026" type="#_x0000_t32" style="position:absolute;margin-left:198.4pt;margin-top:38.5pt;width:0;height:120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U3JAIAAPUDAAAOAAAAZHJzL2Uyb0RvYy54bWysU82O0zAQviPxDpbvNGnVom3VdCVaymWB&#10;Sgvcp46TWDi2ZZumvS28wD4Cr7AXDvxonyF5I8ZOt7sLN8TFGs/P529mPs/P97UkO26d0Cqjw0FK&#10;CVdM50KVGX3/bv3sjBLnQeUgteIZPXBHzxdPn8wbM+MjXWmZc0sQRLlZYzJaeW9mSeJYxWtwA224&#10;wmChbQ0er7ZMcgsNotcyGaXp86TRNjdWM+4celd9kC4iflFw5t8WheOeyIwiNx9PG89tOJPFHGal&#10;BVMJdqQB/8CiBqHw0RPUCjyQT1b8BVULZrXThR8wXSe6KATjsQfsZpj+0c1lBYbHXnA4zpzG5P4f&#10;LHuz21gi8oyOp5QoqHFH7dfuqrtuf7U33TXpPre3eHRfuqv2W/uz/dHett8JJuPkGuNmCLBUGxt6&#10;Z3t1aS40++gwljwKhoszfdq+sDUppDAfUDBxaDgGso87OZx2wveesN7J0DucjMZpGveVwCxAhBeN&#10;df4V1zUJRkadtyDKyi+1Urh5bXt42F04HyjdF4RipddCyigAqUiT0elkNKGEAcqwkODRrA0OxqmS&#10;EpAl6pt5Gwk7LUUeqgOOs+V2KS3ZAWpsvD4bvlj1SRXkvPdOJ0fumA3+tc579zC98yO1I0yk+Qg/&#10;9LYCV/U1MdTL1oOQL1VO/MHg1sBa3YQAYkkViPGo/2Pv9xsI1lbnh429WxNqK5Yd/0EQ78M72g9/&#10;6+I3AAAA//8DAFBLAwQUAAYACAAAACEA2TWTtN8AAAAKAQAADwAAAGRycy9kb3ducmV2LnhtbEyP&#10;MU/DQAyFdyT+w8lIbPTSVmkh5FIBEkMHBkKkiu2aM0nUnB3lrm3g12PEAJv9/PT8vXwz+V6dcAwd&#10;k4H5LAGFVLPrqDFQvT3f3IIK0ZKzPRMa+MQAm+LyIreZ4zO94qmMjZIQCpk10MY4ZFqHukVvw4wH&#10;JLl98OhtlHVstBvtWcJ9rxdJstLediQfWjvgU4v1oTx6A7zdHfj9sUq+0ipd7hbTUL5sU2Our6aH&#10;e1ARp/hnhh98QYdCmPZ8JBdUb2B5txL0aGC9lk5i+BX2MsxF0UWu/1covgEAAP//AwBQSwECLQAU&#10;AAYACAAAACEAtoM4kv4AAADhAQAAEwAAAAAAAAAAAAAAAAAAAAAAW0NvbnRlbnRfVHlwZXNdLnht&#10;bFBLAQItABQABgAIAAAAIQA4/SH/1gAAAJQBAAALAAAAAAAAAAAAAAAAAC8BAABfcmVscy8ucmVs&#10;c1BLAQItABQABgAIAAAAIQC8RwU3JAIAAPUDAAAOAAAAAAAAAAAAAAAAAC4CAABkcnMvZTJvRG9j&#10;LnhtbFBLAQItABQABgAIAAAAIQDZNZO03wAAAAoBAAAPAAAAAAAAAAAAAAAAAH4EAABkcnMvZG93&#10;bnJldi54bWxQSwUGAAAAAAQABADzAAAAigUAAAAA&#10;" strokecolor="#4a7ebb">
                      <v:stroke endarrow="open"/>
                      <o:lock v:ext="edit" shapetype="f"/>
                    </v:shape>
                  </w:pict>
                </mc:Fallback>
              </mc:AlternateContent>
            </w:r>
          </w:p>
        </w:tc>
      </w:tr>
      <w:tr w:rsidR="00A10D24" w:rsidRPr="00A10D24" w14:paraId="5661A840" w14:textId="77777777" w:rsidTr="00F73763">
        <w:trPr>
          <w:trHeight w:val="519"/>
        </w:trPr>
        <w:tc>
          <w:tcPr>
            <w:tcW w:w="9365" w:type="dxa"/>
          </w:tcPr>
          <w:p w14:paraId="5D09A73D"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p>
        </w:tc>
      </w:tr>
      <w:tr w:rsidR="00A10D24" w:rsidRPr="00A10D24" w14:paraId="0A871AF9" w14:textId="77777777" w:rsidTr="00F73763">
        <w:trPr>
          <w:trHeight w:val="201"/>
        </w:trPr>
        <w:tc>
          <w:tcPr>
            <w:tcW w:w="9365" w:type="dxa"/>
          </w:tcPr>
          <w:p w14:paraId="7B8077F6"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p>
        </w:tc>
      </w:tr>
      <w:tr w:rsidR="00A10D24" w:rsidRPr="00A10D24" w14:paraId="4EC8BDE1" w14:textId="77777777" w:rsidTr="00F73763">
        <w:trPr>
          <w:trHeight w:val="678"/>
        </w:trPr>
        <w:tc>
          <w:tcPr>
            <w:tcW w:w="9365" w:type="dxa"/>
          </w:tcPr>
          <w:p w14:paraId="7C2266A5" w14:textId="77777777" w:rsidR="00A10D24" w:rsidRPr="00A10D24" w:rsidRDefault="00A10D24" w:rsidP="00A10D24">
            <w:pPr>
              <w:autoSpaceDE w:val="0"/>
              <w:autoSpaceDN w:val="0"/>
              <w:adjustRightInd w:val="0"/>
              <w:spacing w:after="0" w:line="240" w:lineRule="auto"/>
              <w:rPr>
                <w:rFonts w:ascii="Times New Roman" w:eastAsia="Calibri" w:hAnsi="Times New Roman" w:cs="Times New Roman"/>
                <w:color w:val="000000"/>
                <w:sz w:val="23"/>
                <w:szCs w:val="23"/>
              </w:rPr>
            </w:pPr>
          </w:p>
        </w:tc>
      </w:tr>
    </w:tbl>
    <w:p w14:paraId="062936FC" w14:textId="77777777" w:rsidR="00A10D24" w:rsidRPr="00A10D24" w:rsidRDefault="00EA229E" w:rsidP="00A10D24">
      <w:pPr>
        <w:rPr>
          <w:rFonts w:ascii="Calibri" w:eastAsia="Calibri" w:hAnsi="Calibri" w:cs="Times New Roman"/>
          <w:noProof/>
          <w:lang w:eastAsia="ru-RU"/>
        </w:rPr>
      </w:pPr>
      <w:r w:rsidRPr="00A10D24">
        <w:rPr>
          <w:rFonts w:ascii="Calibri" w:eastAsia="Calibri" w:hAnsi="Calibri" w:cs="Times New Roman"/>
          <w:noProof/>
          <w:lang w:eastAsia="ru-RU"/>
        </w:rPr>
        <mc:AlternateContent>
          <mc:Choice Requires="wps">
            <w:drawing>
              <wp:anchor distT="0" distB="0" distL="114300" distR="114300" simplePos="0" relativeHeight="251720704" behindDoc="0" locked="0" layoutInCell="1" allowOverlap="1" wp14:anchorId="7DD566E3" wp14:editId="7ED91DAE">
                <wp:simplePos x="0" y="0"/>
                <wp:positionH relativeFrom="column">
                  <wp:posOffset>-441960</wp:posOffset>
                </wp:positionH>
                <wp:positionV relativeFrom="paragraph">
                  <wp:posOffset>213360</wp:posOffset>
                </wp:positionV>
                <wp:extent cx="6438900" cy="52387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23875"/>
                        </a:xfrm>
                        <a:prstGeom prst="rect">
                          <a:avLst/>
                        </a:prstGeom>
                        <a:solidFill>
                          <a:sysClr val="window" lastClr="FFFFFF"/>
                        </a:solidFill>
                        <a:ln w="25400" cap="flat" cmpd="sng" algn="ctr">
                          <a:solidFill>
                            <a:srgbClr val="F79646"/>
                          </a:solidFill>
                          <a:prstDash val="solid"/>
                        </a:ln>
                        <a:effectLst/>
                      </wps:spPr>
                      <wps:txbx>
                        <w:txbxContent>
                          <w:p w14:paraId="415D4E91" w14:textId="77777777" w:rsidR="0068193E" w:rsidRPr="00124DF8" w:rsidRDefault="0068193E" w:rsidP="00A10D24">
                            <w:pPr>
                              <w:spacing w:after="0"/>
                            </w:pPr>
                            <w:r w:rsidRPr="00ED2BB8">
                              <w:rPr>
                                <w:bCs/>
                              </w:rPr>
                              <w:t xml:space="preserve">Иные структурные подразделения и работники </w:t>
                            </w:r>
                            <w:r>
                              <w:rPr>
                                <w:bCs/>
                              </w:rPr>
                              <w:t>НКЦ</w:t>
                            </w:r>
                            <w:r w:rsidRPr="00124DF8">
                              <w:rPr>
                                <w:bCs/>
                              </w:rPr>
                              <w:t xml:space="preserve">, </w:t>
                            </w:r>
                            <w:r w:rsidRPr="00ED2BB8">
                              <w:rPr>
                                <w:bCs/>
                              </w:rPr>
                              <w:t>осуществляющие внутренний контроль в соответствии с полномоч</w:t>
                            </w:r>
                            <w:r>
                              <w:rPr>
                                <w:bCs/>
                              </w:rPr>
                              <w:t xml:space="preserve">иями, определенными внутренними </w:t>
                            </w:r>
                            <w:r w:rsidRPr="00ED2BB8">
                              <w:rPr>
                                <w:bCs/>
                              </w:rPr>
                              <w:t xml:space="preserve">документами </w:t>
                            </w:r>
                            <w:r>
                              <w:rPr>
                                <w:bCs/>
                              </w:rPr>
                              <w:t>НКЦ</w:t>
                            </w:r>
                          </w:p>
                          <w:p w14:paraId="339BEF9C" w14:textId="77777777" w:rsidR="0068193E" w:rsidRPr="00124DF8" w:rsidRDefault="0068193E" w:rsidP="00A10D2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566E3" id="Прямоугольник 72" o:spid="_x0000_s1046" style="position:absolute;margin-left:-34.8pt;margin-top:16.8pt;width:507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BMqQIAACkFAAAOAAAAZHJzL2Uyb0RvYy54bWysVEtu2zAQ3RfoHQjuG9mOP7EQOTASuChg&#10;JAGSImuaIi2hFMmStCV3VaDbAj1CD9FN0U/OIN+oQ0p2nDSroloIHM7/zRuenlWFQGtmbK5kgrtH&#10;HYyYpCrN5TLBb29nr04wso7IlAglWYI3zOKzycsXp6WOWU9lSqTMIAgibVzqBGfO6TiKLM1YQeyR&#10;0kyCkitTEAeiWUapISVEL0TU63SGUalMqo2izFq4vWiUeBLic86ou+LcModEgqE2F/4m/Bf+H01O&#10;Sbw0RGc5bcsg/1BFQXIJSfehLogjaGXyv0IVOTXKKu6OqCoixXlOWegBuul2nnRzkxHNQi8AjtV7&#10;mOz/C0sv19cG5WmCRz2MJClgRvXX7cftl/pXfb/9VH+r7+uf28/17/p7/QOBESBWahuD442+Nr5n&#10;q+eKvrOgiB5pvGBbm4qbwttCx6gK8G/28LPKIQqXw/7xybgDU6KgG/SOT0YDny0i8c5bG+teM1Ug&#10;f0iwgfEG1Ml6bl1jujMJhSmRp7NciCBs7LkwaE2ACUCgVJUYCWIdXCZ4Fr42mz10ExKVCe4N+qEw&#10;AhTlgjiosdAAmpVLjIhYAvepM6GWR97WLBf7rLPReNgfPpfEF31BbNZUFyK0ZkL62llgctvjA6z+&#10;5KpFFebXHXsXf7VQ6QaGalTDdqvpLIcEc2j2mhigN0AMK+uu4MeFgvZUe8IoU+bDc/feHlgHWoxK&#10;WBdo/f2KGAYYvpHAx3G33/f7FYT+YNQDwRxqFocauSrOFcyhC4+DpuHo7Z3YHblRxR1s9tRnBRWR&#10;FHI3ILfCuWvWGN4GyqbTYAY7pYmbyxtNfXAPnYf2trojRrekcUC3S7VbLRI/4U5j6z2lmq6c4nkg&#10;1gOuLcthHwM127fDL/yhHKweXrjJHwAAAP//AwBQSwMEFAAGAAgAAAAhABWR65biAAAACgEAAA8A&#10;AABkcnMvZG93bnJldi54bWxMj8FOwzAMhu9IvENkJG5bWlYqVppOGxUHDkywARK3rDFttcSZmmwr&#10;b485wcmy/On395eL0VlxwiH0nhSk0wQEUuNNT62Ct+3j5A5EiJqMtp5QwTcGWFSXF6UujD/TK542&#10;sRUcQqHQCroYD4WUoenQ6TD1ByS+ffnB6cjr0Eoz6DOHOytvkiSXTvfEHzp9wIcOm/3m6BR8rtbr&#10;59XH+7K29Uuzrc2T7fe3Sl1fjct7EBHH+AfDrz6rQ8VOO38kE4RVMMnnOaMKZjOeDMyzLAOxYzLN&#10;U5BVKf9XqH4AAAD//wMAUEsBAi0AFAAGAAgAAAAhALaDOJL+AAAA4QEAABMAAAAAAAAAAAAAAAAA&#10;AAAAAFtDb250ZW50X1R5cGVzXS54bWxQSwECLQAUAAYACAAAACEAOP0h/9YAAACUAQAACwAAAAAA&#10;AAAAAAAAAAAvAQAAX3JlbHMvLnJlbHNQSwECLQAUAAYACAAAACEAITFQTKkCAAApBQAADgAAAAAA&#10;AAAAAAAAAAAuAgAAZHJzL2Uyb0RvYy54bWxQSwECLQAUAAYACAAAACEAFZHrluIAAAAKAQAADwAA&#10;AAAAAAAAAAAAAAADBQAAZHJzL2Rvd25yZXYueG1sUEsFBgAAAAAEAAQA8wAAABIGAAAAAA==&#10;" fillcolor="window" strokecolor="#f79646" strokeweight="2pt">
                <v:path arrowok="t"/>
                <v:textbox>
                  <w:txbxContent>
                    <w:p w14:paraId="415D4E91" w14:textId="77777777" w:rsidR="0068193E" w:rsidRPr="00124DF8" w:rsidRDefault="0068193E" w:rsidP="00A10D24">
                      <w:pPr>
                        <w:spacing w:after="0"/>
                      </w:pPr>
                      <w:r w:rsidRPr="00ED2BB8">
                        <w:rPr>
                          <w:bCs/>
                        </w:rPr>
                        <w:t xml:space="preserve">Иные структурные подразделения и работники </w:t>
                      </w:r>
                      <w:r>
                        <w:rPr>
                          <w:bCs/>
                        </w:rPr>
                        <w:t>НКЦ</w:t>
                      </w:r>
                      <w:r w:rsidRPr="00124DF8">
                        <w:rPr>
                          <w:bCs/>
                        </w:rPr>
                        <w:t xml:space="preserve">, </w:t>
                      </w:r>
                      <w:r w:rsidRPr="00ED2BB8">
                        <w:rPr>
                          <w:bCs/>
                        </w:rPr>
                        <w:t>осуществляющие внутренний контроль в соответствии с полномоч</w:t>
                      </w:r>
                      <w:r>
                        <w:rPr>
                          <w:bCs/>
                        </w:rPr>
                        <w:t xml:space="preserve">иями, определенными внутренними </w:t>
                      </w:r>
                      <w:r w:rsidRPr="00ED2BB8">
                        <w:rPr>
                          <w:bCs/>
                        </w:rPr>
                        <w:t xml:space="preserve">документами </w:t>
                      </w:r>
                      <w:r>
                        <w:rPr>
                          <w:bCs/>
                        </w:rPr>
                        <w:t>НКЦ</w:t>
                      </w:r>
                    </w:p>
                    <w:p w14:paraId="339BEF9C" w14:textId="77777777" w:rsidR="0068193E" w:rsidRPr="00124DF8" w:rsidRDefault="0068193E" w:rsidP="00A10D24">
                      <w:pPr>
                        <w:spacing w:after="0"/>
                      </w:pPr>
                    </w:p>
                  </w:txbxContent>
                </v:textbox>
              </v:rect>
            </w:pict>
          </mc:Fallback>
        </mc:AlternateContent>
      </w:r>
      <w:r w:rsidR="00A10D24" w:rsidRPr="00A10D24">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6A5488EE" wp14:editId="481601E1">
                <wp:simplePos x="0" y="0"/>
                <wp:positionH relativeFrom="column">
                  <wp:posOffset>-441960</wp:posOffset>
                </wp:positionH>
                <wp:positionV relativeFrom="paragraph">
                  <wp:posOffset>198120</wp:posOffset>
                </wp:positionV>
                <wp:extent cx="6438900" cy="52387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523875"/>
                        </a:xfrm>
                        <a:prstGeom prst="rect">
                          <a:avLst/>
                        </a:prstGeom>
                        <a:solidFill>
                          <a:sysClr val="window" lastClr="FFFFFF"/>
                        </a:solidFill>
                        <a:ln w="25400" cap="flat" cmpd="sng" algn="ctr">
                          <a:solidFill>
                            <a:srgbClr val="F79646"/>
                          </a:solidFill>
                          <a:prstDash val="solid"/>
                        </a:ln>
                        <a:effectLst/>
                      </wps:spPr>
                      <wps:txbx>
                        <w:txbxContent>
                          <w:p w14:paraId="4E934314" w14:textId="77777777" w:rsidR="0068193E" w:rsidRPr="00124DF8" w:rsidRDefault="0068193E" w:rsidP="00A10D24">
                            <w:pPr>
                              <w:spacing w:after="0"/>
                            </w:pPr>
                            <w:r w:rsidRPr="00ED2BB8">
                              <w:rPr>
                                <w:bCs/>
                              </w:rPr>
                              <w:t xml:space="preserve">Иные структурные подразделения и работники </w:t>
                            </w:r>
                            <w:r>
                              <w:rPr>
                                <w:bCs/>
                              </w:rPr>
                              <w:t>НКЦ</w:t>
                            </w:r>
                            <w:r w:rsidRPr="00124DF8">
                              <w:rPr>
                                <w:bCs/>
                              </w:rPr>
                              <w:t xml:space="preserve">, </w:t>
                            </w:r>
                            <w:r w:rsidRPr="00ED2BB8">
                              <w:rPr>
                                <w:bCs/>
                              </w:rPr>
                              <w:t>осуществляющие внутренний контроль в соответствии с полномоч</w:t>
                            </w:r>
                            <w:r>
                              <w:rPr>
                                <w:bCs/>
                              </w:rPr>
                              <w:t xml:space="preserve">иями, определенными внутренними </w:t>
                            </w:r>
                            <w:r w:rsidRPr="00ED2BB8">
                              <w:rPr>
                                <w:bCs/>
                              </w:rPr>
                              <w:t xml:space="preserve">документами </w:t>
                            </w:r>
                            <w:r>
                              <w:rPr>
                                <w:bCs/>
                              </w:rPr>
                              <w:t>НКЦ</w:t>
                            </w:r>
                          </w:p>
                          <w:p w14:paraId="02813DF9" w14:textId="77777777" w:rsidR="0068193E" w:rsidRPr="00124DF8" w:rsidRDefault="0068193E" w:rsidP="00A10D2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88EE" id="Прямоугольник 52" o:spid="_x0000_s1047" style="position:absolute;margin-left:-34.8pt;margin-top:15.6pt;width:507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DYqgIAACkFAAAOAAAAZHJzL2Uyb0RvYy54bWysVM1qGzEQvhf6DkL3Zm3HdhKTdTAJLgWT&#10;BJKS81ir9S7VSqoke9c9FXot9BH6EL2U/uQZ1m/UkXbtOGlOpToIjWY0P998o9OzqhBkxY3NlYxp&#10;96BDCZdMJblcxPTt7fTVMSXWgUxAKMljuuaWno1fvjgt9Yj3VKZEwg1BJ9KOSh3TzDk9iiLLMl6A&#10;PVCaS1SmyhTgUDSLKDFQovdCRL1OZxiVyiTaKMatxduLRknHwX+acuau0tRyR0RMMTcXdhP2ud+j&#10;8SmMFgZ0lrM2DfiHLArIJQbduboAB2Rp8r9cFTkzyqrUHTBVRCpNc8ZDDVhNt/OkmpsMNA+1IDhW&#10;72Cy/88tu1xdG5InMR30KJFQYI/qr5uPmy/1r/p+86n+Vt/XPzef69/19/oHQSNErNR2hA9v9LXx&#10;NVs9U+ydRUX0SOMF29pUqSm8LVZMqgD/egc/rxxheDnsHx6fdLBLDHWD3uHx0cBHi2C0fa2Nda+5&#10;Kog/xNRgewPqsJpZ15huTUJiSuTJNBciCGt7LgxZATIBCZSokhIB1uFlTKdhtdHs/jMhSRnT3qAf&#10;EgOkaCrAYY6FRtCsXFACYoHcZ86EXB69tmYx30WdHp0M+8PngvikL8BmTXbBQ2smpM+dBya3NT7A&#10;6k+umlehf71AZn81V8kam2pUw3ar2TTHADMs9hoM0hshxpF1V7ilQmF5qj1Rkinz4bl7b4+sQy0l&#10;JY4Llv5+CYYjhm8k8vGk2+/7+QpCf3CE2RCzr5nva+SyOFfYhy5+DpqFo7d3YntMjSrucLInPiqq&#10;QDKM3YDcCueuGWP8GxifTIIZzpQGN5M3mnnnHjoP7W11B0a3pHFIt0u1HS0YPeFOY+tfSjVZOpXm&#10;gVgPuLYsx3kM1Gz/Dj/w+3Kwevjhxn8AAAD//wMAUEsDBBQABgAIAAAAIQAj4Y6O4wAAAAoBAAAP&#10;AAAAZHJzL2Rvd25yZXYueG1sTI9BT8JAEIXvJvyHzZB4g22hVqndErDx4EGioCbelu7aNuzONt0F&#10;yr9nPOlx8r68902+HKxhJ9371qGAeBoB01g51WIt4GP3PHkA5oNEJY1DLeCiPSyL0U0uM+XO+K5P&#10;21AzKkGfSQFNCF3Gua8abaWfuk4jZT+utzLQ2ddc9fJM5dbwWRSl3MoWaaGRnX5qdHXYHq2A7/Vm&#10;87r++lyVpnyrdqV6Me3hTojb8bB6BBb0EP5g+NUndSjIae+OqDwzAibpIiVUwDyeASNgkSQJsD2R&#10;8fweeJHz/y8UVwAAAP//AwBQSwECLQAUAAYACAAAACEAtoM4kv4AAADhAQAAEwAAAAAAAAAAAAAA&#10;AAAAAAAAW0NvbnRlbnRfVHlwZXNdLnhtbFBLAQItABQABgAIAAAAIQA4/SH/1gAAAJQBAAALAAAA&#10;AAAAAAAAAAAAAC8BAABfcmVscy8ucmVsc1BLAQItABQABgAIAAAAIQDCFPDYqgIAACkFAAAOAAAA&#10;AAAAAAAAAAAAAC4CAABkcnMvZTJvRG9jLnhtbFBLAQItABQABgAIAAAAIQAj4Y6O4wAAAAoBAAAP&#10;AAAAAAAAAAAAAAAAAAQFAABkcnMvZG93bnJldi54bWxQSwUGAAAAAAQABADzAAAAFAYAAAAA&#10;" fillcolor="window" strokecolor="#f79646" strokeweight="2pt">
                <v:path arrowok="t"/>
                <v:textbox>
                  <w:txbxContent>
                    <w:p w14:paraId="4E934314" w14:textId="77777777" w:rsidR="0068193E" w:rsidRPr="00124DF8" w:rsidRDefault="0068193E" w:rsidP="00A10D24">
                      <w:pPr>
                        <w:spacing w:after="0"/>
                      </w:pPr>
                      <w:r w:rsidRPr="00ED2BB8">
                        <w:rPr>
                          <w:bCs/>
                        </w:rPr>
                        <w:t xml:space="preserve">Иные структурные подразделения и работники </w:t>
                      </w:r>
                      <w:r>
                        <w:rPr>
                          <w:bCs/>
                        </w:rPr>
                        <w:t>НКЦ</w:t>
                      </w:r>
                      <w:r w:rsidRPr="00124DF8">
                        <w:rPr>
                          <w:bCs/>
                        </w:rPr>
                        <w:t xml:space="preserve">, </w:t>
                      </w:r>
                      <w:r w:rsidRPr="00ED2BB8">
                        <w:rPr>
                          <w:bCs/>
                        </w:rPr>
                        <w:t>осуществляющие внутренний контроль в соответствии с полномоч</w:t>
                      </w:r>
                      <w:r>
                        <w:rPr>
                          <w:bCs/>
                        </w:rPr>
                        <w:t xml:space="preserve">иями, определенными внутренними </w:t>
                      </w:r>
                      <w:r w:rsidRPr="00ED2BB8">
                        <w:rPr>
                          <w:bCs/>
                        </w:rPr>
                        <w:t xml:space="preserve">документами </w:t>
                      </w:r>
                      <w:r>
                        <w:rPr>
                          <w:bCs/>
                        </w:rPr>
                        <w:t>НКЦ</w:t>
                      </w:r>
                    </w:p>
                    <w:p w14:paraId="02813DF9" w14:textId="77777777" w:rsidR="0068193E" w:rsidRPr="00124DF8" w:rsidRDefault="0068193E" w:rsidP="00A10D24">
                      <w:pPr>
                        <w:spacing w:after="0"/>
                      </w:pPr>
                    </w:p>
                  </w:txbxContent>
                </v:textbox>
              </v:rect>
            </w:pict>
          </mc:Fallback>
        </mc:AlternateContent>
      </w:r>
    </w:p>
    <w:p w14:paraId="762F17A4" w14:textId="77777777" w:rsidR="00EB7765" w:rsidRPr="0002361F" w:rsidRDefault="00EB7765" w:rsidP="00EB7765">
      <w:pPr>
        <w:autoSpaceDN w:val="0"/>
        <w:spacing w:after="0" w:line="240" w:lineRule="auto"/>
        <w:ind w:firstLine="360"/>
        <w:jc w:val="both"/>
        <w:rPr>
          <w:rFonts w:ascii="Times New Roman" w:hAnsi="Times New Roman"/>
          <w:b/>
          <w:sz w:val="24"/>
          <w:szCs w:val="24"/>
        </w:rPr>
      </w:pPr>
    </w:p>
    <w:p w14:paraId="07AAF454" w14:textId="77777777" w:rsidR="00771576" w:rsidRPr="00640296" w:rsidRDefault="00771576" w:rsidP="00441380">
      <w:pPr>
        <w:pStyle w:val="a3"/>
        <w:widowControl w:val="0"/>
        <w:numPr>
          <w:ilvl w:val="0"/>
          <w:numId w:val="55"/>
        </w:numPr>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b/>
          <w:sz w:val="28"/>
          <w:szCs w:val="28"/>
          <w:lang w:eastAsia="ru-RU"/>
        </w:rPr>
      </w:pPr>
      <w:r w:rsidRPr="00640296">
        <w:rPr>
          <w:rFonts w:ascii="Times New Roman" w:eastAsia="Times New Roman" w:hAnsi="Times New Roman"/>
          <w:b/>
          <w:sz w:val="28"/>
          <w:szCs w:val="28"/>
          <w:lang w:eastAsia="ru-RU"/>
        </w:rPr>
        <w:t>Технологическая платформа</w:t>
      </w:r>
    </w:p>
    <w:p w14:paraId="446BF6D5" w14:textId="77777777" w:rsidR="002C0281" w:rsidRDefault="002C0281" w:rsidP="00B25282">
      <w:pPr>
        <w:autoSpaceDN w:val="0"/>
        <w:spacing w:after="0" w:line="240" w:lineRule="auto"/>
        <w:ind w:firstLine="360"/>
        <w:jc w:val="both"/>
        <w:rPr>
          <w:rFonts w:ascii="Times New Roman" w:hAnsi="Times New Roman"/>
          <w:sz w:val="24"/>
          <w:szCs w:val="24"/>
        </w:rPr>
      </w:pPr>
    </w:p>
    <w:p w14:paraId="5C2F8F4D" w14:textId="77777777" w:rsidR="00A45B51" w:rsidRDefault="00A45B51" w:rsidP="00A45B51">
      <w:pPr>
        <w:spacing w:line="240" w:lineRule="auto"/>
        <w:ind w:firstLine="567"/>
        <w:jc w:val="center"/>
        <w:rPr>
          <w:rFonts w:ascii="Times New Roman" w:eastAsia="Times New Roman" w:hAnsi="Times New Roman" w:cs="Times New Roman"/>
          <w:b/>
          <w:sz w:val="28"/>
          <w:szCs w:val="28"/>
          <w:lang w:eastAsia="ru-RU"/>
        </w:rPr>
      </w:pPr>
    </w:p>
    <w:p w14:paraId="4D355B66" w14:textId="55B35779" w:rsidR="00A45B51" w:rsidRPr="00A45B51" w:rsidRDefault="00A45B51" w:rsidP="00A45B51">
      <w:pPr>
        <w:spacing w:line="240" w:lineRule="auto"/>
        <w:ind w:firstLine="567"/>
        <w:jc w:val="center"/>
        <w:rPr>
          <w:rFonts w:ascii="Times New Roman" w:hAnsi="Times New Roman" w:cs="Times New Roman"/>
          <w:b/>
          <w:bCs/>
          <w:sz w:val="24"/>
          <w:szCs w:val="24"/>
        </w:rPr>
      </w:pPr>
      <w:r w:rsidRPr="00A45B51">
        <w:rPr>
          <w:rFonts w:ascii="Times New Roman" w:eastAsia="Times New Roman" w:hAnsi="Times New Roman" w:cs="Times New Roman"/>
          <w:b/>
          <w:sz w:val="28"/>
          <w:szCs w:val="28"/>
          <w:lang w:eastAsia="ru-RU"/>
        </w:rPr>
        <w:t>9.Технологическая платформа</w:t>
      </w:r>
    </w:p>
    <w:p w14:paraId="7CE92BAE"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2016 году обеспечение надежности и отказоустойчивости Программно-технического комплекса (далее</w:t>
      </w:r>
      <w:r w:rsidR="002C0281" w:rsidRPr="00EA2597">
        <w:rPr>
          <w:rFonts w:ascii="Times New Roman" w:hAnsi="Times New Roman" w:cs="Times New Roman"/>
          <w:bCs/>
          <w:sz w:val="24"/>
          <w:szCs w:val="24"/>
        </w:rPr>
        <w:t xml:space="preserve"> -</w:t>
      </w:r>
      <w:r w:rsidRPr="00EA2597">
        <w:rPr>
          <w:rFonts w:ascii="Times New Roman" w:hAnsi="Times New Roman" w:cs="Times New Roman"/>
          <w:bCs/>
          <w:sz w:val="24"/>
          <w:szCs w:val="24"/>
        </w:rPr>
        <w:t xml:space="preserve"> ПТК) Банка  являлось одним из важнейших направлений работы в сфере IT.   </w:t>
      </w:r>
    </w:p>
    <w:p w14:paraId="183DBE68"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ПТК расположен на двух территориально удаленных вычислительных центрах с полным дублированием наиболее критичных систем автоматизированной обработки данных. Это соответствуют общепринятым в мировой практике стандартам обеспечения непрерывности бизнеса. В 2016 г. НКЦ в целях повышения устойчивости к сбоям и минимизации операционных рисков переместил основные системы обработки данных в новый центр обработки данных (ЦОД) DataSpace1, имеющем показатель надежности </w:t>
      </w:r>
      <w:r w:rsidR="00231C46" w:rsidRPr="00EA2597">
        <w:rPr>
          <w:rFonts w:ascii="Times New Roman" w:hAnsi="Times New Roman" w:cs="Times New Roman"/>
          <w:bCs/>
          <w:sz w:val="24"/>
          <w:szCs w:val="24"/>
        </w:rPr>
        <w:t>«</w:t>
      </w:r>
      <w:r w:rsidRPr="00EA2597">
        <w:rPr>
          <w:rFonts w:ascii="Times New Roman" w:hAnsi="Times New Roman" w:cs="Times New Roman"/>
          <w:bCs/>
          <w:sz w:val="24"/>
          <w:szCs w:val="24"/>
        </w:rPr>
        <w:t>Tier III</w:t>
      </w:r>
      <w:r w:rsidR="00231C46" w:rsidRPr="00EA2597">
        <w:rPr>
          <w:rFonts w:ascii="Times New Roman" w:hAnsi="Times New Roman" w:cs="Times New Roman"/>
          <w:bCs/>
          <w:sz w:val="24"/>
          <w:szCs w:val="24"/>
        </w:rPr>
        <w:t>»</w:t>
      </w:r>
      <w:r w:rsidRPr="00EA2597">
        <w:rPr>
          <w:rFonts w:ascii="Times New Roman" w:hAnsi="Times New Roman" w:cs="Times New Roman"/>
          <w:bCs/>
          <w:sz w:val="24"/>
          <w:szCs w:val="24"/>
        </w:rPr>
        <w:t xml:space="preserve">. Резервные системы были размещены в физически удаленном ЦОД, имеющем схожие показатели надежности. </w:t>
      </w:r>
    </w:p>
    <w:p w14:paraId="13BE4991" w14:textId="77777777" w:rsidR="00B25282" w:rsidRDefault="00B25282" w:rsidP="00B25282">
      <w:pPr>
        <w:spacing w:before="120" w:after="0" w:line="240" w:lineRule="auto"/>
        <w:ind w:left="851"/>
        <w:jc w:val="both"/>
        <w:rPr>
          <w:rFonts w:ascii="Times New Roman" w:hAnsi="Times New Roman"/>
          <w:sz w:val="24"/>
          <w:szCs w:val="24"/>
        </w:rPr>
      </w:pPr>
      <w:r>
        <w:rPr>
          <w:rFonts w:ascii="Times New Roman" w:eastAsia="Times New Roman" w:hAnsi="Times New Roman" w:cs="Times New Roman"/>
          <w:bCs/>
          <w:sz w:val="24"/>
          <w:szCs w:val="24"/>
        </w:rPr>
        <w:lastRenderedPageBreak/>
        <w:t xml:space="preserve"> </w:t>
      </w:r>
    </w:p>
    <w:p w14:paraId="0618F27B" w14:textId="77777777" w:rsidR="00B25282" w:rsidRDefault="00B25282" w:rsidP="00B25282">
      <w:pPr>
        <w:autoSpaceDN w:val="0"/>
        <w:spacing w:after="0" w:line="240" w:lineRule="auto"/>
        <w:ind w:firstLine="360"/>
        <w:jc w:val="both"/>
        <w:rPr>
          <w:rFonts w:ascii="Times New Roman" w:hAnsi="Times New Roman"/>
          <w:sz w:val="24"/>
          <w:szCs w:val="24"/>
        </w:rPr>
      </w:pPr>
    </w:p>
    <w:p w14:paraId="061B1202"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Среди наиболее знаковых результатов и событий прошедшего года, касающихся совершенствования и развития технологической платформы, необходимо отметить:</w:t>
      </w:r>
    </w:p>
    <w:p w14:paraId="578E887A" w14:textId="77777777" w:rsidR="00B25282" w:rsidRPr="00056130" w:rsidRDefault="00B25282" w:rsidP="00441380">
      <w:pPr>
        <w:pStyle w:val="a3"/>
        <w:numPr>
          <w:ilvl w:val="0"/>
          <w:numId w:val="53"/>
        </w:numPr>
        <w:autoSpaceDN w:val="0"/>
        <w:spacing w:after="0" w:line="240" w:lineRule="auto"/>
        <w:jc w:val="both"/>
        <w:rPr>
          <w:rFonts w:ascii="Times New Roman" w:hAnsi="Times New Roman"/>
          <w:sz w:val="24"/>
          <w:szCs w:val="24"/>
        </w:rPr>
      </w:pPr>
      <w:r>
        <w:rPr>
          <w:rFonts w:ascii="Times New Roman" w:hAnsi="Times New Roman"/>
          <w:sz w:val="24"/>
          <w:szCs w:val="24"/>
        </w:rPr>
        <w:t>з</w:t>
      </w:r>
      <w:r w:rsidRPr="00056130">
        <w:rPr>
          <w:rFonts w:ascii="Times New Roman" w:hAnsi="Times New Roman"/>
          <w:sz w:val="24"/>
          <w:szCs w:val="24"/>
        </w:rPr>
        <w:t xml:space="preserve">авершение стандартизации технологической платформы, обеспечивающей деятельность </w:t>
      </w:r>
      <w:r>
        <w:rPr>
          <w:rFonts w:ascii="Times New Roman" w:hAnsi="Times New Roman"/>
          <w:sz w:val="24"/>
          <w:szCs w:val="24"/>
        </w:rPr>
        <w:t>ц</w:t>
      </w:r>
      <w:r w:rsidRPr="00056130">
        <w:rPr>
          <w:rFonts w:ascii="Times New Roman" w:hAnsi="Times New Roman"/>
          <w:sz w:val="24"/>
          <w:szCs w:val="24"/>
        </w:rPr>
        <w:t>ентрального контрагента и расчетов в рамках систем НКЦ</w:t>
      </w:r>
      <w:r>
        <w:rPr>
          <w:rFonts w:ascii="Times New Roman" w:hAnsi="Times New Roman"/>
          <w:sz w:val="24"/>
          <w:szCs w:val="24"/>
        </w:rPr>
        <w:t>, о чем подробно говорилось выше в настоящем отчете;</w:t>
      </w:r>
      <w:r w:rsidRPr="00056130">
        <w:rPr>
          <w:rFonts w:ascii="Times New Roman" w:hAnsi="Times New Roman"/>
          <w:sz w:val="24"/>
          <w:szCs w:val="24"/>
        </w:rPr>
        <w:t xml:space="preserve"> </w:t>
      </w:r>
    </w:p>
    <w:p w14:paraId="1216A18A" w14:textId="77777777" w:rsidR="00B25282" w:rsidRPr="00056130" w:rsidRDefault="00B25282" w:rsidP="00441380">
      <w:pPr>
        <w:pStyle w:val="a3"/>
        <w:numPr>
          <w:ilvl w:val="0"/>
          <w:numId w:val="53"/>
        </w:numPr>
        <w:autoSpaceDN w:val="0"/>
        <w:spacing w:after="0" w:line="240" w:lineRule="auto"/>
        <w:jc w:val="both"/>
        <w:rPr>
          <w:rFonts w:ascii="Times New Roman" w:hAnsi="Times New Roman"/>
          <w:sz w:val="24"/>
          <w:szCs w:val="24"/>
        </w:rPr>
      </w:pPr>
      <w:r>
        <w:rPr>
          <w:rFonts w:ascii="Times New Roman" w:hAnsi="Times New Roman"/>
          <w:sz w:val="24"/>
          <w:szCs w:val="24"/>
        </w:rPr>
        <w:t>п</w:t>
      </w:r>
      <w:r w:rsidRPr="00056130">
        <w:rPr>
          <w:rFonts w:ascii="Times New Roman" w:hAnsi="Times New Roman"/>
          <w:sz w:val="24"/>
          <w:szCs w:val="24"/>
        </w:rPr>
        <w:t>роведен</w:t>
      </w:r>
      <w:r>
        <w:rPr>
          <w:rFonts w:ascii="Times New Roman" w:hAnsi="Times New Roman"/>
          <w:sz w:val="24"/>
          <w:szCs w:val="24"/>
        </w:rPr>
        <w:t xml:space="preserve">ие </w:t>
      </w:r>
      <w:r w:rsidRPr="00056130">
        <w:rPr>
          <w:rFonts w:ascii="Times New Roman" w:hAnsi="Times New Roman"/>
          <w:sz w:val="24"/>
          <w:szCs w:val="24"/>
        </w:rPr>
        <w:t>работы по переводу клиентов на новую систему взаимодействия с НКЦ – «Web-Клиринг». Данная система является современным развитием системы электронного документооборота с использованием Web-технологий и была запущена в конце 2015г. За 2016 год подключено более 150 клиентов. Система получила положительные отзывы клиентов и эффективно заменяет предлагаемый ранее продукт «Универсальное клиентское рабочее место участника клиринга НКЦ» (УКРМ).</w:t>
      </w:r>
    </w:p>
    <w:p w14:paraId="093FF038" w14:textId="77777777" w:rsidR="00B25282" w:rsidRPr="00056130" w:rsidRDefault="00B25282" w:rsidP="00B25282">
      <w:pPr>
        <w:pStyle w:val="a3"/>
        <w:autoSpaceDN w:val="0"/>
        <w:spacing w:after="0" w:line="240" w:lineRule="auto"/>
        <w:jc w:val="both"/>
        <w:rPr>
          <w:rFonts w:ascii="Times New Roman" w:hAnsi="Times New Roman"/>
          <w:sz w:val="24"/>
          <w:szCs w:val="24"/>
        </w:rPr>
      </w:pPr>
    </w:p>
    <w:p w14:paraId="74EF59F3"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рамках повышения надежности работоспособности используемых в НКЦ систем:</w:t>
      </w:r>
    </w:p>
    <w:p w14:paraId="1D5AB5AB" w14:textId="77777777" w:rsidR="00B25282" w:rsidRDefault="00B25282" w:rsidP="00B25282">
      <w:pPr>
        <w:autoSpaceDN w:val="0"/>
        <w:spacing w:after="0" w:line="240" w:lineRule="auto"/>
        <w:ind w:firstLine="360"/>
        <w:jc w:val="both"/>
        <w:rPr>
          <w:rFonts w:ascii="Times New Roman" w:hAnsi="Times New Roman"/>
          <w:sz w:val="24"/>
          <w:szCs w:val="24"/>
        </w:rPr>
      </w:pPr>
    </w:p>
    <w:p w14:paraId="3BF8144C" w14:textId="77777777" w:rsidR="00B25282" w:rsidRPr="00AF24E2" w:rsidRDefault="00B25282" w:rsidP="00441380">
      <w:pPr>
        <w:pStyle w:val="a3"/>
        <w:numPr>
          <w:ilvl w:val="0"/>
          <w:numId w:val="66"/>
        </w:numPr>
        <w:autoSpaceDN w:val="0"/>
        <w:spacing w:after="0" w:line="240" w:lineRule="auto"/>
        <w:jc w:val="both"/>
        <w:rPr>
          <w:rFonts w:ascii="Times New Roman" w:hAnsi="Times New Roman"/>
          <w:sz w:val="24"/>
          <w:szCs w:val="24"/>
        </w:rPr>
      </w:pPr>
      <w:r w:rsidRPr="00AF24E2">
        <w:rPr>
          <w:rFonts w:ascii="Times New Roman" w:hAnsi="Times New Roman"/>
          <w:sz w:val="24"/>
          <w:szCs w:val="24"/>
        </w:rPr>
        <w:t xml:space="preserve">выполнен перевод всех систем НКЦ на новое серверное оборудование с одновременным переводом на операционную систему LINUX; </w:t>
      </w:r>
    </w:p>
    <w:p w14:paraId="372F83C6" w14:textId="77777777" w:rsidR="00B25282" w:rsidRPr="00AF24E2" w:rsidRDefault="00B25282" w:rsidP="00441380">
      <w:pPr>
        <w:pStyle w:val="a3"/>
        <w:numPr>
          <w:ilvl w:val="0"/>
          <w:numId w:val="66"/>
        </w:numPr>
        <w:autoSpaceDN w:val="0"/>
        <w:spacing w:after="0" w:line="240" w:lineRule="auto"/>
        <w:jc w:val="both"/>
        <w:rPr>
          <w:rFonts w:ascii="Times New Roman" w:hAnsi="Times New Roman"/>
          <w:sz w:val="24"/>
          <w:szCs w:val="24"/>
        </w:rPr>
      </w:pPr>
      <w:r w:rsidRPr="00AF24E2">
        <w:rPr>
          <w:rFonts w:ascii="Times New Roman" w:hAnsi="Times New Roman"/>
          <w:sz w:val="24"/>
          <w:szCs w:val="24"/>
        </w:rPr>
        <w:t>Центр казначейских операций НКЦ переведен с технологии Thomson Reuters Dealing на «облачную» платформу Thomson Reuters FX Trading, предоставляющую трейдерам казначейства новые сервисы доступа к валютно-денежной ликвидности Thomson Reuters, а с 2017 года – к торговым площадкам третьих сторон. С внедрением новой технологии обеспечены непрерывность предоставления сервисов для трейдеров НКЦ, а также отказоустойчивость комплекса Thomson Reuters FX Trading в целом в режиме горячего резервирования на основной и резервной площадках Банка НКЦ. Операционные расходы на поддержку 1 рабочего места трейдера сокращены более чем на 50 %. Внедренная технология обеспечивает надежное взаимодействие и безотказную передачу данных в бэк-офисные системы.</w:t>
      </w:r>
    </w:p>
    <w:p w14:paraId="34DF0671" w14:textId="77777777" w:rsidR="00B25282" w:rsidRDefault="00B25282" w:rsidP="00B25282">
      <w:pPr>
        <w:autoSpaceDN w:val="0"/>
        <w:spacing w:after="0" w:line="240" w:lineRule="auto"/>
        <w:ind w:firstLine="360"/>
        <w:jc w:val="both"/>
        <w:rPr>
          <w:rFonts w:ascii="Times New Roman" w:hAnsi="Times New Roman"/>
          <w:sz w:val="24"/>
          <w:szCs w:val="24"/>
        </w:rPr>
      </w:pPr>
    </w:p>
    <w:p w14:paraId="6B06E9C6" w14:textId="77777777" w:rsidR="00B25282" w:rsidRPr="00EA2597" w:rsidRDefault="00B25282"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Pr="00EA2597">
        <w:rPr>
          <w:rFonts w:ascii="Times New Roman" w:hAnsi="Times New Roman" w:cs="Times New Roman"/>
          <w:bCs/>
          <w:sz w:val="24"/>
          <w:szCs w:val="24"/>
        </w:rPr>
        <w:t>В течении года велась активная работа по автоматизации изменений, связанных с новыми законодательными требованиями Банка России в рамках развития как СЦК, так и автоматизированной банковской системы - ИБС "Центавр Омега". НКЦ в 2016 году уделял существенное внимание поступательному развитию   функциональности ИБС. В частности, по ИБС «Центавр Омега» проведены следующие работы:</w:t>
      </w:r>
    </w:p>
    <w:p w14:paraId="03435123" w14:textId="77777777" w:rsidR="00B25282" w:rsidRPr="00352F42" w:rsidRDefault="00B25282" w:rsidP="00441380">
      <w:pPr>
        <w:pStyle w:val="a3"/>
        <w:numPr>
          <w:ilvl w:val="0"/>
          <w:numId w:val="54"/>
        </w:numPr>
        <w:autoSpaceDN w:val="0"/>
        <w:spacing w:after="0" w:line="240" w:lineRule="auto"/>
        <w:jc w:val="both"/>
        <w:rPr>
          <w:rFonts w:ascii="Times New Roman" w:hAnsi="Times New Roman"/>
          <w:sz w:val="24"/>
          <w:szCs w:val="24"/>
        </w:rPr>
      </w:pPr>
      <w:r>
        <w:rPr>
          <w:rFonts w:ascii="Times New Roman" w:hAnsi="Times New Roman"/>
          <w:sz w:val="24"/>
          <w:szCs w:val="24"/>
        </w:rPr>
        <w:t>у</w:t>
      </w:r>
      <w:r w:rsidRPr="00352F42">
        <w:rPr>
          <w:rFonts w:ascii="Times New Roman" w:hAnsi="Times New Roman"/>
          <w:sz w:val="24"/>
          <w:szCs w:val="24"/>
        </w:rPr>
        <w:t>становлено более 640 обновлений/доработок в соответствии с заявками пользователей и распоряжениями/указаниями контролирующих органов</w:t>
      </w:r>
      <w:r>
        <w:rPr>
          <w:rFonts w:ascii="Times New Roman" w:hAnsi="Times New Roman"/>
          <w:sz w:val="24"/>
          <w:szCs w:val="24"/>
        </w:rPr>
        <w:t>;</w:t>
      </w:r>
    </w:p>
    <w:p w14:paraId="488C5719"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д</w:t>
      </w:r>
      <w:r w:rsidRPr="00352F42">
        <w:rPr>
          <w:rFonts w:ascii="Times New Roman" w:hAnsi="Times New Roman"/>
          <w:sz w:val="24"/>
          <w:szCs w:val="24"/>
        </w:rPr>
        <w:t>оработ</w:t>
      </w:r>
      <w:r>
        <w:rPr>
          <w:rFonts w:ascii="Times New Roman" w:hAnsi="Times New Roman"/>
          <w:sz w:val="24"/>
          <w:szCs w:val="24"/>
        </w:rPr>
        <w:t>ан</w:t>
      </w:r>
      <w:r w:rsidRPr="00352F42">
        <w:rPr>
          <w:rFonts w:ascii="Times New Roman" w:hAnsi="Times New Roman"/>
          <w:sz w:val="24"/>
          <w:szCs w:val="24"/>
        </w:rPr>
        <w:t xml:space="preserve"> модул</w:t>
      </w:r>
      <w:r>
        <w:rPr>
          <w:rFonts w:ascii="Times New Roman" w:hAnsi="Times New Roman"/>
          <w:sz w:val="24"/>
          <w:szCs w:val="24"/>
        </w:rPr>
        <w:t>ь</w:t>
      </w:r>
      <w:r w:rsidRPr="00352F42">
        <w:rPr>
          <w:rFonts w:ascii="Times New Roman" w:hAnsi="Times New Roman"/>
          <w:sz w:val="24"/>
          <w:szCs w:val="24"/>
        </w:rPr>
        <w:t xml:space="preserve"> «МатУчет»,</w:t>
      </w:r>
      <w:r w:rsidRPr="00352F42">
        <w:rPr>
          <w:rFonts w:ascii="Times New Roman" w:hAnsi="Times New Roman"/>
          <w:b/>
          <w:sz w:val="24"/>
          <w:szCs w:val="24"/>
        </w:rPr>
        <w:t xml:space="preserve"> </w:t>
      </w:r>
      <w:r w:rsidRPr="00352F42">
        <w:rPr>
          <w:rFonts w:ascii="Times New Roman" w:hAnsi="Times New Roman"/>
          <w:sz w:val="24"/>
          <w:szCs w:val="24"/>
        </w:rPr>
        <w:t xml:space="preserve">в соответствии с </w:t>
      </w:r>
      <w:r w:rsidRPr="00352F42">
        <w:rPr>
          <w:rFonts w:ascii="Times New Roman" w:hAnsi="Times New Roman"/>
          <w:bCs/>
          <w:sz w:val="24"/>
          <w:szCs w:val="24"/>
        </w:rPr>
        <w:t>Положением 448-П</w:t>
      </w:r>
      <w:r>
        <w:rPr>
          <w:rFonts w:ascii="Times New Roman" w:hAnsi="Times New Roman"/>
          <w:bCs/>
          <w:sz w:val="24"/>
          <w:szCs w:val="24"/>
        </w:rPr>
        <w:t>;</w:t>
      </w:r>
    </w:p>
    <w:p w14:paraId="4AF63A71"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реализованы функции о</w:t>
      </w:r>
      <w:r w:rsidRPr="00352F42">
        <w:rPr>
          <w:rFonts w:ascii="Times New Roman" w:hAnsi="Times New Roman"/>
          <w:sz w:val="24"/>
          <w:szCs w:val="24"/>
        </w:rPr>
        <w:t>бработка и оформление сделок прямого РЕПО с ценными бумагами, полученными по обратному РЕПО, без признания</w:t>
      </w:r>
      <w:r>
        <w:rPr>
          <w:rFonts w:ascii="Times New Roman" w:hAnsi="Times New Roman"/>
          <w:sz w:val="24"/>
          <w:szCs w:val="24"/>
        </w:rPr>
        <w:t xml:space="preserve">, а также </w:t>
      </w:r>
      <w:r w:rsidRPr="00352F42">
        <w:rPr>
          <w:rFonts w:ascii="Times New Roman" w:hAnsi="Times New Roman"/>
          <w:sz w:val="24"/>
          <w:szCs w:val="24"/>
        </w:rPr>
        <w:t xml:space="preserve"> </w:t>
      </w:r>
      <w:r>
        <w:rPr>
          <w:rFonts w:ascii="Times New Roman" w:hAnsi="Times New Roman"/>
          <w:sz w:val="24"/>
          <w:szCs w:val="24"/>
        </w:rPr>
        <w:t>о</w:t>
      </w:r>
      <w:r w:rsidRPr="00352F42">
        <w:rPr>
          <w:rFonts w:ascii="Times New Roman" w:hAnsi="Times New Roman"/>
          <w:sz w:val="24"/>
          <w:szCs w:val="24"/>
        </w:rPr>
        <w:t>бработк</w:t>
      </w:r>
      <w:r>
        <w:rPr>
          <w:rFonts w:ascii="Times New Roman" w:hAnsi="Times New Roman"/>
          <w:sz w:val="24"/>
          <w:szCs w:val="24"/>
        </w:rPr>
        <w:t>и</w:t>
      </w:r>
      <w:r w:rsidRPr="00352F42">
        <w:rPr>
          <w:rFonts w:ascii="Times New Roman" w:hAnsi="Times New Roman"/>
          <w:sz w:val="24"/>
          <w:szCs w:val="24"/>
        </w:rPr>
        <w:t xml:space="preserve"> и учет</w:t>
      </w:r>
      <w:r>
        <w:rPr>
          <w:rFonts w:ascii="Times New Roman" w:hAnsi="Times New Roman"/>
          <w:sz w:val="24"/>
          <w:szCs w:val="24"/>
        </w:rPr>
        <w:t>а</w:t>
      </w:r>
      <w:r w:rsidRPr="00352F42">
        <w:rPr>
          <w:rFonts w:ascii="Times New Roman" w:hAnsi="Times New Roman"/>
          <w:sz w:val="24"/>
          <w:szCs w:val="24"/>
        </w:rPr>
        <w:t xml:space="preserve"> маржинальных и компенсационных платежей по сделкам РЕПО</w:t>
      </w:r>
      <w:r>
        <w:rPr>
          <w:rFonts w:ascii="Times New Roman" w:hAnsi="Times New Roman"/>
          <w:sz w:val="24"/>
          <w:szCs w:val="24"/>
        </w:rPr>
        <w:t>;</w:t>
      </w:r>
    </w:p>
    <w:p w14:paraId="632CE228"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обеспечена возможность ф</w:t>
      </w:r>
      <w:r w:rsidRPr="00352F42">
        <w:rPr>
          <w:rFonts w:ascii="Times New Roman" w:hAnsi="Times New Roman"/>
          <w:sz w:val="24"/>
          <w:szCs w:val="24"/>
        </w:rPr>
        <w:t>ормировани</w:t>
      </w:r>
      <w:r>
        <w:rPr>
          <w:rFonts w:ascii="Times New Roman" w:hAnsi="Times New Roman"/>
          <w:sz w:val="24"/>
          <w:szCs w:val="24"/>
        </w:rPr>
        <w:t>я</w:t>
      </w:r>
      <w:r w:rsidRPr="00352F42">
        <w:rPr>
          <w:rFonts w:ascii="Times New Roman" w:hAnsi="Times New Roman"/>
          <w:sz w:val="24"/>
          <w:szCs w:val="24"/>
        </w:rPr>
        <w:t xml:space="preserve"> сообщений по постановлению №1267 «Об информационном взаимодействии между организациями финансового рынка и уполномоченными органами»</w:t>
      </w:r>
      <w:r>
        <w:rPr>
          <w:rFonts w:ascii="Times New Roman" w:hAnsi="Times New Roman"/>
          <w:sz w:val="24"/>
          <w:szCs w:val="24"/>
        </w:rPr>
        <w:t>;</w:t>
      </w:r>
    </w:p>
    <w:p w14:paraId="4BED01F4"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осуществлена а</w:t>
      </w:r>
      <w:r w:rsidRPr="00352F42">
        <w:rPr>
          <w:rFonts w:ascii="Times New Roman" w:hAnsi="Times New Roman"/>
          <w:sz w:val="24"/>
          <w:szCs w:val="24"/>
        </w:rPr>
        <w:t>втоматизация учета и последующего контроля обязательных казначейских лимитов на финансовые инструменты</w:t>
      </w:r>
      <w:r>
        <w:rPr>
          <w:rFonts w:ascii="Times New Roman" w:hAnsi="Times New Roman"/>
          <w:sz w:val="24"/>
          <w:szCs w:val="24"/>
        </w:rPr>
        <w:t>;</w:t>
      </w:r>
    </w:p>
    <w:p w14:paraId="5E70DD48"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lastRenderedPageBreak/>
        <w:t>создан механизм м</w:t>
      </w:r>
      <w:r w:rsidRPr="00352F42">
        <w:rPr>
          <w:rFonts w:ascii="Times New Roman" w:hAnsi="Times New Roman"/>
          <w:sz w:val="24"/>
          <w:szCs w:val="24"/>
        </w:rPr>
        <w:t>ониторинг</w:t>
      </w:r>
      <w:r>
        <w:rPr>
          <w:rFonts w:ascii="Times New Roman" w:hAnsi="Times New Roman"/>
          <w:sz w:val="24"/>
          <w:szCs w:val="24"/>
        </w:rPr>
        <w:t>а</w:t>
      </w:r>
      <w:r w:rsidRPr="00352F42">
        <w:rPr>
          <w:rFonts w:ascii="Times New Roman" w:hAnsi="Times New Roman"/>
          <w:sz w:val="24"/>
          <w:szCs w:val="24"/>
        </w:rPr>
        <w:t xml:space="preserve"> платежей для выявления необходимости обеспечения штрафного удержания по </w:t>
      </w:r>
      <w:r w:rsidRPr="00352F42">
        <w:rPr>
          <w:rFonts w:ascii="Times New Roman" w:hAnsi="Times New Roman"/>
          <w:sz w:val="24"/>
          <w:szCs w:val="24"/>
          <w:lang w:val="en-US"/>
        </w:rPr>
        <w:t>F</w:t>
      </w:r>
      <w:r w:rsidRPr="00352F42">
        <w:rPr>
          <w:rFonts w:ascii="Times New Roman" w:hAnsi="Times New Roman"/>
          <w:sz w:val="24"/>
          <w:szCs w:val="24"/>
        </w:rPr>
        <w:t>А</w:t>
      </w:r>
      <w:r w:rsidRPr="00352F42">
        <w:rPr>
          <w:rFonts w:ascii="Times New Roman" w:hAnsi="Times New Roman"/>
          <w:sz w:val="24"/>
          <w:szCs w:val="24"/>
          <w:lang w:val="en-US"/>
        </w:rPr>
        <w:t>TCA</w:t>
      </w:r>
      <w:r>
        <w:rPr>
          <w:rFonts w:ascii="Times New Roman" w:hAnsi="Times New Roman"/>
          <w:sz w:val="24"/>
          <w:szCs w:val="24"/>
        </w:rPr>
        <w:t>;</w:t>
      </w:r>
    </w:p>
    <w:p w14:paraId="2AE605B9"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обеспечена возможность о</w:t>
      </w:r>
      <w:r w:rsidRPr="00352F42">
        <w:rPr>
          <w:rFonts w:ascii="Times New Roman" w:hAnsi="Times New Roman"/>
          <w:sz w:val="24"/>
          <w:szCs w:val="24"/>
        </w:rPr>
        <w:t>бработк</w:t>
      </w:r>
      <w:r>
        <w:rPr>
          <w:rFonts w:ascii="Times New Roman" w:hAnsi="Times New Roman"/>
          <w:sz w:val="24"/>
          <w:szCs w:val="24"/>
        </w:rPr>
        <w:t>и</w:t>
      </w:r>
      <w:r w:rsidRPr="00352F42">
        <w:rPr>
          <w:rFonts w:ascii="Times New Roman" w:hAnsi="Times New Roman"/>
          <w:sz w:val="24"/>
          <w:szCs w:val="24"/>
        </w:rPr>
        <w:t xml:space="preserve"> и учет</w:t>
      </w:r>
      <w:r>
        <w:rPr>
          <w:rFonts w:ascii="Times New Roman" w:hAnsi="Times New Roman"/>
          <w:sz w:val="24"/>
          <w:szCs w:val="24"/>
        </w:rPr>
        <w:t>а</w:t>
      </w:r>
      <w:r w:rsidRPr="00352F42">
        <w:rPr>
          <w:rFonts w:ascii="Times New Roman" w:hAnsi="Times New Roman"/>
          <w:sz w:val="24"/>
          <w:szCs w:val="24"/>
        </w:rPr>
        <w:t xml:space="preserve"> ОФЗ с переменным номиналом и погашения облигаций ниже номинала</w:t>
      </w:r>
      <w:r>
        <w:rPr>
          <w:rFonts w:ascii="Times New Roman" w:hAnsi="Times New Roman"/>
          <w:sz w:val="24"/>
          <w:szCs w:val="24"/>
        </w:rPr>
        <w:t>;</w:t>
      </w:r>
    </w:p>
    <w:p w14:paraId="557659A1" w14:textId="77777777" w:rsidR="00B25282" w:rsidRPr="00352F42" w:rsidRDefault="00B25282" w:rsidP="00441380">
      <w:pPr>
        <w:pStyle w:val="a3"/>
        <w:numPr>
          <w:ilvl w:val="0"/>
          <w:numId w:val="54"/>
        </w:numPr>
        <w:spacing w:after="0" w:line="240" w:lineRule="auto"/>
        <w:jc w:val="both"/>
        <w:rPr>
          <w:rFonts w:ascii="Times New Roman" w:hAnsi="Times New Roman"/>
          <w:sz w:val="24"/>
          <w:szCs w:val="24"/>
        </w:rPr>
      </w:pPr>
      <w:r>
        <w:rPr>
          <w:rFonts w:ascii="Times New Roman" w:hAnsi="Times New Roman"/>
          <w:sz w:val="24"/>
          <w:szCs w:val="24"/>
        </w:rPr>
        <w:t>создан  программный модуль о</w:t>
      </w:r>
      <w:r w:rsidRPr="00352F42">
        <w:rPr>
          <w:rFonts w:ascii="Times New Roman" w:hAnsi="Times New Roman"/>
          <w:sz w:val="24"/>
          <w:szCs w:val="24"/>
        </w:rPr>
        <w:t>формлени</w:t>
      </w:r>
      <w:r>
        <w:rPr>
          <w:rFonts w:ascii="Times New Roman" w:hAnsi="Times New Roman"/>
          <w:sz w:val="24"/>
          <w:szCs w:val="24"/>
        </w:rPr>
        <w:t>я</w:t>
      </w:r>
      <w:r w:rsidRPr="00352F42">
        <w:rPr>
          <w:rFonts w:ascii="Times New Roman" w:hAnsi="Times New Roman"/>
          <w:sz w:val="24"/>
          <w:szCs w:val="24"/>
        </w:rPr>
        <w:t xml:space="preserve"> операций по размещению депозита в драгоценных металлах в банке-нерезиденте</w:t>
      </w:r>
      <w:r>
        <w:rPr>
          <w:rFonts w:ascii="Times New Roman" w:hAnsi="Times New Roman"/>
          <w:sz w:val="24"/>
          <w:szCs w:val="24"/>
        </w:rPr>
        <w:t>.</w:t>
      </w:r>
    </w:p>
    <w:p w14:paraId="38596402" w14:textId="77777777" w:rsidR="00B25282" w:rsidRDefault="00B25282" w:rsidP="00B25282">
      <w:pPr>
        <w:pStyle w:val="a3"/>
        <w:spacing w:after="0" w:line="240" w:lineRule="auto"/>
        <w:ind w:left="1440"/>
        <w:rPr>
          <w:rFonts w:ascii="Times New Roman" w:hAnsi="Times New Roman"/>
          <w:sz w:val="24"/>
          <w:szCs w:val="24"/>
        </w:rPr>
      </w:pPr>
    </w:p>
    <w:p w14:paraId="585E777E"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За 2016 г. количество пользователей ИБС увеличилось на 12%, объем транзакций увеличился более чем на 20% и составил 100 822 540 шт., количество учтенных записей контрагентов и эмитентов юридических лиц увеличилось на 7% и составило 3651 шт., аналогичный показатель по физическим лицам увеличился на 13% и составил 7781 шт.</w:t>
      </w:r>
    </w:p>
    <w:p w14:paraId="1667E035" w14:textId="77777777" w:rsidR="00B25282" w:rsidRPr="00EA2597" w:rsidRDefault="00D723F0"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00B25282" w:rsidRPr="00EA2597">
        <w:rPr>
          <w:rFonts w:ascii="Times New Roman" w:hAnsi="Times New Roman" w:cs="Times New Roman"/>
          <w:bCs/>
          <w:sz w:val="24"/>
          <w:szCs w:val="24"/>
        </w:rPr>
        <w:t>Традиционно продолжено развитие экосистемы продуктов Softwell NAVIGATOR. Среди основных работ 2016г следует отметить:</w:t>
      </w:r>
    </w:p>
    <w:p w14:paraId="2A11101F" w14:textId="77777777" w:rsidR="00B25282" w:rsidRDefault="00B25282" w:rsidP="00441380">
      <w:pPr>
        <w:pStyle w:val="a3"/>
        <w:numPr>
          <w:ilvl w:val="0"/>
          <w:numId w:val="37"/>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Развитие рынка Стандартизированных </w:t>
      </w:r>
      <w:r w:rsidRPr="006603BA">
        <w:rPr>
          <w:rFonts w:ascii="Times New Roman" w:hAnsi="Times New Roman"/>
          <w:sz w:val="24"/>
          <w:szCs w:val="24"/>
        </w:rPr>
        <w:t>ПФИ</w:t>
      </w:r>
      <w:r>
        <w:rPr>
          <w:rFonts w:ascii="Times New Roman" w:hAnsi="Times New Roman"/>
          <w:sz w:val="24"/>
          <w:szCs w:val="24"/>
        </w:rPr>
        <w:t xml:space="preserve"> (далее СПФИ) в части:</w:t>
      </w:r>
    </w:p>
    <w:p w14:paraId="6BA437F2" w14:textId="77777777" w:rsidR="00B25282" w:rsidRDefault="00B25282" w:rsidP="00441380">
      <w:pPr>
        <w:pStyle w:val="a3"/>
        <w:numPr>
          <w:ilvl w:val="1"/>
          <w:numId w:val="42"/>
        </w:numPr>
        <w:autoSpaceDN w:val="0"/>
        <w:spacing w:after="0" w:line="240" w:lineRule="auto"/>
        <w:jc w:val="both"/>
        <w:rPr>
          <w:rFonts w:ascii="Times New Roman" w:hAnsi="Times New Roman"/>
          <w:sz w:val="24"/>
          <w:szCs w:val="24"/>
        </w:rPr>
      </w:pPr>
      <w:r>
        <w:rPr>
          <w:rFonts w:ascii="Times New Roman" w:hAnsi="Times New Roman"/>
          <w:sz w:val="24"/>
          <w:szCs w:val="24"/>
        </w:rPr>
        <w:t>п</w:t>
      </w:r>
      <w:r w:rsidRPr="006603BA">
        <w:rPr>
          <w:rFonts w:ascii="Times New Roman" w:hAnsi="Times New Roman"/>
          <w:sz w:val="24"/>
          <w:szCs w:val="24"/>
        </w:rPr>
        <w:t>роведен</w:t>
      </w:r>
      <w:r>
        <w:rPr>
          <w:rFonts w:ascii="Times New Roman" w:hAnsi="Times New Roman"/>
          <w:sz w:val="24"/>
          <w:szCs w:val="24"/>
        </w:rPr>
        <w:t>ия</w:t>
      </w:r>
      <w:r w:rsidRPr="006603BA">
        <w:rPr>
          <w:rFonts w:ascii="Times New Roman" w:hAnsi="Times New Roman"/>
          <w:sz w:val="24"/>
          <w:szCs w:val="24"/>
        </w:rPr>
        <w:t xml:space="preserve"> оптимизаци</w:t>
      </w:r>
      <w:r>
        <w:rPr>
          <w:rFonts w:ascii="Times New Roman" w:hAnsi="Times New Roman"/>
          <w:sz w:val="24"/>
          <w:szCs w:val="24"/>
        </w:rPr>
        <w:t>и</w:t>
      </w:r>
      <w:r w:rsidRPr="006603BA">
        <w:rPr>
          <w:rFonts w:ascii="Times New Roman" w:hAnsi="Times New Roman"/>
          <w:sz w:val="24"/>
          <w:szCs w:val="24"/>
        </w:rPr>
        <w:t xml:space="preserve"> алгоритма расчета требований к ГО по портфелю, симметрично</w:t>
      </w:r>
      <w:r>
        <w:rPr>
          <w:rFonts w:ascii="Times New Roman" w:hAnsi="Times New Roman"/>
          <w:sz w:val="24"/>
          <w:szCs w:val="24"/>
        </w:rPr>
        <w:t>го</w:t>
      </w:r>
      <w:r w:rsidRPr="006603BA">
        <w:rPr>
          <w:rFonts w:ascii="Times New Roman" w:hAnsi="Times New Roman"/>
          <w:sz w:val="24"/>
          <w:szCs w:val="24"/>
        </w:rPr>
        <w:t xml:space="preserve"> ТГО, учет</w:t>
      </w:r>
      <w:r>
        <w:rPr>
          <w:rFonts w:ascii="Times New Roman" w:hAnsi="Times New Roman"/>
          <w:sz w:val="24"/>
          <w:szCs w:val="24"/>
        </w:rPr>
        <w:t>а</w:t>
      </w:r>
      <w:r w:rsidRPr="006603BA">
        <w:rPr>
          <w:rFonts w:ascii="Times New Roman" w:hAnsi="Times New Roman"/>
          <w:sz w:val="24"/>
          <w:szCs w:val="24"/>
        </w:rPr>
        <w:t xml:space="preserve"> компоненты ликвидности в части риск-модели </w:t>
      </w:r>
      <w:r>
        <w:rPr>
          <w:rFonts w:ascii="Times New Roman" w:hAnsi="Times New Roman"/>
          <w:sz w:val="24"/>
          <w:szCs w:val="24"/>
        </w:rPr>
        <w:t>рынка;</w:t>
      </w:r>
    </w:p>
    <w:p w14:paraId="16033215" w14:textId="77777777" w:rsidR="00B25282" w:rsidRDefault="00B25282" w:rsidP="00441380">
      <w:pPr>
        <w:pStyle w:val="a3"/>
        <w:numPr>
          <w:ilvl w:val="1"/>
          <w:numId w:val="42"/>
        </w:numPr>
        <w:autoSpaceDN w:val="0"/>
        <w:spacing w:after="0" w:line="240" w:lineRule="auto"/>
        <w:jc w:val="both"/>
        <w:rPr>
          <w:rFonts w:ascii="Times New Roman" w:hAnsi="Times New Roman"/>
          <w:sz w:val="24"/>
          <w:szCs w:val="24"/>
        </w:rPr>
      </w:pPr>
      <w:r>
        <w:rPr>
          <w:rFonts w:ascii="Times New Roman" w:hAnsi="Times New Roman"/>
          <w:sz w:val="24"/>
          <w:szCs w:val="24"/>
        </w:rPr>
        <w:t>в</w:t>
      </w:r>
      <w:r w:rsidRPr="006603BA">
        <w:rPr>
          <w:rFonts w:ascii="Times New Roman" w:hAnsi="Times New Roman"/>
          <w:sz w:val="24"/>
          <w:szCs w:val="24"/>
        </w:rPr>
        <w:t>недрен</w:t>
      </w:r>
      <w:r>
        <w:rPr>
          <w:rFonts w:ascii="Times New Roman" w:hAnsi="Times New Roman"/>
          <w:sz w:val="24"/>
          <w:szCs w:val="24"/>
        </w:rPr>
        <w:t>ие</w:t>
      </w:r>
      <w:r w:rsidRPr="006603BA">
        <w:rPr>
          <w:rFonts w:ascii="Times New Roman" w:hAnsi="Times New Roman"/>
          <w:sz w:val="24"/>
          <w:szCs w:val="24"/>
        </w:rPr>
        <w:t xml:space="preserve"> вывод</w:t>
      </w:r>
      <w:r>
        <w:rPr>
          <w:rFonts w:ascii="Times New Roman" w:hAnsi="Times New Roman"/>
          <w:sz w:val="24"/>
          <w:szCs w:val="24"/>
        </w:rPr>
        <w:t>а</w:t>
      </w:r>
      <w:r w:rsidRPr="006603BA">
        <w:rPr>
          <w:rFonts w:ascii="Times New Roman" w:hAnsi="Times New Roman"/>
          <w:sz w:val="24"/>
          <w:szCs w:val="24"/>
        </w:rPr>
        <w:t xml:space="preserve"> денег «день в день» – вечерний и отложенный </w:t>
      </w:r>
      <w:r>
        <w:rPr>
          <w:rFonts w:ascii="Times New Roman" w:hAnsi="Times New Roman"/>
          <w:sz w:val="24"/>
          <w:szCs w:val="24"/>
        </w:rPr>
        <w:t>возврат денежных средств;</w:t>
      </w:r>
    </w:p>
    <w:p w14:paraId="13A50A27" w14:textId="77777777" w:rsidR="00B25282" w:rsidRDefault="00B25282" w:rsidP="00441380">
      <w:pPr>
        <w:pStyle w:val="a3"/>
        <w:numPr>
          <w:ilvl w:val="1"/>
          <w:numId w:val="42"/>
        </w:numPr>
        <w:autoSpaceDN w:val="0"/>
        <w:spacing w:after="0" w:line="240" w:lineRule="auto"/>
        <w:jc w:val="both"/>
        <w:rPr>
          <w:rFonts w:ascii="Times New Roman" w:hAnsi="Times New Roman"/>
          <w:sz w:val="24"/>
          <w:szCs w:val="24"/>
        </w:rPr>
      </w:pPr>
      <w:r>
        <w:rPr>
          <w:rFonts w:ascii="Times New Roman" w:hAnsi="Times New Roman"/>
          <w:sz w:val="24"/>
          <w:szCs w:val="24"/>
        </w:rPr>
        <w:t>р</w:t>
      </w:r>
      <w:r w:rsidRPr="006603BA">
        <w:rPr>
          <w:rFonts w:ascii="Times New Roman" w:hAnsi="Times New Roman"/>
          <w:sz w:val="24"/>
          <w:szCs w:val="24"/>
        </w:rPr>
        <w:t xml:space="preserve">асширение перечня валют </w:t>
      </w:r>
      <w:r>
        <w:rPr>
          <w:rFonts w:ascii="Times New Roman" w:hAnsi="Times New Roman"/>
          <w:sz w:val="24"/>
          <w:szCs w:val="24"/>
        </w:rPr>
        <w:t>- в</w:t>
      </w:r>
      <w:r w:rsidRPr="006603BA">
        <w:rPr>
          <w:rFonts w:ascii="Times New Roman" w:hAnsi="Times New Roman"/>
          <w:sz w:val="24"/>
          <w:szCs w:val="24"/>
        </w:rPr>
        <w:t>недрен учет сделок</w:t>
      </w:r>
      <w:r>
        <w:rPr>
          <w:rFonts w:ascii="Times New Roman" w:hAnsi="Times New Roman"/>
          <w:sz w:val="24"/>
          <w:szCs w:val="24"/>
        </w:rPr>
        <w:t xml:space="preserve"> всех типов с новыми валютами </w:t>
      </w:r>
      <w:r w:rsidRPr="006603BA">
        <w:rPr>
          <w:rFonts w:ascii="Times New Roman" w:hAnsi="Times New Roman"/>
          <w:sz w:val="24"/>
          <w:szCs w:val="24"/>
        </w:rPr>
        <w:t>EUR и CNY</w:t>
      </w:r>
      <w:r>
        <w:rPr>
          <w:rFonts w:ascii="Times New Roman" w:hAnsi="Times New Roman"/>
          <w:sz w:val="24"/>
          <w:szCs w:val="24"/>
        </w:rPr>
        <w:t>;</w:t>
      </w:r>
    </w:p>
    <w:p w14:paraId="3D832853" w14:textId="77777777" w:rsidR="00B25282" w:rsidRDefault="00B25282" w:rsidP="00441380">
      <w:pPr>
        <w:pStyle w:val="a3"/>
        <w:numPr>
          <w:ilvl w:val="1"/>
          <w:numId w:val="4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внедрение </w:t>
      </w:r>
      <w:r w:rsidRPr="007659AA">
        <w:rPr>
          <w:rFonts w:ascii="Times New Roman" w:hAnsi="Times New Roman"/>
          <w:sz w:val="24"/>
          <w:szCs w:val="24"/>
        </w:rPr>
        <w:t>поставочны</w:t>
      </w:r>
      <w:r>
        <w:rPr>
          <w:rFonts w:ascii="Times New Roman" w:hAnsi="Times New Roman"/>
          <w:sz w:val="24"/>
          <w:szCs w:val="24"/>
        </w:rPr>
        <w:t>х форвардов.</w:t>
      </w:r>
    </w:p>
    <w:p w14:paraId="6BAECDCB" w14:textId="77777777" w:rsidR="00B25282" w:rsidRDefault="00B25282" w:rsidP="00441380">
      <w:pPr>
        <w:pStyle w:val="a3"/>
        <w:numPr>
          <w:ilvl w:val="0"/>
          <w:numId w:val="37"/>
        </w:numPr>
        <w:autoSpaceDN w:val="0"/>
        <w:spacing w:after="0" w:line="240" w:lineRule="auto"/>
        <w:jc w:val="both"/>
        <w:rPr>
          <w:rFonts w:ascii="Times New Roman" w:hAnsi="Times New Roman"/>
          <w:sz w:val="24"/>
          <w:szCs w:val="24"/>
        </w:rPr>
      </w:pPr>
      <w:r>
        <w:rPr>
          <w:rFonts w:ascii="Times New Roman" w:hAnsi="Times New Roman"/>
          <w:sz w:val="24"/>
          <w:szCs w:val="24"/>
        </w:rPr>
        <w:t>Развитие и</w:t>
      </w:r>
      <w:r w:rsidRPr="0028577E">
        <w:rPr>
          <w:rFonts w:ascii="Times New Roman" w:hAnsi="Times New Roman"/>
          <w:sz w:val="24"/>
          <w:szCs w:val="24"/>
        </w:rPr>
        <w:t>нтеграци</w:t>
      </w:r>
      <w:r>
        <w:rPr>
          <w:rFonts w:ascii="Times New Roman" w:hAnsi="Times New Roman"/>
          <w:sz w:val="24"/>
          <w:szCs w:val="24"/>
        </w:rPr>
        <w:t>и</w:t>
      </w:r>
      <w:r w:rsidRPr="00485D2E">
        <w:rPr>
          <w:rFonts w:ascii="Times New Roman" w:hAnsi="Times New Roman"/>
          <w:sz w:val="24"/>
          <w:szCs w:val="24"/>
        </w:rPr>
        <w:t xml:space="preserve"> </w:t>
      </w:r>
      <w:r>
        <w:rPr>
          <w:rFonts w:ascii="Times New Roman" w:hAnsi="Times New Roman"/>
          <w:sz w:val="24"/>
          <w:szCs w:val="24"/>
        </w:rPr>
        <w:t>с</w:t>
      </w:r>
      <w:r w:rsidRPr="0028577E">
        <w:rPr>
          <w:rFonts w:ascii="Times New Roman" w:hAnsi="Times New Roman"/>
          <w:sz w:val="24"/>
          <w:szCs w:val="24"/>
        </w:rPr>
        <w:t xml:space="preserve"> ИБС</w:t>
      </w:r>
      <w:r>
        <w:rPr>
          <w:rFonts w:ascii="Times New Roman" w:hAnsi="Times New Roman"/>
          <w:sz w:val="24"/>
          <w:szCs w:val="24"/>
        </w:rPr>
        <w:t xml:space="preserve"> «Центавр Омега»</w:t>
      </w:r>
      <w:r w:rsidRPr="0028577E">
        <w:rPr>
          <w:rFonts w:ascii="Times New Roman" w:hAnsi="Times New Roman"/>
          <w:sz w:val="24"/>
          <w:szCs w:val="24"/>
        </w:rPr>
        <w:t>:</w:t>
      </w:r>
    </w:p>
    <w:p w14:paraId="2C19D630" w14:textId="77777777" w:rsidR="00B25282" w:rsidRPr="007659AA" w:rsidRDefault="00B25282" w:rsidP="00441380">
      <w:pPr>
        <w:pStyle w:val="a3"/>
        <w:numPr>
          <w:ilvl w:val="1"/>
          <w:numId w:val="43"/>
        </w:numPr>
        <w:autoSpaceDN w:val="0"/>
        <w:spacing w:after="0" w:line="240" w:lineRule="auto"/>
        <w:jc w:val="both"/>
        <w:rPr>
          <w:rFonts w:ascii="Times New Roman" w:hAnsi="Times New Roman"/>
          <w:sz w:val="24"/>
          <w:szCs w:val="24"/>
        </w:rPr>
      </w:pPr>
      <w:r w:rsidRPr="0028577E">
        <w:rPr>
          <w:rFonts w:ascii="Times New Roman" w:hAnsi="Times New Roman"/>
          <w:sz w:val="24"/>
          <w:szCs w:val="24"/>
        </w:rPr>
        <w:t xml:space="preserve">реализована </w:t>
      </w:r>
      <w:r>
        <w:rPr>
          <w:rFonts w:ascii="Times New Roman" w:hAnsi="Times New Roman"/>
          <w:sz w:val="24"/>
          <w:szCs w:val="24"/>
        </w:rPr>
        <w:t>передача</w:t>
      </w:r>
      <w:r w:rsidRPr="007659AA">
        <w:rPr>
          <w:rFonts w:ascii="Times New Roman" w:hAnsi="Times New Roman"/>
          <w:sz w:val="24"/>
          <w:szCs w:val="24"/>
        </w:rPr>
        <w:t xml:space="preserve"> даты фиксинга по форварду NDF,</w:t>
      </w:r>
    </w:p>
    <w:p w14:paraId="763AC993" w14:textId="77777777" w:rsidR="00B25282" w:rsidRPr="0028577E" w:rsidRDefault="00B25282" w:rsidP="00441380">
      <w:pPr>
        <w:pStyle w:val="a3"/>
        <w:numPr>
          <w:ilvl w:val="1"/>
          <w:numId w:val="4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реализована передача </w:t>
      </w:r>
      <w:r w:rsidRPr="007659AA">
        <w:rPr>
          <w:rFonts w:ascii="Times New Roman" w:hAnsi="Times New Roman"/>
          <w:sz w:val="24"/>
          <w:szCs w:val="24"/>
        </w:rPr>
        <w:t>сделок поставочный форвард.</w:t>
      </w:r>
    </w:p>
    <w:p w14:paraId="4853F9F3"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Количественные показатели на рынке СПФИ за 2016г. характеризуются следующими показателями: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134"/>
        <w:gridCol w:w="1440"/>
      </w:tblGrid>
      <w:tr w:rsidR="00B25282" w:rsidRPr="003E30A8" w14:paraId="7B0C1BC3" w14:textId="77777777" w:rsidTr="00257FB8">
        <w:tc>
          <w:tcPr>
            <w:tcW w:w="6379" w:type="dxa"/>
            <w:shd w:val="clear" w:color="auto" w:fill="auto"/>
          </w:tcPr>
          <w:p w14:paraId="58A8A855" w14:textId="77777777" w:rsidR="00B25282" w:rsidRPr="003E30A8" w:rsidRDefault="00B25282" w:rsidP="00257FB8">
            <w:pPr>
              <w:spacing w:after="0"/>
              <w:rPr>
                <w:rFonts w:ascii="Times New Roman" w:hAnsi="Times New Roman"/>
                <w:b/>
                <w:sz w:val="24"/>
                <w:szCs w:val="24"/>
              </w:rPr>
            </w:pPr>
            <w:r w:rsidRPr="003E30A8">
              <w:rPr>
                <w:rFonts w:ascii="Times New Roman" w:hAnsi="Times New Roman"/>
                <w:b/>
                <w:sz w:val="24"/>
                <w:szCs w:val="24"/>
              </w:rPr>
              <w:t>Показатель</w:t>
            </w:r>
          </w:p>
        </w:tc>
        <w:tc>
          <w:tcPr>
            <w:tcW w:w="1134" w:type="dxa"/>
            <w:shd w:val="clear" w:color="auto" w:fill="auto"/>
          </w:tcPr>
          <w:p w14:paraId="594EA28A" w14:textId="77777777" w:rsidR="00B25282" w:rsidRPr="003E30A8" w:rsidRDefault="00B25282" w:rsidP="00257FB8">
            <w:pPr>
              <w:spacing w:after="0"/>
              <w:rPr>
                <w:rFonts w:ascii="Times New Roman" w:hAnsi="Times New Roman"/>
                <w:b/>
                <w:sz w:val="24"/>
                <w:szCs w:val="24"/>
              </w:rPr>
            </w:pPr>
            <w:r w:rsidRPr="003E30A8">
              <w:rPr>
                <w:rFonts w:ascii="Times New Roman" w:hAnsi="Times New Roman"/>
                <w:b/>
                <w:sz w:val="24"/>
                <w:szCs w:val="24"/>
              </w:rPr>
              <w:t>Всего</w:t>
            </w:r>
          </w:p>
        </w:tc>
        <w:tc>
          <w:tcPr>
            <w:tcW w:w="1440" w:type="dxa"/>
            <w:shd w:val="clear" w:color="auto" w:fill="auto"/>
          </w:tcPr>
          <w:p w14:paraId="38BE63EC" w14:textId="77777777" w:rsidR="00B25282" w:rsidRPr="003E30A8" w:rsidRDefault="00B25282" w:rsidP="00257FB8">
            <w:pPr>
              <w:spacing w:after="0"/>
              <w:rPr>
                <w:rFonts w:ascii="Times New Roman" w:hAnsi="Times New Roman"/>
                <w:b/>
                <w:sz w:val="24"/>
                <w:szCs w:val="24"/>
              </w:rPr>
            </w:pPr>
            <w:r w:rsidRPr="003E30A8">
              <w:rPr>
                <w:rFonts w:ascii="Times New Roman" w:hAnsi="Times New Roman"/>
                <w:b/>
                <w:sz w:val="24"/>
                <w:szCs w:val="24"/>
              </w:rPr>
              <w:t>Новых</w:t>
            </w:r>
          </w:p>
        </w:tc>
      </w:tr>
      <w:tr w:rsidR="00B25282" w:rsidRPr="003E30A8" w14:paraId="4E76BA22" w14:textId="77777777" w:rsidTr="00257FB8">
        <w:tc>
          <w:tcPr>
            <w:tcW w:w="6379" w:type="dxa"/>
            <w:shd w:val="clear" w:color="auto" w:fill="auto"/>
          </w:tcPr>
          <w:p w14:paraId="1A920F8A" w14:textId="77777777" w:rsidR="00B25282" w:rsidRPr="003E30A8" w:rsidRDefault="00B25282" w:rsidP="00257FB8">
            <w:pPr>
              <w:spacing w:after="0"/>
              <w:rPr>
                <w:rFonts w:ascii="Times New Roman" w:hAnsi="Times New Roman"/>
                <w:sz w:val="24"/>
                <w:szCs w:val="24"/>
              </w:rPr>
            </w:pPr>
            <w:r w:rsidRPr="003E30A8">
              <w:rPr>
                <w:rFonts w:ascii="Times New Roman" w:hAnsi="Times New Roman"/>
                <w:sz w:val="24"/>
                <w:szCs w:val="24"/>
              </w:rPr>
              <w:t>Активных пользователей</w:t>
            </w:r>
          </w:p>
        </w:tc>
        <w:tc>
          <w:tcPr>
            <w:tcW w:w="1134" w:type="dxa"/>
            <w:shd w:val="clear" w:color="auto" w:fill="auto"/>
          </w:tcPr>
          <w:p w14:paraId="706AD2CF"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41</w:t>
            </w:r>
          </w:p>
        </w:tc>
        <w:tc>
          <w:tcPr>
            <w:tcW w:w="1440" w:type="dxa"/>
            <w:shd w:val="clear" w:color="auto" w:fill="auto"/>
          </w:tcPr>
          <w:p w14:paraId="4D263972"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10</w:t>
            </w:r>
          </w:p>
        </w:tc>
      </w:tr>
      <w:tr w:rsidR="00B25282" w:rsidRPr="003E30A8" w14:paraId="3B5C3683" w14:textId="77777777" w:rsidTr="00257FB8">
        <w:tc>
          <w:tcPr>
            <w:tcW w:w="6379" w:type="dxa"/>
            <w:shd w:val="clear" w:color="auto" w:fill="auto"/>
          </w:tcPr>
          <w:p w14:paraId="3BCF7D86" w14:textId="77777777" w:rsidR="00B25282" w:rsidRPr="003E30A8" w:rsidRDefault="00B25282" w:rsidP="00257FB8">
            <w:pPr>
              <w:spacing w:after="0"/>
              <w:rPr>
                <w:rFonts w:ascii="Times New Roman" w:hAnsi="Times New Roman"/>
                <w:sz w:val="24"/>
                <w:szCs w:val="24"/>
              </w:rPr>
            </w:pPr>
            <w:r w:rsidRPr="003E30A8">
              <w:rPr>
                <w:rFonts w:ascii="Times New Roman" w:hAnsi="Times New Roman"/>
                <w:sz w:val="24"/>
                <w:szCs w:val="24"/>
              </w:rPr>
              <w:t>Активных логинов Участников Клиринга Рынка СПФИ</w:t>
            </w:r>
          </w:p>
        </w:tc>
        <w:tc>
          <w:tcPr>
            <w:tcW w:w="1134" w:type="dxa"/>
            <w:shd w:val="clear" w:color="auto" w:fill="auto"/>
          </w:tcPr>
          <w:p w14:paraId="220F48FC"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58</w:t>
            </w:r>
          </w:p>
        </w:tc>
        <w:tc>
          <w:tcPr>
            <w:tcW w:w="1440" w:type="dxa"/>
            <w:shd w:val="clear" w:color="auto" w:fill="auto"/>
          </w:tcPr>
          <w:p w14:paraId="3F6FB414"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12</w:t>
            </w:r>
          </w:p>
        </w:tc>
      </w:tr>
      <w:tr w:rsidR="00B25282" w:rsidRPr="003E30A8" w14:paraId="24CE0645" w14:textId="77777777" w:rsidTr="00257FB8">
        <w:tc>
          <w:tcPr>
            <w:tcW w:w="6379" w:type="dxa"/>
            <w:shd w:val="clear" w:color="auto" w:fill="auto"/>
          </w:tcPr>
          <w:p w14:paraId="5BA411DC" w14:textId="77777777" w:rsidR="00B25282" w:rsidRPr="003E30A8" w:rsidRDefault="00B25282" w:rsidP="00257FB8">
            <w:pPr>
              <w:spacing w:after="0"/>
              <w:rPr>
                <w:rFonts w:ascii="Times New Roman" w:hAnsi="Times New Roman"/>
                <w:sz w:val="24"/>
                <w:szCs w:val="24"/>
              </w:rPr>
            </w:pPr>
            <w:r w:rsidRPr="003E30A8">
              <w:rPr>
                <w:rFonts w:ascii="Times New Roman" w:hAnsi="Times New Roman"/>
                <w:sz w:val="24"/>
                <w:szCs w:val="24"/>
              </w:rPr>
              <w:t>Сделок Участник Клиринга -ЦК на Рынке СПФИ</w:t>
            </w:r>
          </w:p>
        </w:tc>
        <w:tc>
          <w:tcPr>
            <w:tcW w:w="1134" w:type="dxa"/>
            <w:shd w:val="clear" w:color="auto" w:fill="auto"/>
          </w:tcPr>
          <w:p w14:paraId="404E0FB2"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122</w:t>
            </w:r>
          </w:p>
        </w:tc>
        <w:tc>
          <w:tcPr>
            <w:tcW w:w="1440" w:type="dxa"/>
            <w:shd w:val="clear" w:color="auto" w:fill="auto"/>
          </w:tcPr>
          <w:p w14:paraId="0DBCF34A" w14:textId="77777777" w:rsidR="00B25282" w:rsidRPr="003E30A8" w:rsidRDefault="00B25282" w:rsidP="00257FB8">
            <w:pPr>
              <w:spacing w:after="0"/>
              <w:rPr>
                <w:rFonts w:ascii="Times New Roman" w:hAnsi="Times New Roman"/>
                <w:sz w:val="24"/>
                <w:szCs w:val="24"/>
              </w:rPr>
            </w:pPr>
            <w:r>
              <w:rPr>
                <w:rFonts w:ascii="Times New Roman" w:hAnsi="Times New Roman"/>
                <w:sz w:val="24"/>
                <w:szCs w:val="24"/>
              </w:rPr>
              <w:t>66</w:t>
            </w:r>
          </w:p>
        </w:tc>
      </w:tr>
    </w:tbl>
    <w:p w14:paraId="0ED35B3D" w14:textId="77777777" w:rsidR="00B25282" w:rsidRDefault="00B25282" w:rsidP="00B25282">
      <w:pPr>
        <w:autoSpaceDN w:val="0"/>
        <w:spacing w:after="0" w:line="240" w:lineRule="auto"/>
        <w:ind w:firstLine="360"/>
        <w:jc w:val="both"/>
        <w:rPr>
          <w:rFonts w:ascii="Times New Roman" w:hAnsi="Times New Roman"/>
          <w:sz w:val="24"/>
          <w:szCs w:val="24"/>
        </w:rPr>
      </w:pPr>
    </w:p>
    <w:p w14:paraId="5D5FE24A"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 соответствии с требованиями Положения Банка России от 19.06.2016 № 397-П «О порядке создания, ведения и хранения баз данных на электронных носителях» внедрена технология формирования и передачи электронных архивов Банка НКЦ на внеофисное хранение.</w:t>
      </w:r>
    </w:p>
    <w:p w14:paraId="3A0FFC32"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С целью исполнения требований Федерального закона № 213-ФЗ от 24.06.2009, Положения Банка России 407-П от 4.12.2014 и приказа Росфинмониторинга от 23.12.2014 № 349 в составе программного комплекса «АРМ 407-П» внедрен в промышленную эксплуатацию модуль «Запрос» для предоставления в Росфинмониторинг сведений в соответствии с законодательством Российской Федерации.</w:t>
      </w:r>
    </w:p>
    <w:p w14:paraId="5EDA635E"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Продолжается развитие сервисов системы управления базами данных (СУБД) ORACLE. В 2016г. суммарный объем сопровождаемых баз данных (БД) достиг 54 Тб, количество БД в 42 шт. Получила продолжение реализации задачи автоматического размещения риск-параметров на сайте НКЦ. В 2016г выполнено автоматическое размещение на сайте НКЦ риск-параметров на фондовом и валютном рынках Московской Биржи.</w:t>
      </w:r>
    </w:p>
    <w:p w14:paraId="7B230555" w14:textId="77777777" w:rsidR="001C2243" w:rsidRDefault="001C2243" w:rsidP="00B25282">
      <w:pPr>
        <w:autoSpaceDN w:val="0"/>
        <w:spacing w:after="0" w:line="240" w:lineRule="auto"/>
        <w:ind w:firstLine="360"/>
        <w:jc w:val="both"/>
        <w:rPr>
          <w:rFonts w:ascii="Times New Roman" w:hAnsi="Times New Roman"/>
          <w:sz w:val="24"/>
          <w:szCs w:val="24"/>
        </w:rPr>
      </w:pPr>
    </w:p>
    <w:p w14:paraId="09907535" w14:textId="77777777" w:rsidR="00B25282" w:rsidRPr="00EA2597" w:rsidRDefault="00B25282"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Проведенный в 2016г. нагрузочный тест подтвердил работоспособность ПТК Банка  при нагрузке, вдвое превосходящей текущую.</w:t>
      </w:r>
    </w:p>
    <w:p w14:paraId="05ED3851" w14:textId="77777777" w:rsidR="00B25282" w:rsidRPr="0002361F" w:rsidRDefault="00B25282" w:rsidP="00B25282">
      <w:pPr>
        <w:pStyle w:val="a3"/>
        <w:widowControl w:val="0"/>
        <w:tabs>
          <w:tab w:val="left" w:pos="8820"/>
        </w:tabs>
        <w:overflowPunct w:val="0"/>
        <w:autoSpaceDE w:val="0"/>
        <w:autoSpaceDN w:val="0"/>
        <w:adjustRightInd w:val="0"/>
        <w:spacing w:after="0" w:line="240" w:lineRule="auto"/>
        <w:ind w:left="1069" w:right="76"/>
        <w:textAlignment w:val="baseline"/>
        <w:rPr>
          <w:rFonts w:ascii="Times New Roman" w:eastAsia="Times New Roman" w:hAnsi="Times New Roman"/>
          <w:sz w:val="28"/>
          <w:szCs w:val="28"/>
          <w:lang w:eastAsia="ru-RU"/>
        </w:rPr>
      </w:pPr>
    </w:p>
    <w:p w14:paraId="78962888" w14:textId="77777777" w:rsidR="00B25282" w:rsidRPr="00855D02" w:rsidRDefault="00B25282" w:rsidP="00B25282">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39DD095" w14:textId="77777777" w:rsidR="00B25282" w:rsidRPr="00B25282" w:rsidRDefault="00B25282" w:rsidP="00B25282">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b/>
          <w:sz w:val="28"/>
          <w:szCs w:val="28"/>
          <w:lang w:eastAsia="ru-RU"/>
        </w:rPr>
      </w:pPr>
    </w:p>
    <w:p w14:paraId="4857C29D" w14:textId="77777777" w:rsidR="00771576" w:rsidRDefault="00771576" w:rsidP="00EB7765">
      <w:pPr>
        <w:autoSpaceDN w:val="0"/>
        <w:spacing w:after="0" w:line="240" w:lineRule="auto"/>
        <w:ind w:firstLine="360"/>
        <w:jc w:val="both"/>
        <w:rPr>
          <w:rFonts w:ascii="Times New Roman" w:hAnsi="Times New Roman"/>
          <w:sz w:val="24"/>
          <w:szCs w:val="24"/>
        </w:rPr>
      </w:pPr>
    </w:p>
    <w:p w14:paraId="69D1DCBF" w14:textId="77777777" w:rsidR="001E6F67" w:rsidRPr="00855D02"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330E71D1" w14:textId="77777777" w:rsidR="001E6F67" w:rsidRPr="008C7727" w:rsidRDefault="001E6F67" w:rsidP="008C7727">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8C7727">
        <w:rPr>
          <w:rFonts w:ascii="Times New Roman" w:eastAsia="Times New Roman" w:hAnsi="Times New Roman" w:cs="Times New Roman"/>
          <w:b/>
          <w:sz w:val="28"/>
          <w:szCs w:val="28"/>
          <w:lang w:eastAsia="ru-RU"/>
        </w:rPr>
        <w:t>10.Основные финансовые результаты</w:t>
      </w:r>
    </w:p>
    <w:p w14:paraId="4C311E04" w14:textId="77777777" w:rsidR="001E6F67"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tbl>
      <w:tblPr>
        <w:tblW w:w="9263" w:type="dxa"/>
        <w:tblInd w:w="93" w:type="dxa"/>
        <w:tblLook w:val="04A0" w:firstRow="1" w:lastRow="0" w:firstColumn="1" w:lastColumn="0" w:noHBand="0" w:noVBand="1"/>
      </w:tblPr>
      <w:tblGrid>
        <w:gridCol w:w="5431"/>
        <w:gridCol w:w="3832"/>
      </w:tblGrid>
      <w:tr w:rsidR="00A93E43" w:rsidRPr="00A93E43" w14:paraId="3E8E2BFB" w14:textId="77777777" w:rsidTr="00257FB8">
        <w:trPr>
          <w:trHeight w:val="300"/>
        </w:trPr>
        <w:tc>
          <w:tcPr>
            <w:tcW w:w="9263" w:type="dxa"/>
            <w:gridSpan w:val="2"/>
            <w:tcBorders>
              <w:top w:val="nil"/>
              <w:left w:val="nil"/>
              <w:bottom w:val="nil"/>
              <w:right w:val="nil"/>
            </w:tcBorders>
            <w:shd w:val="clear" w:color="auto" w:fill="auto"/>
            <w:noWrap/>
            <w:vAlign w:val="bottom"/>
            <w:hideMark/>
          </w:tcPr>
          <w:p w14:paraId="1359570C" w14:textId="77777777" w:rsidR="00A93E43" w:rsidRPr="00A93E43" w:rsidRDefault="00A93E43" w:rsidP="00A93E43">
            <w:pPr>
              <w:spacing w:after="0" w:line="240" w:lineRule="auto"/>
              <w:ind w:left="709"/>
              <w:jc w:val="center"/>
              <w:rPr>
                <w:rFonts w:ascii="Times New Roman" w:eastAsia="Times New Roman" w:hAnsi="Times New Roman" w:cs="Times New Roman"/>
                <w:b/>
                <w:iCs/>
                <w:color w:val="000000"/>
                <w:sz w:val="24"/>
                <w:szCs w:val="24"/>
                <w:lang w:eastAsia="ru-RU"/>
              </w:rPr>
            </w:pPr>
          </w:p>
          <w:p w14:paraId="656D27CC" w14:textId="77777777" w:rsidR="00A93E43" w:rsidRPr="00A93E43" w:rsidRDefault="00A93E43" w:rsidP="00A93E43">
            <w:pPr>
              <w:spacing w:after="0" w:line="240" w:lineRule="auto"/>
              <w:ind w:left="709"/>
              <w:jc w:val="center"/>
              <w:rPr>
                <w:rFonts w:ascii="Times New Roman" w:eastAsia="Times New Roman" w:hAnsi="Times New Roman" w:cs="Times New Roman"/>
                <w:b/>
                <w:iCs/>
                <w:color w:val="000000"/>
                <w:sz w:val="24"/>
                <w:szCs w:val="24"/>
                <w:lang w:eastAsia="ru-RU"/>
              </w:rPr>
            </w:pPr>
            <w:r w:rsidRPr="00A93E43">
              <w:rPr>
                <w:rFonts w:ascii="Times New Roman" w:eastAsia="Times New Roman" w:hAnsi="Times New Roman" w:cs="Times New Roman"/>
                <w:b/>
                <w:iCs/>
                <w:color w:val="000000"/>
                <w:sz w:val="24"/>
                <w:szCs w:val="24"/>
                <w:lang w:eastAsia="ru-RU"/>
              </w:rPr>
              <w:t xml:space="preserve">Основные финансовые результаты деятельности </w:t>
            </w:r>
          </w:p>
          <w:p w14:paraId="279C9F0B" w14:textId="77777777" w:rsidR="00A93E43" w:rsidRPr="00A93E43" w:rsidRDefault="00A93E43" w:rsidP="00A93E43">
            <w:pPr>
              <w:spacing w:after="0" w:line="240" w:lineRule="auto"/>
              <w:ind w:left="709"/>
              <w:jc w:val="center"/>
              <w:rPr>
                <w:rFonts w:ascii="Times New Roman" w:eastAsia="Times New Roman" w:hAnsi="Times New Roman" w:cs="Times New Roman"/>
                <w:b/>
                <w:iCs/>
                <w:color w:val="000000"/>
                <w:sz w:val="24"/>
                <w:szCs w:val="24"/>
                <w:lang w:eastAsia="ru-RU"/>
              </w:rPr>
            </w:pPr>
            <w:r w:rsidRPr="00A93E43">
              <w:rPr>
                <w:rFonts w:ascii="Times New Roman" w:eastAsia="Times New Roman" w:hAnsi="Times New Roman" w:cs="Times New Roman"/>
                <w:b/>
                <w:iCs/>
                <w:color w:val="000000"/>
                <w:sz w:val="24"/>
                <w:szCs w:val="24"/>
                <w:lang w:eastAsia="ru-RU"/>
              </w:rPr>
              <w:t xml:space="preserve">по состоянию на 01.01.2017 г. </w:t>
            </w:r>
          </w:p>
        </w:tc>
      </w:tr>
      <w:tr w:rsidR="00A93E43" w:rsidRPr="00A93E43" w14:paraId="63A22BEF" w14:textId="77777777" w:rsidTr="00257FB8">
        <w:trPr>
          <w:trHeight w:val="315"/>
        </w:trPr>
        <w:tc>
          <w:tcPr>
            <w:tcW w:w="5431" w:type="dxa"/>
            <w:tcBorders>
              <w:top w:val="nil"/>
              <w:left w:val="nil"/>
              <w:bottom w:val="nil"/>
              <w:right w:val="nil"/>
            </w:tcBorders>
            <w:shd w:val="clear" w:color="auto" w:fill="auto"/>
            <w:noWrap/>
            <w:vAlign w:val="bottom"/>
            <w:hideMark/>
          </w:tcPr>
          <w:p w14:paraId="6F3A24DB" w14:textId="77777777" w:rsidR="00A93E43" w:rsidRPr="00A93E43" w:rsidRDefault="00A93E43" w:rsidP="00A93E43">
            <w:pPr>
              <w:spacing w:after="0" w:line="240" w:lineRule="auto"/>
              <w:ind w:left="709"/>
              <w:jc w:val="center"/>
              <w:rPr>
                <w:rFonts w:ascii="Times New Roman" w:eastAsia="Times New Roman" w:hAnsi="Times New Roman" w:cs="Times New Roman"/>
                <w:b/>
                <w:color w:val="000000"/>
                <w:sz w:val="28"/>
                <w:szCs w:val="28"/>
                <w:lang w:eastAsia="ru-RU"/>
              </w:rPr>
            </w:pPr>
          </w:p>
        </w:tc>
        <w:tc>
          <w:tcPr>
            <w:tcW w:w="3832" w:type="dxa"/>
            <w:tcBorders>
              <w:top w:val="nil"/>
              <w:left w:val="nil"/>
              <w:bottom w:val="nil"/>
              <w:right w:val="nil"/>
            </w:tcBorders>
            <w:shd w:val="clear" w:color="auto" w:fill="auto"/>
            <w:noWrap/>
            <w:vAlign w:val="bottom"/>
            <w:hideMark/>
          </w:tcPr>
          <w:p w14:paraId="24A4DC3F" w14:textId="77777777" w:rsidR="00A93E43" w:rsidRPr="00A93E43" w:rsidRDefault="00A93E43" w:rsidP="00A93E43">
            <w:pPr>
              <w:spacing w:after="0" w:line="240" w:lineRule="auto"/>
              <w:ind w:left="709"/>
              <w:jc w:val="right"/>
              <w:rPr>
                <w:rFonts w:ascii="Times New Roman" w:eastAsia="Times New Roman" w:hAnsi="Times New Roman" w:cs="Times New Roman"/>
                <w:b/>
                <w:color w:val="000000"/>
                <w:sz w:val="28"/>
                <w:szCs w:val="28"/>
                <w:lang w:eastAsia="ru-RU"/>
              </w:rPr>
            </w:pPr>
            <w:r w:rsidRPr="00A93E43">
              <w:rPr>
                <w:rFonts w:ascii="Times New Roman" w:eastAsia="Times New Roman" w:hAnsi="Times New Roman" w:cs="Times New Roman"/>
                <w:b/>
                <w:iCs/>
                <w:color w:val="000000"/>
                <w:sz w:val="24"/>
                <w:szCs w:val="24"/>
                <w:lang w:eastAsia="ru-RU"/>
              </w:rPr>
              <w:t>(тыс. руб.)</w:t>
            </w:r>
          </w:p>
        </w:tc>
      </w:tr>
      <w:tr w:rsidR="00A93E43" w:rsidRPr="00A93E43" w14:paraId="7B7A8008" w14:textId="77777777" w:rsidTr="00257FB8">
        <w:trPr>
          <w:trHeight w:val="315"/>
        </w:trPr>
        <w:tc>
          <w:tcPr>
            <w:tcW w:w="5431" w:type="dxa"/>
            <w:tcBorders>
              <w:top w:val="nil"/>
              <w:left w:val="nil"/>
              <w:right w:val="nil"/>
            </w:tcBorders>
            <w:shd w:val="clear" w:color="auto" w:fill="auto"/>
            <w:noWrap/>
            <w:vAlign w:val="bottom"/>
            <w:hideMark/>
          </w:tcPr>
          <w:p w14:paraId="5F7C61DD" w14:textId="77777777" w:rsidR="00A93E43" w:rsidRPr="00A93E43" w:rsidRDefault="00A93E43" w:rsidP="00A93E43">
            <w:pPr>
              <w:spacing w:after="0" w:line="240" w:lineRule="auto"/>
              <w:ind w:left="709"/>
              <w:jc w:val="both"/>
              <w:rPr>
                <w:rFonts w:ascii="Times New Roman" w:eastAsia="Times New Roman" w:hAnsi="Times New Roman" w:cs="Times New Roman"/>
                <w:color w:val="000000"/>
                <w:sz w:val="24"/>
                <w:szCs w:val="24"/>
                <w:lang w:eastAsia="ru-RU"/>
              </w:rPr>
            </w:pPr>
          </w:p>
        </w:tc>
        <w:tc>
          <w:tcPr>
            <w:tcW w:w="3832" w:type="dxa"/>
            <w:tcBorders>
              <w:top w:val="nil"/>
              <w:left w:val="nil"/>
              <w:right w:val="nil"/>
            </w:tcBorders>
            <w:shd w:val="clear" w:color="auto" w:fill="auto"/>
            <w:noWrap/>
            <w:vAlign w:val="bottom"/>
            <w:hideMark/>
          </w:tcPr>
          <w:p w14:paraId="41C346A8" w14:textId="77777777" w:rsidR="00A93E43" w:rsidRPr="00A93E43" w:rsidRDefault="00A93E43" w:rsidP="00A93E43">
            <w:pPr>
              <w:spacing w:after="0" w:line="240" w:lineRule="auto"/>
              <w:ind w:left="709"/>
              <w:jc w:val="both"/>
              <w:rPr>
                <w:rFonts w:ascii="Times New Roman" w:eastAsia="Times New Roman" w:hAnsi="Times New Roman" w:cs="Times New Roman"/>
                <w:color w:val="000000"/>
                <w:sz w:val="24"/>
                <w:szCs w:val="24"/>
                <w:lang w:eastAsia="ru-RU"/>
              </w:rPr>
            </w:pPr>
          </w:p>
        </w:tc>
      </w:tr>
      <w:tr w:rsidR="00A93E43" w:rsidRPr="00A93E43" w14:paraId="1E1A4A0A" w14:textId="77777777" w:rsidTr="00257FB8">
        <w:trPr>
          <w:trHeight w:val="315"/>
        </w:trPr>
        <w:tc>
          <w:tcPr>
            <w:tcW w:w="5431" w:type="dxa"/>
            <w:shd w:val="clear" w:color="auto" w:fill="auto"/>
            <w:noWrap/>
            <w:vAlign w:val="bottom"/>
            <w:hideMark/>
          </w:tcPr>
          <w:p w14:paraId="258EAD6A"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Собственные средства (капитал)</w:t>
            </w:r>
          </w:p>
        </w:tc>
        <w:tc>
          <w:tcPr>
            <w:tcW w:w="3832" w:type="dxa"/>
            <w:shd w:val="clear" w:color="auto" w:fill="auto"/>
            <w:noWrap/>
            <w:vAlign w:val="bottom"/>
            <w:hideMark/>
          </w:tcPr>
          <w:p w14:paraId="6D9F94BF"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46 515 470</w:t>
            </w:r>
          </w:p>
        </w:tc>
      </w:tr>
      <w:tr w:rsidR="00A93E43" w:rsidRPr="00A93E43" w14:paraId="2BDA2457" w14:textId="77777777" w:rsidTr="00257FB8">
        <w:trPr>
          <w:trHeight w:val="300"/>
        </w:trPr>
        <w:tc>
          <w:tcPr>
            <w:tcW w:w="5431" w:type="dxa"/>
            <w:shd w:val="clear" w:color="auto" w:fill="auto"/>
            <w:noWrap/>
            <w:vAlign w:val="bottom"/>
            <w:hideMark/>
          </w:tcPr>
          <w:p w14:paraId="719735C6"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Чистые доходы, всего,</w:t>
            </w:r>
          </w:p>
        </w:tc>
        <w:tc>
          <w:tcPr>
            <w:tcW w:w="3832" w:type="dxa"/>
            <w:shd w:val="clear" w:color="auto" w:fill="auto"/>
            <w:noWrap/>
            <w:vAlign w:val="bottom"/>
            <w:hideMark/>
          </w:tcPr>
          <w:p w14:paraId="50F6EC75"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27 056 360</w:t>
            </w:r>
          </w:p>
        </w:tc>
      </w:tr>
      <w:tr w:rsidR="00A93E43" w:rsidRPr="00A93E43" w14:paraId="4385A38A" w14:textId="77777777" w:rsidTr="00257FB8">
        <w:trPr>
          <w:trHeight w:val="300"/>
        </w:trPr>
        <w:tc>
          <w:tcPr>
            <w:tcW w:w="5431" w:type="dxa"/>
            <w:shd w:val="clear" w:color="auto" w:fill="auto"/>
            <w:noWrap/>
            <w:vAlign w:val="bottom"/>
            <w:hideMark/>
          </w:tcPr>
          <w:p w14:paraId="6AB0DD4B"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Операционные расходы</w:t>
            </w:r>
          </w:p>
        </w:tc>
        <w:tc>
          <w:tcPr>
            <w:tcW w:w="3832" w:type="dxa"/>
            <w:shd w:val="clear" w:color="auto" w:fill="auto"/>
            <w:noWrap/>
            <w:vAlign w:val="bottom"/>
            <w:hideMark/>
          </w:tcPr>
          <w:p w14:paraId="1E266F39"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 xml:space="preserve">  1 198 218</w:t>
            </w:r>
          </w:p>
        </w:tc>
      </w:tr>
      <w:tr w:rsidR="00A93E43" w:rsidRPr="00A93E43" w14:paraId="06FB8B59" w14:textId="77777777" w:rsidTr="00257FB8">
        <w:trPr>
          <w:trHeight w:val="300"/>
        </w:trPr>
        <w:tc>
          <w:tcPr>
            <w:tcW w:w="5431" w:type="dxa"/>
            <w:shd w:val="clear" w:color="auto" w:fill="auto"/>
            <w:noWrap/>
            <w:vAlign w:val="bottom"/>
            <w:hideMark/>
          </w:tcPr>
          <w:p w14:paraId="78DFCA0F"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Прибыль до налогообложения</w:t>
            </w:r>
          </w:p>
        </w:tc>
        <w:tc>
          <w:tcPr>
            <w:tcW w:w="3832" w:type="dxa"/>
            <w:shd w:val="clear" w:color="auto" w:fill="auto"/>
            <w:noWrap/>
            <w:vAlign w:val="bottom"/>
            <w:hideMark/>
          </w:tcPr>
          <w:p w14:paraId="3C5794FD"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25 858 142</w:t>
            </w:r>
          </w:p>
        </w:tc>
      </w:tr>
      <w:tr w:rsidR="00A93E43" w:rsidRPr="00A93E43" w14:paraId="7CB3EC28" w14:textId="77777777" w:rsidTr="00257FB8">
        <w:trPr>
          <w:trHeight w:val="300"/>
        </w:trPr>
        <w:tc>
          <w:tcPr>
            <w:tcW w:w="5431" w:type="dxa"/>
            <w:shd w:val="clear" w:color="auto" w:fill="auto"/>
            <w:noWrap/>
            <w:vAlign w:val="bottom"/>
          </w:tcPr>
          <w:p w14:paraId="7B1D9C36"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Начисленные (уплаченные) налоги</w:t>
            </w:r>
          </w:p>
        </w:tc>
        <w:tc>
          <w:tcPr>
            <w:tcW w:w="3832" w:type="dxa"/>
            <w:shd w:val="clear" w:color="auto" w:fill="auto"/>
            <w:noWrap/>
            <w:vAlign w:val="bottom"/>
          </w:tcPr>
          <w:p w14:paraId="39FEBD60"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 xml:space="preserve">  4 938 982</w:t>
            </w:r>
          </w:p>
        </w:tc>
      </w:tr>
      <w:tr w:rsidR="00A93E43" w:rsidRPr="00A93E43" w14:paraId="569FA19C" w14:textId="77777777" w:rsidTr="00257FB8">
        <w:trPr>
          <w:trHeight w:val="300"/>
        </w:trPr>
        <w:tc>
          <w:tcPr>
            <w:tcW w:w="5431" w:type="dxa"/>
            <w:shd w:val="clear" w:color="auto" w:fill="auto"/>
            <w:noWrap/>
            <w:vAlign w:val="bottom"/>
          </w:tcPr>
          <w:p w14:paraId="1D77A408" w14:textId="77777777" w:rsidR="00A93E43" w:rsidRPr="00A93E43" w:rsidRDefault="00A93E43" w:rsidP="00A93E43">
            <w:pPr>
              <w:spacing w:after="0" w:line="240" w:lineRule="auto"/>
              <w:ind w:left="709"/>
              <w:jc w:val="both"/>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Прибыль после налогообложения</w:t>
            </w:r>
          </w:p>
        </w:tc>
        <w:tc>
          <w:tcPr>
            <w:tcW w:w="3832" w:type="dxa"/>
            <w:shd w:val="clear" w:color="auto" w:fill="auto"/>
            <w:noWrap/>
            <w:vAlign w:val="bottom"/>
          </w:tcPr>
          <w:p w14:paraId="11DC9728" w14:textId="77777777" w:rsidR="00A93E43" w:rsidRPr="00A93E43" w:rsidRDefault="00A93E43" w:rsidP="00A93E43">
            <w:pPr>
              <w:spacing w:after="0" w:line="240" w:lineRule="auto"/>
              <w:ind w:left="709"/>
              <w:jc w:val="center"/>
              <w:rPr>
                <w:rFonts w:ascii="Times New Roman" w:eastAsia="Times New Roman" w:hAnsi="Times New Roman" w:cs="Times New Roman"/>
                <w:b/>
                <w:bCs/>
                <w:sz w:val="24"/>
                <w:szCs w:val="24"/>
                <w:lang w:eastAsia="ru-RU"/>
              </w:rPr>
            </w:pPr>
            <w:r w:rsidRPr="00A93E43">
              <w:rPr>
                <w:rFonts w:ascii="Times New Roman" w:eastAsia="Times New Roman" w:hAnsi="Times New Roman" w:cs="Times New Roman"/>
                <w:b/>
                <w:bCs/>
                <w:sz w:val="24"/>
                <w:szCs w:val="24"/>
                <w:lang w:eastAsia="ru-RU"/>
              </w:rPr>
              <w:t>20 919 160</w:t>
            </w:r>
          </w:p>
        </w:tc>
      </w:tr>
    </w:tbl>
    <w:p w14:paraId="4507D3D5" w14:textId="77777777" w:rsidR="00A93E43" w:rsidRPr="00A93E43" w:rsidRDefault="00A93E43" w:rsidP="00A93E43">
      <w:pPr>
        <w:spacing w:after="0" w:line="240" w:lineRule="auto"/>
        <w:rPr>
          <w:rFonts w:ascii="Times New Roman" w:eastAsia="Times New Roman" w:hAnsi="Times New Roman" w:cs="Times New Roman"/>
          <w:sz w:val="24"/>
          <w:szCs w:val="24"/>
          <w:lang w:eastAsia="ru-RU"/>
        </w:rPr>
      </w:pPr>
    </w:p>
    <w:p w14:paraId="58567D60" w14:textId="77777777" w:rsidR="00A93E43" w:rsidRPr="00A93E43" w:rsidRDefault="00A93E43" w:rsidP="00A93E43">
      <w:pPr>
        <w:spacing w:after="0" w:line="240" w:lineRule="auto"/>
        <w:jc w:val="center"/>
        <w:rPr>
          <w:rFonts w:ascii="Times New Roman" w:eastAsia="Times New Roman" w:hAnsi="Times New Roman" w:cs="Times New Roman"/>
          <w:b/>
          <w:i/>
          <w:sz w:val="24"/>
          <w:szCs w:val="24"/>
          <w:lang w:eastAsia="ru-RU"/>
        </w:rPr>
      </w:pPr>
    </w:p>
    <w:p w14:paraId="0914B467" w14:textId="77777777" w:rsidR="00A93E43" w:rsidRPr="00A93E43" w:rsidRDefault="00A93E43" w:rsidP="00A93E43">
      <w:pPr>
        <w:spacing w:after="0" w:line="240" w:lineRule="auto"/>
        <w:jc w:val="center"/>
        <w:rPr>
          <w:rFonts w:ascii="Times New Roman" w:eastAsia="Times New Roman" w:hAnsi="Times New Roman" w:cs="Times New Roman"/>
          <w:b/>
          <w:i/>
          <w:sz w:val="24"/>
          <w:szCs w:val="24"/>
          <w:lang w:eastAsia="ru-RU"/>
        </w:rPr>
      </w:pPr>
      <w:r w:rsidRPr="00A93E43">
        <w:rPr>
          <w:rFonts w:ascii="Times New Roman" w:eastAsia="Times New Roman" w:hAnsi="Times New Roman" w:cs="Times New Roman"/>
          <w:b/>
          <w:i/>
          <w:sz w:val="24"/>
          <w:szCs w:val="24"/>
          <w:lang w:eastAsia="ru-RU"/>
        </w:rPr>
        <w:t xml:space="preserve">Динамика изменений финансовых результатов </w:t>
      </w:r>
    </w:p>
    <w:p w14:paraId="7A5995CD" w14:textId="77777777" w:rsidR="00A93E43" w:rsidRPr="00A93E43" w:rsidRDefault="00A93E43" w:rsidP="00A93E43">
      <w:pPr>
        <w:spacing w:after="0" w:line="240" w:lineRule="auto"/>
        <w:jc w:val="right"/>
        <w:rPr>
          <w:rFonts w:ascii="Times New Roman" w:eastAsia="Times New Roman" w:hAnsi="Times New Roman" w:cs="Times New Roman"/>
          <w:sz w:val="24"/>
          <w:szCs w:val="24"/>
          <w:lang w:eastAsia="ru-RU"/>
        </w:rPr>
      </w:pPr>
      <w:r w:rsidRPr="00A93E43">
        <w:rPr>
          <w:rFonts w:ascii="Times New Roman" w:eastAsia="Times New Roman" w:hAnsi="Times New Roman" w:cs="Times New Roman"/>
          <w:b/>
          <w:i/>
          <w:sz w:val="24"/>
          <w:szCs w:val="24"/>
          <w:lang w:eastAsia="ru-RU"/>
        </w:rPr>
        <w:t>(тыс. руб.)</w:t>
      </w:r>
    </w:p>
    <w:tbl>
      <w:tblPr>
        <w:tblW w:w="9498" w:type="dxa"/>
        <w:tblInd w:w="-5" w:type="dxa"/>
        <w:tblLayout w:type="fixed"/>
        <w:tblLook w:val="04A0" w:firstRow="1" w:lastRow="0" w:firstColumn="1" w:lastColumn="0" w:noHBand="0" w:noVBand="1"/>
      </w:tblPr>
      <w:tblGrid>
        <w:gridCol w:w="5387"/>
        <w:gridCol w:w="1276"/>
        <w:gridCol w:w="1417"/>
        <w:gridCol w:w="1418"/>
      </w:tblGrid>
      <w:tr w:rsidR="00A93E43" w:rsidRPr="00A93E43" w14:paraId="00BE5599" w14:textId="77777777" w:rsidTr="00257FB8">
        <w:trPr>
          <w:trHeight w:val="1656"/>
        </w:trPr>
        <w:tc>
          <w:tcPr>
            <w:tcW w:w="5387" w:type="dxa"/>
            <w:tcBorders>
              <w:top w:val="single" w:sz="4" w:space="0" w:color="auto"/>
              <w:left w:val="single" w:sz="4" w:space="0" w:color="auto"/>
              <w:bottom w:val="nil"/>
              <w:right w:val="nil"/>
            </w:tcBorders>
            <w:shd w:val="clear" w:color="000000" w:fill="FFFFFF"/>
            <w:vAlign w:val="center"/>
            <w:hideMark/>
          </w:tcPr>
          <w:p w14:paraId="59D4D720" w14:textId="77777777" w:rsidR="00A93E43" w:rsidRPr="00A93E43" w:rsidRDefault="00A93E43" w:rsidP="00A93E43">
            <w:pPr>
              <w:spacing w:after="0" w:line="240" w:lineRule="auto"/>
              <w:jc w:val="center"/>
              <w:rPr>
                <w:rFonts w:ascii="Times New Roman" w:eastAsia="Times New Roman" w:hAnsi="Times New Roman" w:cs="Times New Roman"/>
                <w:b/>
                <w:bCs/>
                <w:lang w:eastAsia="ru-RU"/>
              </w:rPr>
            </w:pPr>
            <w:r w:rsidRPr="00A93E43">
              <w:rPr>
                <w:rFonts w:ascii="Times New Roman" w:eastAsia="Times New Roman" w:hAnsi="Times New Roman" w:cs="Times New Roman"/>
                <w:b/>
                <w:bCs/>
                <w:lang w:eastAsia="ru-RU"/>
              </w:rPr>
              <w:t>Показатели</w:t>
            </w:r>
          </w:p>
        </w:tc>
        <w:tc>
          <w:tcPr>
            <w:tcW w:w="1276" w:type="dxa"/>
            <w:tcBorders>
              <w:top w:val="single" w:sz="4" w:space="0" w:color="auto"/>
              <w:left w:val="single" w:sz="4" w:space="0" w:color="auto"/>
              <w:bottom w:val="nil"/>
              <w:right w:val="single" w:sz="4" w:space="0" w:color="auto"/>
            </w:tcBorders>
            <w:shd w:val="clear" w:color="000000" w:fill="FFFFFF"/>
            <w:vAlign w:val="center"/>
            <w:hideMark/>
          </w:tcPr>
          <w:p w14:paraId="554DD7FE" w14:textId="77777777" w:rsidR="00A93E43" w:rsidRPr="00A93E43" w:rsidRDefault="00A93E43" w:rsidP="00A93E43">
            <w:pPr>
              <w:spacing w:after="0" w:line="240" w:lineRule="auto"/>
              <w:jc w:val="center"/>
              <w:rPr>
                <w:rFonts w:ascii="Times New Roman" w:eastAsia="Times New Roman" w:hAnsi="Times New Roman" w:cs="Times New Roman"/>
                <w:b/>
                <w:bCs/>
                <w:lang w:eastAsia="ru-RU"/>
              </w:rPr>
            </w:pPr>
            <w:r w:rsidRPr="00A93E43">
              <w:rPr>
                <w:rFonts w:ascii="Times New Roman" w:eastAsia="Times New Roman" w:hAnsi="Times New Roman" w:cs="Times New Roman"/>
                <w:b/>
                <w:bCs/>
                <w:lang w:eastAsia="ru-RU"/>
              </w:rPr>
              <w:t>изменение 2016/2015</w:t>
            </w:r>
          </w:p>
        </w:tc>
        <w:tc>
          <w:tcPr>
            <w:tcW w:w="1417" w:type="dxa"/>
            <w:tcBorders>
              <w:top w:val="single" w:sz="4" w:space="0" w:color="auto"/>
              <w:left w:val="nil"/>
              <w:bottom w:val="nil"/>
              <w:right w:val="single" w:sz="4" w:space="0" w:color="auto"/>
            </w:tcBorders>
            <w:shd w:val="clear" w:color="000000" w:fill="FFFFFF"/>
            <w:vAlign w:val="center"/>
            <w:hideMark/>
          </w:tcPr>
          <w:p w14:paraId="2663FE4C" w14:textId="77777777" w:rsidR="00A93E43" w:rsidRPr="00A93E43" w:rsidRDefault="00A93E43" w:rsidP="00A93E43">
            <w:pPr>
              <w:spacing w:after="0" w:line="240" w:lineRule="auto"/>
              <w:jc w:val="center"/>
              <w:rPr>
                <w:rFonts w:ascii="Times New Roman" w:eastAsia="Times New Roman" w:hAnsi="Times New Roman" w:cs="Times New Roman"/>
                <w:b/>
                <w:bCs/>
                <w:lang w:eastAsia="ru-RU"/>
              </w:rPr>
            </w:pPr>
            <w:r w:rsidRPr="00A93E43">
              <w:rPr>
                <w:rFonts w:ascii="Times New Roman" w:eastAsia="Times New Roman" w:hAnsi="Times New Roman" w:cs="Times New Roman"/>
                <w:b/>
                <w:bCs/>
                <w:lang w:eastAsia="ru-RU"/>
              </w:rPr>
              <w:t>2016</w:t>
            </w:r>
          </w:p>
        </w:tc>
        <w:tc>
          <w:tcPr>
            <w:tcW w:w="1418" w:type="dxa"/>
            <w:tcBorders>
              <w:top w:val="single" w:sz="4" w:space="0" w:color="auto"/>
              <w:left w:val="nil"/>
              <w:bottom w:val="nil"/>
              <w:right w:val="single" w:sz="4" w:space="0" w:color="auto"/>
            </w:tcBorders>
            <w:shd w:val="clear" w:color="000000" w:fill="FFFFFF"/>
            <w:vAlign w:val="center"/>
            <w:hideMark/>
          </w:tcPr>
          <w:p w14:paraId="651F66F9" w14:textId="77777777" w:rsidR="00A93E43" w:rsidRPr="00A93E43" w:rsidRDefault="00A93E43" w:rsidP="00A93E43">
            <w:pPr>
              <w:spacing w:after="0" w:line="240" w:lineRule="auto"/>
              <w:jc w:val="center"/>
              <w:rPr>
                <w:rFonts w:ascii="Times New Roman" w:eastAsia="Times New Roman" w:hAnsi="Times New Roman" w:cs="Times New Roman"/>
                <w:b/>
                <w:bCs/>
                <w:lang w:eastAsia="ru-RU"/>
              </w:rPr>
            </w:pPr>
            <w:r w:rsidRPr="00A93E43">
              <w:rPr>
                <w:rFonts w:ascii="Times New Roman" w:eastAsia="Times New Roman" w:hAnsi="Times New Roman" w:cs="Times New Roman"/>
                <w:b/>
                <w:bCs/>
                <w:lang w:eastAsia="ru-RU"/>
              </w:rPr>
              <w:t>2015</w:t>
            </w:r>
          </w:p>
        </w:tc>
      </w:tr>
      <w:tr w:rsidR="00A93E43" w:rsidRPr="00A93E43" w14:paraId="01E00217" w14:textId="77777777" w:rsidTr="00257FB8">
        <w:trPr>
          <w:trHeight w:val="276"/>
        </w:trPr>
        <w:tc>
          <w:tcPr>
            <w:tcW w:w="5387" w:type="dxa"/>
            <w:tcBorders>
              <w:top w:val="single" w:sz="4" w:space="0" w:color="auto"/>
              <w:left w:val="single" w:sz="4" w:space="0" w:color="auto"/>
              <w:bottom w:val="single" w:sz="4" w:space="0" w:color="auto"/>
              <w:right w:val="nil"/>
            </w:tcBorders>
            <w:shd w:val="clear" w:color="000000" w:fill="FFFFFF"/>
            <w:vAlign w:val="center"/>
            <w:hideMark/>
          </w:tcPr>
          <w:p w14:paraId="20E67AB8"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Процентные доходы 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E97CC"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78%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6123FDD"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104 996 458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5290635"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59 095 188</w:t>
            </w:r>
          </w:p>
        </w:tc>
      </w:tr>
      <w:tr w:rsidR="00A93E43" w:rsidRPr="00A93E43" w14:paraId="1B8B1838" w14:textId="77777777" w:rsidTr="00257FB8">
        <w:trPr>
          <w:trHeight w:val="276"/>
        </w:trPr>
        <w:tc>
          <w:tcPr>
            <w:tcW w:w="5387" w:type="dxa"/>
            <w:tcBorders>
              <w:top w:val="nil"/>
              <w:left w:val="single" w:sz="4" w:space="0" w:color="auto"/>
              <w:bottom w:val="single" w:sz="4" w:space="0" w:color="auto"/>
              <w:right w:val="nil"/>
            </w:tcBorders>
            <w:shd w:val="clear" w:color="000000" w:fill="FFFFFF"/>
            <w:vAlign w:val="center"/>
            <w:hideMark/>
          </w:tcPr>
          <w:p w14:paraId="09BCCFE0"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Процентные расходы всего</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B7F7B9A"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140%</w:t>
            </w:r>
          </w:p>
        </w:tc>
        <w:tc>
          <w:tcPr>
            <w:tcW w:w="1417" w:type="dxa"/>
            <w:tcBorders>
              <w:top w:val="nil"/>
              <w:left w:val="nil"/>
              <w:bottom w:val="single" w:sz="4" w:space="0" w:color="auto"/>
              <w:right w:val="single" w:sz="4" w:space="0" w:color="auto"/>
            </w:tcBorders>
            <w:shd w:val="clear" w:color="000000" w:fill="FFFFFF"/>
            <w:vAlign w:val="center"/>
            <w:hideMark/>
          </w:tcPr>
          <w:p w14:paraId="54B58865"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86 199 398</w:t>
            </w:r>
          </w:p>
        </w:tc>
        <w:tc>
          <w:tcPr>
            <w:tcW w:w="1418" w:type="dxa"/>
            <w:tcBorders>
              <w:top w:val="nil"/>
              <w:left w:val="nil"/>
              <w:bottom w:val="single" w:sz="4" w:space="0" w:color="auto"/>
              <w:right w:val="single" w:sz="4" w:space="0" w:color="auto"/>
            </w:tcBorders>
            <w:shd w:val="clear" w:color="000000" w:fill="FFFFFF"/>
            <w:noWrap/>
            <w:vAlign w:val="center"/>
            <w:hideMark/>
          </w:tcPr>
          <w:p w14:paraId="533E63E5"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35 963 012</w:t>
            </w:r>
          </w:p>
        </w:tc>
      </w:tr>
      <w:tr w:rsidR="00A93E43" w:rsidRPr="00A93E43" w14:paraId="274419AB"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422CCF85" w14:textId="77777777" w:rsidR="00A93E43" w:rsidRPr="00A93E43" w:rsidRDefault="00A93E43" w:rsidP="00A93E43">
            <w:pPr>
              <w:spacing w:after="0" w:line="240" w:lineRule="auto"/>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Чистые процентные доходы (отрицательная процентная маржа)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C21FD7A"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-19%</w:t>
            </w:r>
          </w:p>
        </w:tc>
        <w:tc>
          <w:tcPr>
            <w:tcW w:w="1417" w:type="dxa"/>
            <w:tcBorders>
              <w:top w:val="nil"/>
              <w:left w:val="nil"/>
              <w:bottom w:val="single" w:sz="4" w:space="0" w:color="auto"/>
              <w:right w:val="single" w:sz="4" w:space="0" w:color="auto"/>
            </w:tcBorders>
            <w:shd w:val="clear" w:color="000000" w:fill="FFFFFF"/>
            <w:vAlign w:val="center"/>
            <w:hideMark/>
          </w:tcPr>
          <w:p w14:paraId="4F061B32"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18 797 060</w:t>
            </w:r>
          </w:p>
        </w:tc>
        <w:tc>
          <w:tcPr>
            <w:tcW w:w="1418" w:type="dxa"/>
            <w:tcBorders>
              <w:top w:val="nil"/>
              <w:left w:val="nil"/>
              <w:bottom w:val="single" w:sz="4" w:space="0" w:color="auto"/>
              <w:right w:val="single" w:sz="4" w:space="0" w:color="auto"/>
            </w:tcBorders>
            <w:shd w:val="clear" w:color="000000" w:fill="FFFFFF"/>
            <w:noWrap/>
            <w:vAlign w:val="center"/>
            <w:hideMark/>
          </w:tcPr>
          <w:p w14:paraId="384E19E4"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23 132 176</w:t>
            </w:r>
          </w:p>
        </w:tc>
      </w:tr>
      <w:tr w:rsidR="00A93E43" w:rsidRPr="00A93E43" w14:paraId="05C49627" w14:textId="77777777" w:rsidTr="00257FB8">
        <w:trPr>
          <w:trHeight w:val="839"/>
        </w:trPr>
        <w:tc>
          <w:tcPr>
            <w:tcW w:w="5387" w:type="dxa"/>
            <w:tcBorders>
              <w:top w:val="nil"/>
              <w:left w:val="single" w:sz="4" w:space="0" w:color="auto"/>
              <w:bottom w:val="single" w:sz="4" w:space="0" w:color="auto"/>
              <w:right w:val="nil"/>
            </w:tcBorders>
            <w:shd w:val="clear" w:color="auto" w:fill="auto"/>
            <w:vAlign w:val="center"/>
            <w:hideMark/>
          </w:tcPr>
          <w:p w14:paraId="7A9986CA"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ED4F322"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14:paraId="7A805403"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61</w:t>
            </w:r>
          </w:p>
        </w:tc>
        <w:tc>
          <w:tcPr>
            <w:tcW w:w="1418" w:type="dxa"/>
            <w:tcBorders>
              <w:top w:val="nil"/>
              <w:left w:val="nil"/>
              <w:bottom w:val="single" w:sz="4" w:space="0" w:color="auto"/>
              <w:right w:val="single" w:sz="4" w:space="0" w:color="auto"/>
            </w:tcBorders>
            <w:shd w:val="clear" w:color="auto" w:fill="auto"/>
            <w:noWrap/>
            <w:vAlign w:val="center"/>
            <w:hideMark/>
          </w:tcPr>
          <w:p w14:paraId="2823F040"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102 550</w:t>
            </w:r>
          </w:p>
        </w:tc>
      </w:tr>
      <w:tr w:rsidR="00A93E43" w:rsidRPr="00A93E43" w14:paraId="2501D2F6" w14:textId="77777777" w:rsidTr="00257FB8">
        <w:trPr>
          <w:trHeight w:val="552"/>
        </w:trPr>
        <w:tc>
          <w:tcPr>
            <w:tcW w:w="5387" w:type="dxa"/>
            <w:tcBorders>
              <w:top w:val="nil"/>
              <w:left w:val="single" w:sz="4" w:space="0" w:color="auto"/>
              <w:bottom w:val="single" w:sz="4" w:space="0" w:color="auto"/>
              <w:right w:val="nil"/>
            </w:tcBorders>
            <w:shd w:val="clear" w:color="auto" w:fill="auto"/>
            <w:vAlign w:val="center"/>
            <w:hideMark/>
          </w:tcPr>
          <w:p w14:paraId="61C113E8" w14:textId="77777777" w:rsidR="00A93E43" w:rsidRPr="00A93E43" w:rsidRDefault="00A93E43" w:rsidP="00A93E43">
            <w:pPr>
              <w:spacing w:after="0" w:line="240" w:lineRule="auto"/>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Чистые процентные доходы после создания резерва на возможные потери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7259EE5"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-19%</w:t>
            </w:r>
          </w:p>
        </w:tc>
        <w:tc>
          <w:tcPr>
            <w:tcW w:w="1417" w:type="dxa"/>
            <w:tcBorders>
              <w:top w:val="nil"/>
              <w:left w:val="nil"/>
              <w:bottom w:val="single" w:sz="4" w:space="0" w:color="auto"/>
              <w:right w:val="single" w:sz="4" w:space="0" w:color="auto"/>
            </w:tcBorders>
            <w:shd w:val="clear" w:color="000000" w:fill="FFFFFF"/>
            <w:vAlign w:val="center"/>
            <w:hideMark/>
          </w:tcPr>
          <w:p w14:paraId="094D9B73"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18 797 121</w:t>
            </w:r>
          </w:p>
        </w:tc>
        <w:tc>
          <w:tcPr>
            <w:tcW w:w="1418" w:type="dxa"/>
            <w:tcBorders>
              <w:top w:val="nil"/>
              <w:left w:val="nil"/>
              <w:bottom w:val="single" w:sz="4" w:space="0" w:color="auto"/>
              <w:right w:val="single" w:sz="4" w:space="0" w:color="auto"/>
            </w:tcBorders>
            <w:shd w:val="clear" w:color="000000" w:fill="FFFFFF"/>
            <w:noWrap/>
            <w:vAlign w:val="center"/>
            <w:hideMark/>
          </w:tcPr>
          <w:p w14:paraId="01513F9B"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23 234 726</w:t>
            </w:r>
          </w:p>
        </w:tc>
      </w:tr>
      <w:tr w:rsidR="00A93E43" w:rsidRPr="00A93E43" w14:paraId="1DB0518E" w14:textId="77777777" w:rsidTr="00257FB8">
        <w:trPr>
          <w:trHeight w:val="633"/>
        </w:trPr>
        <w:tc>
          <w:tcPr>
            <w:tcW w:w="5387" w:type="dxa"/>
            <w:tcBorders>
              <w:top w:val="nil"/>
              <w:left w:val="single" w:sz="4" w:space="0" w:color="auto"/>
              <w:bottom w:val="single" w:sz="4" w:space="0" w:color="auto"/>
              <w:right w:val="nil"/>
            </w:tcBorders>
            <w:shd w:val="clear" w:color="auto" w:fill="auto"/>
            <w:vAlign w:val="center"/>
            <w:hideMark/>
          </w:tcPr>
          <w:p w14:paraId="5206DCF1"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от операций с финансовыми активами, оцениваемыми по справедливой стоимости через прибыль или убыток</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C56EA05"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215%</w:t>
            </w:r>
          </w:p>
        </w:tc>
        <w:tc>
          <w:tcPr>
            <w:tcW w:w="1417" w:type="dxa"/>
            <w:tcBorders>
              <w:top w:val="nil"/>
              <w:left w:val="nil"/>
              <w:bottom w:val="single" w:sz="4" w:space="0" w:color="auto"/>
              <w:right w:val="single" w:sz="4" w:space="0" w:color="auto"/>
            </w:tcBorders>
            <w:shd w:val="clear" w:color="000000" w:fill="FFFFFF"/>
            <w:vAlign w:val="center"/>
            <w:hideMark/>
          </w:tcPr>
          <w:p w14:paraId="5D5CA984"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478 177</w:t>
            </w:r>
          </w:p>
        </w:tc>
        <w:tc>
          <w:tcPr>
            <w:tcW w:w="1418" w:type="dxa"/>
            <w:tcBorders>
              <w:top w:val="nil"/>
              <w:left w:val="nil"/>
              <w:bottom w:val="single" w:sz="4" w:space="0" w:color="auto"/>
              <w:right w:val="single" w:sz="4" w:space="0" w:color="auto"/>
            </w:tcBorders>
            <w:shd w:val="clear" w:color="000000" w:fill="FFFFFF"/>
            <w:noWrap/>
            <w:vAlign w:val="center"/>
            <w:hideMark/>
          </w:tcPr>
          <w:p w14:paraId="46E015C7"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151 923</w:t>
            </w:r>
          </w:p>
        </w:tc>
      </w:tr>
      <w:tr w:rsidR="00A93E43" w:rsidRPr="00A93E43" w14:paraId="10E8A0D6" w14:textId="77777777" w:rsidTr="00257FB8">
        <w:trPr>
          <w:trHeight w:val="643"/>
        </w:trPr>
        <w:tc>
          <w:tcPr>
            <w:tcW w:w="5387" w:type="dxa"/>
            <w:tcBorders>
              <w:top w:val="nil"/>
              <w:left w:val="single" w:sz="4" w:space="0" w:color="auto"/>
              <w:bottom w:val="single" w:sz="4" w:space="0" w:color="auto"/>
              <w:right w:val="nil"/>
            </w:tcBorders>
            <w:shd w:val="clear" w:color="auto" w:fill="auto"/>
            <w:vAlign w:val="center"/>
            <w:hideMark/>
          </w:tcPr>
          <w:p w14:paraId="10357B65"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от операций с финансовыми обязательствами, оцениваемыми по справедливой стоимости через прибыль или убыток</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ECB9E1E"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147DC93B"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-21 601</w:t>
            </w:r>
          </w:p>
        </w:tc>
        <w:tc>
          <w:tcPr>
            <w:tcW w:w="1418" w:type="dxa"/>
            <w:tcBorders>
              <w:top w:val="nil"/>
              <w:left w:val="nil"/>
              <w:bottom w:val="single" w:sz="4" w:space="0" w:color="auto"/>
              <w:right w:val="single" w:sz="4" w:space="0" w:color="auto"/>
            </w:tcBorders>
            <w:shd w:val="clear" w:color="000000" w:fill="FFFFFF"/>
            <w:noWrap/>
            <w:vAlign w:val="center"/>
            <w:hideMark/>
          </w:tcPr>
          <w:p w14:paraId="389D984D"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0</w:t>
            </w:r>
          </w:p>
        </w:tc>
      </w:tr>
      <w:tr w:rsidR="00A93E43" w:rsidRPr="00A93E43" w14:paraId="01447774" w14:textId="77777777" w:rsidTr="00257FB8">
        <w:trPr>
          <w:trHeight w:val="552"/>
        </w:trPr>
        <w:tc>
          <w:tcPr>
            <w:tcW w:w="5387" w:type="dxa"/>
            <w:tcBorders>
              <w:top w:val="nil"/>
              <w:left w:val="single" w:sz="4" w:space="0" w:color="auto"/>
              <w:bottom w:val="single" w:sz="4" w:space="0" w:color="auto"/>
              <w:right w:val="nil"/>
            </w:tcBorders>
            <w:shd w:val="clear" w:color="auto" w:fill="auto"/>
            <w:vAlign w:val="center"/>
            <w:hideMark/>
          </w:tcPr>
          <w:p w14:paraId="476EE392"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от операций с ценными бумагами, имеющимися в наличии для продажи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41D29DD"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1327%</w:t>
            </w:r>
          </w:p>
        </w:tc>
        <w:tc>
          <w:tcPr>
            <w:tcW w:w="1417" w:type="dxa"/>
            <w:tcBorders>
              <w:top w:val="nil"/>
              <w:left w:val="nil"/>
              <w:bottom w:val="single" w:sz="4" w:space="0" w:color="auto"/>
              <w:right w:val="single" w:sz="4" w:space="0" w:color="auto"/>
            </w:tcBorders>
            <w:shd w:val="clear" w:color="000000" w:fill="FFFFFF"/>
            <w:vAlign w:val="center"/>
            <w:hideMark/>
          </w:tcPr>
          <w:p w14:paraId="6DDBC43F"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1 595 316</w:t>
            </w:r>
          </w:p>
        </w:tc>
        <w:tc>
          <w:tcPr>
            <w:tcW w:w="1418" w:type="dxa"/>
            <w:tcBorders>
              <w:top w:val="nil"/>
              <w:left w:val="nil"/>
              <w:bottom w:val="single" w:sz="4" w:space="0" w:color="auto"/>
              <w:right w:val="single" w:sz="4" w:space="0" w:color="auto"/>
            </w:tcBorders>
            <w:shd w:val="clear" w:color="000000" w:fill="FFFFFF"/>
            <w:noWrap/>
            <w:vAlign w:val="center"/>
            <w:hideMark/>
          </w:tcPr>
          <w:p w14:paraId="2304913C"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-130 049</w:t>
            </w:r>
          </w:p>
        </w:tc>
      </w:tr>
      <w:tr w:rsidR="00A93E43" w:rsidRPr="00A93E43" w14:paraId="06C3BDA6"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3AA749A6"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от операций с иностранной валютой</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EC13B19"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-369%</w:t>
            </w:r>
          </w:p>
        </w:tc>
        <w:tc>
          <w:tcPr>
            <w:tcW w:w="1417" w:type="dxa"/>
            <w:tcBorders>
              <w:top w:val="nil"/>
              <w:left w:val="nil"/>
              <w:bottom w:val="single" w:sz="4" w:space="0" w:color="auto"/>
              <w:right w:val="single" w:sz="4" w:space="0" w:color="auto"/>
            </w:tcBorders>
            <w:shd w:val="clear" w:color="000000" w:fill="FFFFFF"/>
            <w:vAlign w:val="center"/>
            <w:hideMark/>
          </w:tcPr>
          <w:p w14:paraId="16051290"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-3 895 006</w:t>
            </w:r>
          </w:p>
        </w:tc>
        <w:tc>
          <w:tcPr>
            <w:tcW w:w="1418" w:type="dxa"/>
            <w:tcBorders>
              <w:top w:val="nil"/>
              <w:left w:val="nil"/>
              <w:bottom w:val="single" w:sz="4" w:space="0" w:color="auto"/>
              <w:right w:val="single" w:sz="4" w:space="0" w:color="auto"/>
            </w:tcBorders>
            <w:shd w:val="clear" w:color="000000" w:fill="FFFFFF"/>
            <w:noWrap/>
            <w:vAlign w:val="center"/>
            <w:hideMark/>
          </w:tcPr>
          <w:p w14:paraId="5BA5E80A"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1 449 616</w:t>
            </w:r>
          </w:p>
        </w:tc>
      </w:tr>
      <w:tr w:rsidR="00A93E43" w:rsidRPr="00A93E43" w14:paraId="1A7D92D9"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1E4F4001"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от переоценки иностранной валюты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15730C4"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341%</w:t>
            </w:r>
          </w:p>
        </w:tc>
        <w:tc>
          <w:tcPr>
            <w:tcW w:w="1417" w:type="dxa"/>
            <w:tcBorders>
              <w:top w:val="nil"/>
              <w:left w:val="nil"/>
              <w:bottom w:val="single" w:sz="4" w:space="0" w:color="auto"/>
              <w:right w:val="single" w:sz="4" w:space="0" w:color="auto"/>
            </w:tcBorders>
            <w:shd w:val="clear" w:color="000000" w:fill="FFFFFF"/>
            <w:vAlign w:val="center"/>
            <w:hideMark/>
          </w:tcPr>
          <w:p w14:paraId="68F6B734"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3 074 608</w:t>
            </w:r>
          </w:p>
        </w:tc>
        <w:tc>
          <w:tcPr>
            <w:tcW w:w="1418" w:type="dxa"/>
            <w:tcBorders>
              <w:top w:val="nil"/>
              <w:left w:val="nil"/>
              <w:bottom w:val="single" w:sz="4" w:space="0" w:color="auto"/>
              <w:right w:val="single" w:sz="4" w:space="0" w:color="auto"/>
            </w:tcBorders>
            <w:shd w:val="clear" w:color="000000" w:fill="FFFFFF"/>
            <w:noWrap/>
            <w:vAlign w:val="center"/>
            <w:hideMark/>
          </w:tcPr>
          <w:p w14:paraId="5BDF2439"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-1 277 140</w:t>
            </w:r>
          </w:p>
        </w:tc>
      </w:tr>
      <w:tr w:rsidR="00A93E43" w:rsidRPr="00A93E43" w14:paraId="47691AC6"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5E775723"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lastRenderedPageBreak/>
              <w:t>Чистые доходы от операций с драгоценными металлами</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356BE6C"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51D3ED81"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546</w:t>
            </w:r>
          </w:p>
        </w:tc>
        <w:tc>
          <w:tcPr>
            <w:tcW w:w="1418" w:type="dxa"/>
            <w:tcBorders>
              <w:top w:val="nil"/>
              <w:left w:val="nil"/>
              <w:bottom w:val="single" w:sz="4" w:space="0" w:color="auto"/>
              <w:right w:val="single" w:sz="4" w:space="0" w:color="auto"/>
            </w:tcBorders>
            <w:shd w:val="clear" w:color="000000" w:fill="FFFFFF"/>
            <w:noWrap/>
            <w:vAlign w:val="center"/>
            <w:hideMark/>
          </w:tcPr>
          <w:p w14:paraId="4A4B5783"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0</w:t>
            </w:r>
          </w:p>
        </w:tc>
      </w:tr>
      <w:tr w:rsidR="00A93E43" w:rsidRPr="00A93E43" w14:paraId="3A0DA96A"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26350422"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Комиссионные доходы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AEC5CE6"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21%</w:t>
            </w:r>
          </w:p>
        </w:tc>
        <w:tc>
          <w:tcPr>
            <w:tcW w:w="1417" w:type="dxa"/>
            <w:tcBorders>
              <w:top w:val="nil"/>
              <w:left w:val="nil"/>
              <w:bottom w:val="single" w:sz="4" w:space="0" w:color="auto"/>
              <w:right w:val="single" w:sz="4" w:space="0" w:color="auto"/>
            </w:tcBorders>
            <w:shd w:val="clear" w:color="000000" w:fill="FFFFFF"/>
            <w:vAlign w:val="center"/>
            <w:hideMark/>
          </w:tcPr>
          <w:p w14:paraId="38B4C783"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7 165 115</w:t>
            </w:r>
          </w:p>
        </w:tc>
        <w:tc>
          <w:tcPr>
            <w:tcW w:w="1418" w:type="dxa"/>
            <w:tcBorders>
              <w:top w:val="nil"/>
              <w:left w:val="nil"/>
              <w:bottom w:val="single" w:sz="4" w:space="0" w:color="auto"/>
              <w:right w:val="single" w:sz="4" w:space="0" w:color="auto"/>
            </w:tcBorders>
            <w:shd w:val="clear" w:color="000000" w:fill="FFFFFF"/>
            <w:noWrap/>
            <w:vAlign w:val="center"/>
            <w:hideMark/>
          </w:tcPr>
          <w:p w14:paraId="0A56ABE8"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5 900 548</w:t>
            </w:r>
          </w:p>
        </w:tc>
      </w:tr>
      <w:tr w:rsidR="00A93E43" w:rsidRPr="00A93E43" w14:paraId="3BFCF22E"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392921F2"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Комиссионные расходы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A0823F7"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41%</w:t>
            </w:r>
          </w:p>
        </w:tc>
        <w:tc>
          <w:tcPr>
            <w:tcW w:w="1417" w:type="dxa"/>
            <w:tcBorders>
              <w:top w:val="nil"/>
              <w:left w:val="nil"/>
              <w:bottom w:val="single" w:sz="4" w:space="0" w:color="auto"/>
              <w:right w:val="single" w:sz="4" w:space="0" w:color="auto"/>
            </w:tcBorders>
            <w:shd w:val="clear" w:color="000000" w:fill="FFFFFF"/>
            <w:vAlign w:val="center"/>
            <w:hideMark/>
          </w:tcPr>
          <w:p w14:paraId="2558BFE1"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149 116</w:t>
            </w:r>
          </w:p>
        </w:tc>
        <w:tc>
          <w:tcPr>
            <w:tcW w:w="1418" w:type="dxa"/>
            <w:tcBorders>
              <w:top w:val="nil"/>
              <w:left w:val="nil"/>
              <w:bottom w:val="single" w:sz="4" w:space="0" w:color="auto"/>
              <w:right w:val="single" w:sz="4" w:space="0" w:color="auto"/>
            </w:tcBorders>
            <w:shd w:val="clear" w:color="000000" w:fill="FFFFFF"/>
            <w:noWrap/>
            <w:vAlign w:val="center"/>
            <w:hideMark/>
          </w:tcPr>
          <w:p w14:paraId="58C5EC09"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105 524</w:t>
            </w:r>
          </w:p>
        </w:tc>
      </w:tr>
      <w:tr w:rsidR="00A93E43" w:rsidRPr="00A93E43" w14:paraId="3C136CDF"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71E3B18A"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Изменение резерва по прочим потерям</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71EEB60"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-90%</w:t>
            </w:r>
          </w:p>
        </w:tc>
        <w:tc>
          <w:tcPr>
            <w:tcW w:w="1417" w:type="dxa"/>
            <w:tcBorders>
              <w:top w:val="nil"/>
              <w:left w:val="nil"/>
              <w:bottom w:val="single" w:sz="4" w:space="0" w:color="auto"/>
              <w:right w:val="single" w:sz="4" w:space="0" w:color="auto"/>
            </w:tcBorders>
            <w:shd w:val="clear" w:color="000000" w:fill="FFFFFF"/>
            <w:vAlign w:val="center"/>
            <w:hideMark/>
          </w:tcPr>
          <w:p w14:paraId="08389F9D"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4 380</w:t>
            </w:r>
          </w:p>
        </w:tc>
        <w:tc>
          <w:tcPr>
            <w:tcW w:w="1418" w:type="dxa"/>
            <w:tcBorders>
              <w:top w:val="nil"/>
              <w:left w:val="nil"/>
              <w:bottom w:val="single" w:sz="4" w:space="0" w:color="auto"/>
              <w:right w:val="single" w:sz="4" w:space="0" w:color="auto"/>
            </w:tcBorders>
            <w:shd w:val="clear" w:color="000000" w:fill="FFFFFF"/>
            <w:noWrap/>
            <w:vAlign w:val="center"/>
            <w:hideMark/>
          </w:tcPr>
          <w:p w14:paraId="7F50066C"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41 794</w:t>
            </w:r>
          </w:p>
        </w:tc>
      </w:tr>
      <w:tr w:rsidR="00A93E43" w:rsidRPr="00A93E43" w14:paraId="6EF543BB"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504488CB"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Прочие операционные доходы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040AF28"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35%</w:t>
            </w:r>
          </w:p>
        </w:tc>
        <w:tc>
          <w:tcPr>
            <w:tcW w:w="1417" w:type="dxa"/>
            <w:tcBorders>
              <w:top w:val="nil"/>
              <w:left w:val="nil"/>
              <w:bottom w:val="single" w:sz="4" w:space="0" w:color="auto"/>
              <w:right w:val="single" w:sz="4" w:space="0" w:color="auto"/>
            </w:tcBorders>
            <w:shd w:val="clear" w:color="000000" w:fill="FFFFFF"/>
            <w:vAlign w:val="center"/>
            <w:hideMark/>
          </w:tcPr>
          <w:p w14:paraId="7C8C8272"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6 820</w:t>
            </w:r>
          </w:p>
        </w:tc>
        <w:tc>
          <w:tcPr>
            <w:tcW w:w="1418" w:type="dxa"/>
            <w:tcBorders>
              <w:top w:val="nil"/>
              <w:left w:val="nil"/>
              <w:bottom w:val="single" w:sz="4" w:space="0" w:color="auto"/>
              <w:right w:val="single" w:sz="4" w:space="0" w:color="auto"/>
            </w:tcBorders>
            <w:shd w:val="clear" w:color="auto" w:fill="auto"/>
            <w:noWrap/>
            <w:vAlign w:val="center"/>
            <w:hideMark/>
          </w:tcPr>
          <w:p w14:paraId="3575456D"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5 052</w:t>
            </w:r>
          </w:p>
        </w:tc>
      </w:tr>
      <w:tr w:rsidR="00A93E43" w:rsidRPr="00A93E43" w14:paraId="6606FCFB"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523454AB"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Чистые доходы (расходы)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CA10827"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-8%</w:t>
            </w:r>
          </w:p>
        </w:tc>
        <w:tc>
          <w:tcPr>
            <w:tcW w:w="1417" w:type="dxa"/>
            <w:tcBorders>
              <w:top w:val="nil"/>
              <w:left w:val="nil"/>
              <w:bottom w:val="single" w:sz="4" w:space="0" w:color="auto"/>
              <w:right w:val="single" w:sz="4" w:space="0" w:color="auto"/>
            </w:tcBorders>
            <w:shd w:val="clear" w:color="000000" w:fill="FFFFFF"/>
            <w:vAlign w:val="center"/>
            <w:hideMark/>
          </w:tcPr>
          <w:p w14:paraId="08C28674"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27 056 360</w:t>
            </w:r>
          </w:p>
        </w:tc>
        <w:tc>
          <w:tcPr>
            <w:tcW w:w="1418" w:type="dxa"/>
            <w:tcBorders>
              <w:top w:val="nil"/>
              <w:left w:val="nil"/>
              <w:bottom w:val="single" w:sz="4" w:space="0" w:color="auto"/>
              <w:right w:val="single" w:sz="4" w:space="0" w:color="auto"/>
            </w:tcBorders>
            <w:shd w:val="clear" w:color="auto" w:fill="auto"/>
            <w:noWrap/>
            <w:vAlign w:val="center"/>
            <w:hideMark/>
          </w:tcPr>
          <w:p w14:paraId="29ACD227"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29 270 946</w:t>
            </w:r>
          </w:p>
        </w:tc>
      </w:tr>
      <w:tr w:rsidR="00A93E43" w:rsidRPr="00A93E43" w14:paraId="6B7220A3"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352408B8"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Операционные расходы</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26F4506"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000000" w:fill="FFFFFF"/>
            <w:vAlign w:val="center"/>
            <w:hideMark/>
          </w:tcPr>
          <w:p w14:paraId="41B7CA46"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1 198 218</w:t>
            </w:r>
          </w:p>
        </w:tc>
        <w:tc>
          <w:tcPr>
            <w:tcW w:w="1418" w:type="dxa"/>
            <w:tcBorders>
              <w:top w:val="nil"/>
              <w:left w:val="nil"/>
              <w:bottom w:val="single" w:sz="4" w:space="0" w:color="auto"/>
              <w:right w:val="single" w:sz="4" w:space="0" w:color="auto"/>
            </w:tcBorders>
            <w:shd w:val="clear" w:color="auto" w:fill="auto"/>
            <w:noWrap/>
            <w:vAlign w:val="center"/>
            <w:hideMark/>
          </w:tcPr>
          <w:p w14:paraId="42D7CA21"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1 186 620</w:t>
            </w:r>
          </w:p>
        </w:tc>
      </w:tr>
      <w:tr w:rsidR="00A93E43" w:rsidRPr="00A93E43" w14:paraId="6A1ACA25"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145B0674" w14:textId="77777777" w:rsidR="00A93E43" w:rsidRPr="00A93E43" w:rsidRDefault="00A93E43" w:rsidP="00A93E43">
            <w:pPr>
              <w:spacing w:after="0" w:line="240" w:lineRule="auto"/>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Прибыль (убыток) до налогообложения</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3133FB9"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-8%</w:t>
            </w:r>
          </w:p>
        </w:tc>
        <w:tc>
          <w:tcPr>
            <w:tcW w:w="1417" w:type="dxa"/>
            <w:tcBorders>
              <w:top w:val="nil"/>
              <w:left w:val="nil"/>
              <w:bottom w:val="single" w:sz="4" w:space="0" w:color="auto"/>
              <w:right w:val="single" w:sz="4" w:space="0" w:color="auto"/>
            </w:tcBorders>
            <w:shd w:val="clear" w:color="000000" w:fill="FFFFFF"/>
            <w:vAlign w:val="center"/>
            <w:hideMark/>
          </w:tcPr>
          <w:p w14:paraId="14805CCC"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25 858 142</w:t>
            </w:r>
          </w:p>
        </w:tc>
        <w:tc>
          <w:tcPr>
            <w:tcW w:w="1418" w:type="dxa"/>
            <w:tcBorders>
              <w:top w:val="nil"/>
              <w:left w:val="nil"/>
              <w:bottom w:val="single" w:sz="4" w:space="0" w:color="auto"/>
              <w:right w:val="single" w:sz="4" w:space="0" w:color="auto"/>
            </w:tcBorders>
            <w:shd w:val="clear" w:color="000000" w:fill="FFFFFF"/>
            <w:noWrap/>
            <w:vAlign w:val="center"/>
            <w:hideMark/>
          </w:tcPr>
          <w:p w14:paraId="1B74C79E"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28 084 326</w:t>
            </w:r>
          </w:p>
        </w:tc>
      </w:tr>
      <w:tr w:rsidR="00A93E43" w:rsidRPr="00A93E43" w14:paraId="21E72995"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20C9CDCD" w14:textId="77777777" w:rsidR="00A93E43" w:rsidRPr="00A93E43" w:rsidRDefault="00A93E43" w:rsidP="00A93E43">
            <w:pPr>
              <w:spacing w:after="0" w:line="240" w:lineRule="auto"/>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Возмещение (расход) по налогам</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8E8FB93"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-9%</w:t>
            </w:r>
          </w:p>
        </w:tc>
        <w:tc>
          <w:tcPr>
            <w:tcW w:w="1417" w:type="dxa"/>
            <w:tcBorders>
              <w:top w:val="nil"/>
              <w:left w:val="nil"/>
              <w:bottom w:val="single" w:sz="4" w:space="0" w:color="auto"/>
              <w:right w:val="single" w:sz="4" w:space="0" w:color="auto"/>
            </w:tcBorders>
            <w:shd w:val="clear" w:color="000000" w:fill="FFFFFF"/>
            <w:vAlign w:val="center"/>
            <w:hideMark/>
          </w:tcPr>
          <w:p w14:paraId="1D0828E5"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4 938 982</w:t>
            </w:r>
          </w:p>
        </w:tc>
        <w:tc>
          <w:tcPr>
            <w:tcW w:w="1418" w:type="dxa"/>
            <w:tcBorders>
              <w:top w:val="nil"/>
              <w:left w:val="nil"/>
              <w:bottom w:val="single" w:sz="4" w:space="0" w:color="auto"/>
              <w:right w:val="single" w:sz="4" w:space="0" w:color="auto"/>
            </w:tcBorders>
            <w:shd w:val="clear" w:color="000000" w:fill="FFFFFF"/>
            <w:noWrap/>
            <w:vAlign w:val="center"/>
            <w:hideMark/>
          </w:tcPr>
          <w:p w14:paraId="5D15A1A5" w14:textId="77777777" w:rsidR="00A93E43" w:rsidRPr="00A93E43" w:rsidRDefault="00A93E43" w:rsidP="00A93E43">
            <w:pPr>
              <w:spacing w:after="0" w:line="240" w:lineRule="auto"/>
              <w:jc w:val="right"/>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5 437 891</w:t>
            </w:r>
          </w:p>
        </w:tc>
      </w:tr>
      <w:tr w:rsidR="00A93E43" w:rsidRPr="00A93E43" w14:paraId="3CC1E058" w14:textId="77777777" w:rsidTr="00257FB8">
        <w:trPr>
          <w:trHeight w:val="276"/>
        </w:trPr>
        <w:tc>
          <w:tcPr>
            <w:tcW w:w="5387" w:type="dxa"/>
            <w:tcBorders>
              <w:top w:val="nil"/>
              <w:left w:val="single" w:sz="4" w:space="0" w:color="auto"/>
              <w:bottom w:val="single" w:sz="4" w:space="0" w:color="auto"/>
              <w:right w:val="nil"/>
            </w:tcBorders>
            <w:shd w:val="clear" w:color="auto" w:fill="auto"/>
            <w:vAlign w:val="center"/>
            <w:hideMark/>
          </w:tcPr>
          <w:p w14:paraId="3C330F86" w14:textId="77777777" w:rsidR="00A93E43" w:rsidRPr="00A93E43" w:rsidRDefault="00A93E43" w:rsidP="00A93E43">
            <w:pPr>
              <w:spacing w:after="0" w:line="240" w:lineRule="auto"/>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Прибыль (убыток) за отчетный период</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DE74BB8" w14:textId="77777777" w:rsidR="00A93E43" w:rsidRPr="00A93E43" w:rsidRDefault="00A93E43" w:rsidP="00A93E43">
            <w:pPr>
              <w:spacing w:after="0" w:line="240" w:lineRule="auto"/>
              <w:jc w:val="center"/>
              <w:rPr>
                <w:rFonts w:ascii="Times New Roman" w:eastAsia="Times New Roman" w:hAnsi="Times New Roman" w:cs="Times New Roman"/>
                <w:sz w:val="20"/>
                <w:szCs w:val="20"/>
                <w:lang w:eastAsia="ru-RU"/>
              </w:rPr>
            </w:pPr>
            <w:r w:rsidRPr="00A93E43">
              <w:rPr>
                <w:rFonts w:ascii="Times New Roman" w:eastAsia="Times New Roman" w:hAnsi="Times New Roman" w:cs="Times New Roman"/>
                <w:sz w:val="20"/>
                <w:szCs w:val="20"/>
                <w:lang w:eastAsia="ru-RU"/>
              </w:rPr>
              <w:t>-8%</w:t>
            </w:r>
          </w:p>
        </w:tc>
        <w:tc>
          <w:tcPr>
            <w:tcW w:w="1417" w:type="dxa"/>
            <w:tcBorders>
              <w:top w:val="nil"/>
              <w:left w:val="nil"/>
              <w:bottom w:val="single" w:sz="4" w:space="0" w:color="auto"/>
              <w:right w:val="single" w:sz="4" w:space="0" w:color="auto"/>
            </w:tcBorders>
            <w:shd w:val="clear" w:color="000000" w:fill="FFFFFF"/>
            <w:vAlign w:val="center"/>
            <w:hideMark/>
          </w:tcPr>
          <w:p w14:paraId="7D50829E"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20 919 160</w:t>
            </w:r>
          </w:p>
        </w:tc>
        <w:tc>
          <w:tcPr>
            <w:tcW w:w="1418" w:type="dxa"/>
            <w:tcBorders>
              <w:top w:val="nil"/>
              <w:left w:val="nil"/>
              <w:bottom w:val="single" w:sz="4" w:space="0" w:color="auto"/>
              <w:right w:val="single" w:sz="4" w:space="0" w:color="auto"/>
            </w:tcBorders>
            <w:shd w:val="clear" w:color="000000" w:fill="FFFFFF"/>
            <w:noWrap/>
            <w:vAlign w:val="center"/>
            <w:hideMark/>
          </w:tcPr>
          <w:p w14:paraId="14AFF11F" w14:textId="77777777" w:rsidR="00A93E43" w:rsidRPr="00A93E43" w:rsidRDefault="00A93E43" w:rsidP="00A93E43">
            <w:pPr>
              <w:spacing w:after="0" w:line="240" w:lineRule="auto"/>
              <w:jc w:val="right"/>
              <w:rPr>
                <w:rFonts w:ascii="Times New Roman" w:eastAsia="Times New Roman" w:hAnsi="Times New Roman" w:cs="Times New Roman"/>
                <w:b/>
                <w:bCs/>
                <w:sz w:val="20"/>
                <w:szCs w:val="20"/>
                <w:lang w:eastAsia="ru-RU"/>
              </w:rPr>
            </w:pPr>
            <w:r w:rsidRPr="00A93E43">
              <w:rPr>
                <w:rFonts w:ascii="Times New Roman" w:eastAsia="Times New Roman" w:hAnsi="Times New Roman" w:cs="Times New Roman"/>
                <w:b/>
                <w:bCs/>
                <w:sz w:val="20"/>
                <w:szCs w:val="20"/>
                <w:lang w:eastAsia="ru-RU"/>
              </w:rPr>
              <w:t>22 646 435</w:t>
            </w:r>
          </w:p>
        </w:tc>
      </w:tr>
    </w:tbl>
    <w:p w14:paraId="74C85EA4" w14:textId="77777777" w:rsidR="00A93E43" w:rsidRPr="00A93E43" w:rsidRDefault="00A93E43" w:rsidP="00A93E43">
      <w:pPr>
        <w:spacing w:after="0" w:line="240" w:lineRule="auto"/>
        <w:rPr>
          <w:rFonts w:ascii="Times New Roman" w:eastAsia="Times New Roman" w:hAnsi="Times New Roman" w:cs="Times New Roman"/>
          <w:sz w:val="24"/>
          <w:szCs w:val="24"/>
          <w:lang w:eastAsia="ru-RU"/>
        </w:rPr>
      </w:pPr>
    </w:p>
    <w:p w14:paraId="45E3AF24" w14:textId="77777777" w:rsidR="00A93E43" w:rsidRPr="00A93E43" w:rsidRDefault="00A93E43" w:rsidP="00A93E43">
      <w:pPr>
        <w:spacing w:after="0" w:line="240" w:lineRule="auto"/>
        <w:jc w:val="center"/>
        <w:rPr>
          <w:rFonts w:ascii="Times New Roman" w:eastAsia="Times New Roman" w:hAnsi="Times New Roman" w:cs="Times New Roman"/>
          <w:b/>
          <w:i/>
          <w:sz w:val="24"/>
          <w:szCs w:val="24"/>
          <w:lang w:eastAsia="ru-RU"/>
        </w:rPr>
      </w:pPr>
      <w:r w:rsidRPr="00A93E43">
        <w:rPr>
          <w:rFonts w:ascii="Times New Roman" w:eastAsia="Times New Roman" w:hAnsi="Times New Roman" w:cs="Times New Roman"/>
          <w:b/>
          <w:i/>
          <w:sz w:val="24"/>
          <w:szCs w:val="24"/>
          <w:lang w:eastAsia="ru-RU"/>
        </w:rPr>
        <w:t>Динамика изменения собственных средств (капитала) Банка и основных показателей, включаемых в расчет капитала (тыс. руб.)</w:t>
      </w:r>
    </w:p>
    <w:p w14:paraId="4AC2D1C4" w14:textId="77777777" w:rsidR="00A93E43" w:rsidRPr="00A93E43" w:rsidRDefault="00A93E43" w:rsidP="00A93E43">
      <w:pPr>
        <w:spacing w:after="0" w:line="240" w:lineRule="auto"/>
        <w:jc w:val="center"/>
        <w:rPr>
          <w:rFonts w:ascii="Times New Roman" w:eastAsia="Times New Roman" w:hAnsi="Times New Roman" w:cs="Times New Roman"/>
          <w:b/>
          <w:i/>
          <w:sz w:val="24"/>
          <w:szCs w:val="24"/>
          <w:lang w:eastAsia="ru-RU"/>
        </w:rPr>
      </w:pPr>
    </w:p>
    <w:p w14:paraId="2EF6364E" w14:textId="77777777" w:rsidR="00A93E43" w:rsidRPr="00EA2597" w:rsidRDefault="00C7570D" w:rsidP="00EA2597">
      <w:pPr>
        <w:spacing w:line="240" w:lineRule="auto"/>
        <w:ind w:firstLine="567"/>
        <w:jc w:val="both"/>
        <w:rPr>
          <w:rFonts w:ascii="Times New Roman" w:hAnsi="Times New Roman" w:cs="Times New Roman"/>
          <w:bCs/>
          <w:sz w:val="24"/>
          <w:szCs w:val="24"/>
        </w:rPr>
      </w:pPr>
      <w:r>
        <w:rPr>
          <w:rFonts w:ascii="Times New Roman" w:eastAsia="MS Mincho" w:hAnsi="Times New Roman" w:cs="Times New Roman"/>
          <w:noProof/>
          <w:snapToGrid w:val="0"/>
          <w:sz w:val="24"/>
          <w:szCs w:val="24"/>
          <w:lang w:eastAsia="x-none"/>
        </w:rPr>
        <w:t xml:space="preserve">     </w:t>
      </w:r>
      <w:r w:rsidR="00A93E43" w:rsidRPr="00EA2597">
        <w:rPr>
          <w:rFonts w:ascii="Times New Roman" w:hAnsi="Times New Roman" w:cs="Times New Roman"/>
          <w:bCs/>
          <w:sz w:val="24"/>
          <w:szCs w:val="24"/>
        </w:rPr>
        <w:t>Банк осуществляет управление капиталом, исходя из необходимости продолжения своей деятельности, соблюдения  баланса между обеспечением финансовой устойчивости при любых экономических условиях функционирования его бизнеса</w:t>
      </w:r>
      <w:r w:rsidRPr="00EA2597">
        <w:rPr>
          <w:rFonts w:ascii="Times New Roman" w:hAnsi="Times New Roman" w:cs="Times New Roman"/>
          <w:bCs/>
          <w:sz w:val="24"/>
          <w:szCs w:val="24"/>
        </w:rPr>
        <w:t xml:space="preserve"> </w:t>
      </w:r>
      <w:r w:rsidR="00A93E43" w:rsidRPr="00EA2597">
        <w:rPr>
          <w:rFonts w:ascii="Times New Roman" w:hAnsi="Times New Roman" w:cs="Times New Roman"/>
          <w:bCs/>
          <w:sz w:val="24"/>
          <w:szCs w:val="24"/>
        </w:rPr>
        <w:t xml:space="preserve">и обеспечением </w:t>
      </w:r>
      <w:r w:rsidRPr="00EA2597">
        <w:rPr>
          <w:rFonts w:ascii="Times New Roman" w:hAnsi="Times New Roman" w:cs="Times New Roman"/>
          <w:bCs/>
          <w:sz w:val="24"/>
          <w:szCs w:val="24"/>
        </w:rPr>
        <w:t xml:space="preserve">на высоком уровне </w:t>
      </w:r>
      <w:r w:rsidR="00A93E43" w:rsidRPr="00EA2597">
        <w:rPr>
          <w:rFonts w:ascii="Times New Roman" w:hAnsi="Times New Roman" w:cs="Times New Roman"/>
          <w:bCs/>
          <w:sz w:val="24"/>
          <w:szCs w:val="24"/>
        </w:rPr>
        <w:t xml:space="preserve">прибыльности вложений акционеров. </w:t>
      </w:r>
    </w:p>
    <w:p w14:paraId="02134CCA" w14:textId="791E604A" w:rsidR="00A93E43" w:rsidRPr="00EA2597" w:rsidRDefault="00C7570D" w:rsidP="00C454DA">
      <w:pPr>
        <w:tabs>
          <w:tab w:val="left" w:pos="600"/>
        </w:tabs>
        <w:spacing w:after="240" w:line="240" w:lineRule="auto"/>
        <w:jc w:val="both"/>
        <w:rPr>
          <w:rFonts w:ascii="Times New Roman" w:hAnsi="Times New Roman" w:cs="Times New Roman"/>
          <w:bCs/>
          <w:sz w:val="24"/>
          <w:szCs w:val="24"/>
        </w:rPr>
      </w:pPr>
      <w:r>
        <w:rPr>
          <w:rFonts w:ascii="Times New Roman" w:eastAsia="MS Mincho" w:hAnsi="Times New Roman" w:cs="Times New Roman"/>
          <w:sz w:val="24"/>
          <w:szCs w:val="24"/>
          <w:lang w:eastAsia="ja-JP"/>
        </w:rPr>
        <w:t xml:space="preserve">    </w:t>
      </w:r>
      <w:r w:rsidR="001C224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002B37CB" w:rsidRPr="00EA2597">
        <w:rPr>
          <w:rFonts w:ascii="Times New Roman" w:hAnsi="Times New Roman" w:cs="Times New Roman"/>
          <w:bCs/>
          <w:sz w:val="24"/>
          <w:szCs w:val="24"/>
        </w:rPr>
        <w:t>В</w:t>
      </w:r>
      <w:r w:rsidR="00A93E43" w:rsidRPr="00EA2597">
        <w:rPr>
          <w:rFonts w:ascii="Times New Roman" w:hAnsi="Times New Roman" w:cs="Times New Roman"/>
          <w:bCs/>
          <w:sz w:val="24"/>
          <w:szCs w:val="24"/>
        </w:rPr>
        <w:t xml:space="preserve"> отчетн</w:t>
      </w:r>
      <w:r w:rsidR="002B37CB" w:rsidRPr="00EA2597">
        <w:rPr>
          <w:rFonts w:ascii="Times New Roman" w:hAnsi="Times New Roman" w:cs="Times New Roman"/>
          <w:bCs/>
          <w:sz w:val="24"/>
          <w:szCs w:val="24"/>
        </w:rPr>
        <w:t xml:space="preserve">ый </w:t>
      </w:r>
      <w:r w:rsidR="00A93E43" w:rsidRPr="00EA2597">
        <w:rPr>
          <w:rFonts w:ascii="Times New Roman" w:hAnsi="Times New Roman" w:cs="Times New Roman"/>
          <w:bCs/>
          <w:sz w:val="24"/>
          <w:szCs w:val="24"/>
        </w:rPr>
        <w:t xml:space="preserve">период Банк осуществлял управление капиталом, руководствуясь задачами, определенными </w:t>
      </w:r>
      <w:r w:rsidR="0064527F" w:rsidRPr="00EA2597">
        <w:rPr>
          <w:rFonts w:ascii="Times New Roman" w:hAnsi="Times New Roman" w:cs="Times New Roman"/>
          <w:bCs/>
          <w:sz w:val="24"/>
          <w:szCs w:val="24"/>
        </w:rPr>
        <w:t>С</w:t>
      </w:r>
      <w:r w:rsidR="00A93E43" w:rsidRPr="00EA2597">
        <w:rPr>
          <w:rFonts w:ascii="Times New Roman" w:hAnsi="Times New Roman" w:cs="Times New Roman"/>
          <w:bCs/>
          <w:sz w:val="24"/>
          <w:szCs w:val="24"/>
        </w:rPr>
        <w:t xml:space="preserve">тратегией Группы </w:t>
      </w:r>
      <w:r w:rsidR="00332250" w:rsidRPr="00EA2597">
        <w:rPr>
          <w:rFonts w:ascii="Times New Roman" w:hAnsi="Times New Roman" w:cs="Times New Roman"/>
          <w:bCs/>
          <w:sz w:val="24"/>
          <w:szCs w:val="24"/>
        </w:rPr>
        <w:t>«Московская Группа» на 2015-</w:t>
      </w:r>
      <w:r w:rsidR="00A93E43" w:rsidRPr="00EA2597">
        <w:rPr>
          <w:rFonts w:ascii="Times New Roman" w:hAnsi="Times New Roman" w:cs="Times New Roman"/>
          <w:bCs/>
          <w:sz w:val="24"/>
          <w:szCs w:val="24"/>
        </w:rPr>
        <w:t>2020</w:t>
      </w:r>
      <w:r w:rsidR="00332250" w:rsidRPr="00EA2597">
        <w:rPr>
          <w:rFonts w:ascii="Times New Roman" w:hAnsi="Times New Roman" w:cs="Times New Roman"/>
          <w:bCs/>
          <w:sz w:val="24"/>
          <w:szCs w:val="24"/>
        </w:rPr>
        <w:t xml:space="preserve"> г.г. </w:t>
      </w:r>
      <w:r w:rsidR="00A93E43" w:rsidRPr="00EA2597">
        <w:rPr>
          <w:rFonts w:ascii="Times New Roman" w:hAnsi="Times New Roman" w:cs="Times New Roman"/>
          <w:bCs/>
          <w:sz w:val="24"/>
          <w:szCs w:val="24"/>
        </w:rPr>
        <w:t xml:space="preserve">в области развития централизованного клиринга и повышения надежности </w:t>
      </w:r>
      <w:r w:rsidR="00585CE1" w:rsidRPr="00EA2597">
        <w:rPr>
          <w:rFonts w:ascii="Times New Roman" w:hAnsi="Times New Roman" w:cs="Times New Roman"/>
          <w:bCs/>
          <w:sz w:val="24"/>
          <w:szCs w:val="24"/>
        </w:rPr>
        <w:t>ц</w:t>
      </w:r>
      <w:r w:rsidR="00A93E43" w:rsidRPr="00EA2597">
        <w:rPr>
          <w:rFonts w:ascii="Times New Roman" w:hAnsi="Times New Roman" w:cs="Times New Roman"/>
          <w:bCs/>
          <w:sz w:val="24"/>
          <w:szCs w:val="24"/>
        </w:rPr>
        <w:t xml:space="preserve">ентрального контрагента. </w:t>
      </w:r>
      <w:r w:rsidR="00332250" w:rsidRPr="00EA2597">
        <w:rPr>
          <w:rFonts w:ascii="Times New Roman" w:hAnsi="Times New Roman" w:cs="Times New Roman"/>
          <w:bCs/>
          <w:sz w:val="24"/>
          <w:szCs w:val="24"/>
        </w:rPr>
        <w:t xml:space="preserve"> </w:t>
      </w:r>
      <w:r w:rsidR="00A93E43" w:rsidRPr="00EA2597">
        <w:rPr>
          <w:rFonts w:ascii="Times New Roman" w:hAnsi="Times New Roman" w:cs="Times New Roman"/>
          <w:bCs/>
          <w:sz w:val="24"/>
          <w:szCs w:val="24"/>
        </w:rPr>
        <w:t>Принимая во внимание необходимость соблюдения регулятивных требований к капиталу кредитных организаций, Банк осуществлял прогнозирование величины капитала с учетом прогнозов объема операций на биржевых рынках Группы и объемов депонируемых участниками клиринга средств для обеспечения исполнения обязательств по сделкам, а также с учетом величины рисков, принимаемых в связи с реализацией приоритетных проектов Группы, предусматривающих осуществление централизованного клиринга с участием Банка.  При прогнозировании величины капитала и уровня его достаточности Банк ориентировался также на планируемые выплаты дивидендов в соответствии с дивидендной политикой Группы.</w:t>
      </w:r>
    </w:p>
    <w:tbl>
      <w:tblPr>
        <w:tblStyle w:val="af"/>
        <w:tblW w:w="9237" w:type="dxa"/>
        <w:tblInd w:w="108" w:type="dxa"/>
        <w:tblLook w:val="04A0" w:firstRow="1" w:lastRow="0" w:firstColumn="1" w:lastColumn="0" w:noHBand="0" w:noVBand="1"/>
      </w:tblPr>
      <w:tblGrid>
        <w:gridCol w:w="4497"/>
        <w:gridCol w:w="1824"/>
        <w:gridCol w:w="2916"/>
      </w:tblGrid>
      <w:tr w:rsidR="00A93E43" w:rsidRPr="00A93E43" w14:paraId="20860949" w14:textId="77777777" w:rsidTr="00257FB8">
        <w:tc>
          <w:tcPr>
            <w:tcW w:w="5169" w:type="dxa"/>
          </w:tcPr>
          <w:p w14:paraId="39758DD1" w14:textId="77777777" w:rsidR="00A93E43" w:rsidRPr="00A93E43" w:rsidRDefault="00A93E43" w:rsidP="00A93E43">
            <w:pPr>
              <w:widowControl w:val="0"/>
              <w:tabs>
                <w:tab w:val="left" w:pos="1056"/>
              </w:tabs>
              <w:autoSpaceDE w:val="0"/>
              <w:autoSpaceDN w:val="0"/>
              <w:adjustRightInd w:val="0"/>
              <w:jc w:val="center"/>
              <w:rPr>
                <w:rFonts w:ascii="Times New Roman" w:eastAsia="MS Mincho" w:hAnsi="Times New Roman"/>
                <w:b/>
                <w:sz w:val="24"/>
                <w:szCs w:val="24"/>
              </w:rPr>
            </w:pPr>
            <w:r w:rsidRPr="00A93E43">
              <w:rPr>
                <w:rFonts w:ascii="Times New Roman" w:eastAsia="MS Mincho" w:hAnsi="Times New Roman"/>
                <w:b/>
                <w:sz w:val="24"/>
                <w:szCs w:val="24"/>
              </w:rPr>
              <w:t>Наименование статьи</w:t>
            </w:r>
          </w:p>
        </w:tc>
        <w:tc>
          <w:tcPr>
            <w:tcW w:w="1965" w:type="dxa"/>
          </w:tcPr>
          <w:p w14:paraId="6DCE59C0" w14:textId="77777777" w:rsidR="00A93E43" w:rsidRPr="00A93E43" w:rsidRDefault="00A93E43" w:rsidP="00A93E43">
            <w:pPr>
              <w:widowControl w:val="0"/>
              <w:autoSpaceDE w:val="0"/>
              <w:autoSpaceDN w:val="0"/>
              <w:adjustRightInd w:val="0"/>
              <w:jc w:val="center"/>
              <w:rPr>
                <w:rFonts w:ascii="Times New Roman" w:eastAsia="MS Mincho" w:hAnsi="Times New Roman"/>
                <w:b/>
                <w:sz w:val="24"/>
                <w:szCs w:val="24"/>
              </w:rPr>
            </w:pPr>
            <w:r w:rsidRPr="00A93E43">
              <w:rPr>
                <w:rFonts w:ascii="Times New Roman" w:eastAsia="MS Mincho" w:hAnsi="Times New Roman"/>
                <w:b/>
                <w:sz w:val="24"/>
                <w:szCs w:val="24"/>
              </w:rPr>
              <w:t>01.01.2017</w:t>
            </w:r>
          </w:p>
        </w:tc>
        <w:tc>
          <w:tcPr>
            <w:tcW w:w="2103" w:type="dxa"/>
          </w:tcPr>
          <w:p w14:paraId="20560EE4" w14:textId="77777777" w:rsidR="00A93E43" w:rsidRPr="00A93E43" w:rsidRDefault="00A93E43" w:rsidP="00A93E43">
            <w:pPr>
              <w:widowControl w:val="0"/>
              <w:autoSpaceDE w:val="0"/>
              <w:autoSpaceDN w:val="0"/>
              <w:adjustRightInd w:val="0"/>
              <w:jc w:val="center"/>
              <w:rPr>
                <w:rFonts w:ascii="Times New Roman" w:eastAsia="MS Mincho" w:hAnsi="Times New Roman"/>
                <w:b/>
                <w:sz w:val="24"/>
                <w:szCs w:val="24"/>
              </w:rPr>
            </w:pPr>
            <w:r w:rsidRPr="00A93E43">
              <w:rPr>
                <w:rFonts w:ascii="Times New Roman" w:eastAsia="MS Mincho" w:hAnsi="Times New Roman"/>
                <w:b/>
                <w:sz w:val="24"/>
                <w:szCs w:val="24"/>
              </w:rPr>
              <w:t>01.01.2016</w:t>
            </w:r>
          </w:p>
        </w:tc>
      </w:tr>
      <w:tr w:rsidR="00A93E43" w:rsidRPr="00A93E43" w14:paraId="53A7B3B2" w14:textId="77777777" w:rsidTr="00257FB8">
        <w:tc>
          <w:tcPr>
            <w:tcW w:w="5169" w:type="dxa"/>
          </w:tcPr>
          <w:p w14:paraId="511F01CC"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Собственные средства (Капитал), итого,</w:t>
            </w:r>
          </w:p>
        </w:tc>
        <w:tc>
          <w:tcPr>
            <w:tcW w:w="1965" w:type="dxa"/>
          </w:tcPr>
          <w:p w14:paraId="2D94C581"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 xml:space="preserve"> 46 515 470   </w:t>
            </w:r>
          </w:p>
        </w:tc>
        <w:tc>
          <w:tcPr>
            <w:tcW w:w="2103" w:type="dxa"/>
          </w:tcPr>
          <w:p w14:paraId="3F69A9E6"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54 130 884</w:t>
            </w:r>
          </w:p>
        </w:tc>
      </w:tr>
      <w:tr w:rsidR="00A93E43" w:rsidRPr="00A93E43" w14:paraId="6F2490DE" w14:textId="77777777" w:rsidTr="00257FB8">
        <w:tc>
          <w:tcPr>
            <w:tcW w:w="5169" w:type="dxa"/>
          </w:tcPr>
          <w:p w14:paraId="63A59704"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в т.ч.:</w:t>
            </w:r>
          </w:p>
        </w:tc>
        <w:tc>
          <w:tcPr>
            <w:tcW w:w="1965" w:type="dxa"/>
          </w:tcPr>
          <w:p w14:paraId="629F6F1C"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p>
        </w:tc>
        <w:tc>
          <w:tcPr>
            <w:tcW w:w="2103" w:type="dxa"/>
          </w:tcPr>
          <w:p w14:paraId="19766C47"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p>
        </w:tc>
      </w:tr>
      <w:tr w:rsidR="00A93E43" w:rsidRPr="00A93E43" w14:paraId="20033501" w14:textId="77777777" w:rsidTr="00257FB8">
        <w:tc>
          <w:tcPr>
            <w:tcW w:w="5169" w:type="dxa"/>
          </w:tcPr>
          <w:p w14:paraId="68D693E0"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Базовый капитал</w:t>
            </w:r>
          </w:p>
        </w:tc>
        <w:tc>
          <w:tcPr>
            <w:tcW w:w="1965" w:type="dxa"/>
          </w:tcPr>
          <w:p w14:paraId="0AF3E2B4"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 xml:space="preserve"> 25 361 995   </w:t>
            </w:r>
          </w:p>
        </w:tc>
        <w:tc>
          <w:tcPr>
            <w:tcW w:w="2103" w:type="dxa"/>
          </w:tcPr>
          <w:p w14:paraId="494CBD33" w14:textId="77777777" w:rsidR="00A93E43" w:rsidRPr="00585CE1" w:rsidRDefault="00A93E43" w:rsidP="00441380">
            <w:pPr>
              <w:pStyle w:val="a3"/>
              <w:numPr>
                <w:ilvl w:val="2"/>
                <w:numId w:val="37"/>
              </w:numPr>
              <w:spacing w:after="0" w:line="240" w:lineRule="auto"/>
              <w:jc w:val="both"/>
              <w:rPr>
                <w:rFonts w:ascii="Times New Roman" w:eastAsia="MS Mincho" w:hAnsi="Times New Roman"/>
                <w:noProof/>
                <w:snapToGrid w:val="0"/>
                <w:sz w:val="24"/>
                <w:szCs w:val="24"/>
                <w:lang w:eastAsia="x-none"/>
              </w:rPr>
            </w:pPr>
            <w:r w:rsidRPr="00585CE1">
              <w:rPr>
                <w:rFonts w:ascii="Times New Roman" w:eastAsia="MS Mincho" w:hAnsi="Times New Roman"/>
                <w:noProof/>
                <w:snapToGrid w:val="0"/>
                <w:sz w:val="24"/>
                <w:szCs w:val="24"/>
                <w:lang w:eastAsia="x-none"/>
              </w:rPr>
              <w:t>346 599</w:t>
            </w:r>
          </w:p>
        </w:tc>
      </w:tr>
      <w:tr w:rsidR="00A93E43" w:rsidRPr="00A93E43" w14:paraId="28D76199" w14:textId="77777777" w:rsidTr="00257FB8">
        <w:tc>
          <w:tcPr>
            <w:tcW w:w="5169" w:type="dxa"/>
          </w:tcPr>
          <w:p w14:paraId="36153B49"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Основной капитал</w:t>
            </w:r>
          </w:p>
        </w:tc>
        <w:tc>
          <w:tcPr>
            <w:tcW w:w="1965" w:type="dxa"/>
          </w:tcPr>
          <w:p w14:paraId="679023C7"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 xml:space="preserve"> 25 361 995   </w:t>
            </w:r>
          </w:p>
        </w:tc>
        <w:tc>
          <w:tcPr>
            <w:tcW w:w="2103" w:type="dxa"/>
          </w:tcPr>
          <w:p w14:paraId="1FB97558"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31 346 599</w:t>
            </w:r>
          </w:p>
        </w:tc>
      </w:tr>
      <w:tr w:rsidR="00A93E43" w:rsidRPr="00A93E43" w14:paraId="1CF735C0" w14:textId="77777777" w:rsidTr="00257FB8">
        <w:tc>
          <w:tcPr>
            <w:tcW w:w="5169" w:type="dxa"/>
          </w:tcPr>
          <w:p w14:paraId="69C80000"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Дополнительный капитал</w:t>
            </w:r>
          </w:p>
        </w:tc>
        <w:tc>
          <w:tcPr>
            <w:tcW w:w="1965" w:type="dxa"/>
          </w:tcPr>
          <w:p w14:paraId="38B4DC8A"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 xml:space="preserve"> 21 153 475   </w:t>
            </w:r>
          </w:p>
        </w:tc>
        <w:tc>
          <w:tcPr>
            <w:tcW w:w="2103" w:type="dxa"/>
          </w:tcPr>
          <w:p w14:paraId="0D7D5A20" w14:textId="77777777" w:rsidR="00A93E43" w:rsidRPr="00A93E43" w:rsidRDefault="00A93E43" w:rsidP="00585CE1">
            <w:pPr>
              <w:spacing w:after="0" w:line="240" w:lineRule="auto"/>
              <w:jc w:val="both"/>
              <w:rPr>
                <w:rFonts w:ascii="Times New Roman" w:eastAsia="MS Mincho" w:hAnsi="Times New Roman"/>
                <w:noProof/>
                <w:snapToGrid w:val="0"/>
                <w:sz w:val="24"/>
                <w:szCs w:val="24"/>
                <w:lang w:eastAsia="x-none"/>
              </w:rPr>
            </w:pPr>
            <w:r w:rsidRPr="00A93E43">
              <w:rPr>
                <w:rFonts w:ascii="Times New Roman" w:eastAsia="MS Mincho" w:hAnsi="Times New Roman"/>
                <w:noProof/>
                <w:snapToGrid w:val="0"/>
                <w:sz w:val="24"/>
                <w:szCs w:val="24"/>
                <w:lang w:eastAsia="x-none"/>
              </w:rPr>
              <w:t>22 784 285</w:t>
            </w:r>
          </w:p>
        </w:tc>
      </w:tr>
    </w:tbl>
    <w:p w14:paraId="52D5BC19" w14:textId="77777777" w:rsidR="00A93E43" w:rsidRPr="00A93E43" w:rsidRDefault="00A93E43" w:rsidP="00A93E43">
      <w:pPr>
        <w:spacing w:after="0" w:line="240" w:lineRule="auto"/>
        <w:ind w:firstLine="476"/>
        <w:jc w:val="both"/>
        <w:rPr>
          <w:rFonts w:ascii="Times New Roman" w:eastAsia="Calibri" w:hAnsi="Times New Roman" w:cs="Times New Roman"/>
          <w:sz w:val="24"/>
          <w:szCs w:val="24"/>
        </w:rPr>
      </w:pPr>
      <w:bookmarkStart w:id="0" w:name="_Toc321828812"/>
      <w:bookmarkStart w:id="1" w:name="_Toc321829105"/>
      <w:bookmarkStart w:id="2" w:name="_Toc321829397"/>
      <w:bookmarkStart w:id="3" w:name="_Toc321829689"/>
      <w:bookmarkStart w:id="4" w:name="_Toc321829919"/>
      <w:bookmarkStart w:id="5" w:name="_Toc321837644"/>
      <w:bookmarkStart w:id="6" w:name="_Toc321845107"/>
      <w:bookmarkStart w:id="7" w:name="_Toc321912527"/>
      <w:bookmarkStart w:id="8" w:name="_Toc321828813"/>
      <w:bookmarkStart w:id="9" w:name="_Toc321829106"/>
      <w:bookmarkStart w:id="10" w:name="_Toc321829398"/>
      <w:bookmarkStart w:id="11" w:name="_Toc321829690"/>
      <w:bookmarkStart w:id="12" w:name="_Toc321829920"/>
      <w:bookmarkStart w:id="13" w:name="_Toc321837645"/>
      <w:bookmarkStart w:id="14" w:name="_Toc321845108"/>
      <w:bookmarkStart w:id="15" w:name="_Toc3219125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C9DF182" w14:textId="77777777" w:rsidR="00A93E43" w:rsidRPr="00A93E43" w:rsidRDefault="00A93E43" w:rsidP="00A93E43">
      <w:pPr>
        <w:spacing w:after="0" w:line="240" w:lineRule="auto"/>
        <w:ind w:firstLine="476"/>
        <w:jc w:val="both"/>
        <w:rPr>
          <w:rFonts w:ascii="Times New Roman" w:eastAsia="Calibri" w:hAnsi="Times New Roman" w:cs="Times New Roman"/>
          <w:sz w:val="24"/>
          <w:szCs w:val="24"/>
        </w:rPr>
      </w:pPr>
      <w:r w:rsidRPr="00A93E43">
        <w:rPr>
          <w:rFonts w:ascii="Times New Roman" w:eastAsia="Calibri" w:hAnsi="Times New Roman" w:cs="Times New Roman"/>
          <w:sz w:val="24"/>
          <w:szCs w:val="24"/>
        </w:rPr>
        <w:t>В отчетн</w:t>
      </w:r>
      <w:r w:rsidR="0064527F">
        <w:rPr>
          <w:rFonts w:ascii="Times New Roman" w:eastAsia="Calibri" w:hAnsi="Times New Roman" w:cs="Times New Roman"/>
          <w:sz w:val="24"/>
          <w:szCs w:val="24"/>
        </w:rPr>
        <w:t>ый</w:t>
      </w:r>
      <w:r w:rsidRPr="00A93E43">
        <w:rPr>
          <w:rFonts w:ascii="Times New Roman" w:eastAsia="Calibri" w:hAnsi="Times New Roman" w:cs="Times New Roman"/>
          <w:sz w:val="24"/>
          <w:szCs w:val="24"/>
        </w:rPr>
        <w:t xml:space="preserve"> период Банк в полном объеме выполнял все предусмотренные требования к достаточности капитала.</w:t>
      </w:r>
    </w:p>
    <w:p w14:paraId="0246EDAF" w14:textId="77777777" w:rsidR="00A93E43" w:rsidRPr="00A93E43" w:rsidRDefault="00A93E43" w:rsidP="00A93E43">
      <w:pPr>
        <w:spacing w:after="0" w:line="240" w:lineRule="auto"/>
        <w:ind w:firstLine="476"/>
        <w:jc w:val="both"/>
        <w:rPr>
          <w:rFonts w:ascii="Times New Roman" w:eastAsia="Calibri" w:hAnsi="Times New Roman" w:cs="Times New Roman"/>
        </w:rPr>
      </w:pPr>
    </w:p>
    <w:tbl>
      <w:tblPr>
        <w:tblW w:w="9781" w:type="dxa"/>
        <w:tblInd w:w="-436" w:type="dxa"/>
        <w:tblLayout w:type="fixed"/>
        <w:tblLook w:val="04A0" w:firstRow="1" w:lastRow="0" w:firstColumn="1" w:lastColumn="0" w:noHBand="0" w:noVBand="1"/>
      </w:tblPr>
      <w:tblGrid>
        <w:gridCol w:w="1179"/>
        <w:gridCol w:w="807"/>
        <w:gridCol w:w="850"/>
        <w:gridCol w:w="851"/>
        <w:gridCol w:w="850"/>
        <w:gridCol w:w="851"/>
        <w:gridCol w:w="850"/>
        <w:gridCol w:w="992"/>
        <w:gridCol w:w="851"/>
        <w:gridCol w:w="850"/>
        <w:gridCol w:w="850"/>
      </w:tblGrid>
      <w:tr w:rsidR="00A93E43" w:rsidRPr="00A93E43" w14:paraId="368297CC" w14:textId="77777777" w:rsidTr="00257FB8">
        <w:trPr>
          <w:trHeight w:val="242"/>
        </w:trPr>
        <w:tc>
          <w:tcPr>
            <w:tcW w:w="11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1903F3"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Год</w:t>
            </w:r>
          </w:p>
        </w:tc>
        <w:tc>
          <w:tcPr>
            <w:tcW w:w="807" w:type="dxa"/>
            <w:tcBorders>
              <w:top w:val="single" w:sz="8" w:space="0" w:color="auto"/>
              <w:left w:val="nil"/>
              <w:bottom w:val="single" w:sz="8" w:space="0" w:color="auto"/>
              <w:right w:val="single" w:sz="8" w:space="0" w:color="auto"/>
            </w:tcBorders>
            <w:shd w:val="clear" w:color="000000" w:fill="FFFFFF"/>
            <w:noWrap/>
            <w:vAlign w:val="center"/>
            <w:hideMark/>
          </w:tcPr>
          <w:p w14:paraId="38B97605"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2007</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14:paraId="3DF16838"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2008</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71381457"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2009</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0F71524F"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2010</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96F4831"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2011</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14:paraId="0D3128B7"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2012</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31F3AEB3"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2013</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6C81E809"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2014</w:t>
            </w:r>
          </w:p>
        </w:tc>
        <w:tc>
          <w:tcPr>
            <w:tcW w:w="850" w:type="dxa"/>
            <w:tcBorders>
              <w:top w:val="single" w:sz="8" w:space="0" w:color="auto"/>
              <w:left w:val="nil"/>
              <w:bottom w:val="single" w:sz="8" w:space="0" w:color="auto"/>
              <w:right w:val="nil"/>
            </w:tcBorders>
            <w:shd w:val="clear" w:color="000000" w:fill="FFFFFF"/>
            <w:vAlign w:val="center"/>
          </w:tcPr>
          <w:p w14:paraId="4EAF8765"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lang w:val="en-US"/>
              </w:rPr>
              <w:t>2015</w:t>
            </w:r>
          </w:p>
        </w:tc>
        <w:tc>
          <w:tcPr>
            <w:tcW w:w="850" w:type="dxa"/>
            <w:tcBorders>
              <w:top w:val="single" w:sz="8" w:space="0" w:color="auto"/>
              <w:left w:val="nil"/>
              <w:bottom w:val="single" w:sz="8" w:space="0" w:color="auto"/>
              <w:right w:val="single" w:sz="8" w:space="0" w:color="auto"/>
            </w:tcBorders>
            <w:shd w:val="clear" w:color="000000" w:fill="FFFFFF"/>
            <w:vAlign w:val="center"/>
          </w:tcPr>
          <w:p w14:paraId="3EEA1DB6"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2016</w:t>
            </w:r>
          </w:p>
        </w:tc>
      </w:tr>
      <w:tr w:rsidR="00A93E43" w:rsidRPr="00A93E43" w14:paraId="1DFF8E91" w14:textId="77777777" w:rsidTr="00257FB8">
        <w:trPr>
          <w:trHeight w:val="651"/>
        </w:trPr>
        <w:tc>
          <w:tcPr>
            <w:tcW w:w="1179" w:type="dxa"/>
            <w:tcBorders>
              <w:top w:val="nil"/>
              <w:left w:val="single" w:sz="8" w:space="0" w:color="auto"/>
              <w:bottom w:val="single" w:sz="8" w:space="0" w:color="auto"/>
              <w:right w:val="single" w:sz="8" w:space="0" w:color="auto"/>
            </w:tcBorders>
            <w:shd w:val="clear" w:color="auto" w:fill="auto"/>
            <w:vAlign w:val="center"/>
            <w:hideMark/>
          </w:tcPr>
          <w:p w14:paraId="4B064E4B"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Собственные средства</w:t>
            </w:r>
            <w:r w:rsidRPr="00A93E43">
              <w:rPr>
                <w:rFonts w:ascii="Times New Roman" w:eastAsia="Times New Roman" w:hAnsi="Times New Roman" w:cs="Times New Roman"/>
                <w:b/>
                <w:bCs/>
                <w:color w:val="000000"/>
                <w:sz w:val="16"/>
                <w:szCs w:val="16"/>
                <w:lang w:val="en-US"/>
              </w:rPr>
              <w:t xml:space="preserve"> </w:t>
            </w:r>
            <w:r w:rsidRPr="00A93E43">
              <w:rPr>
                <w:rFonts w:ascii="Times New Roman" w:eastAsia="Times New Roman" w:hAnsi="Times New Roman" w:cs="Times New Roman"/>
                <w:b/>
                <w:bCs/>
                <w:color w:val="000000"/>
                <w:sz w:val="16"/>
                <w:szCs w:val="16"/>
              </w:rPr>
              <w:t>(капитал</w:t>
            </w:r>
            <w:r w:rsidRPr="00A93E43">
              <w:rPr>
                <w:rFonts w:ascii="Times New Roman" w:eastAsia="Times New Roman" w:hAnsi="Times New Roman" w:cs="Times New Roman"/>
                <w:b/>
                <w:bCs/>
                <w:color w:val="000000"/>
                <w:sz w:val="16"/>
                <w:szCs w:val="16"/>
                <w:lang w:val="en-US"/>
              </w:rPr>
              <w:t>)</w:t>
            </w:r>
          </w:p>
        </w:tc>
        <w:tc>
          <w:tcPr>
            <w:tcW w:w="807" w:type="dxa"/>
            <w:tcBorders>
              <w:top w:val="nil"/>
              <w:left w:val="nil"/>
              <w:bottom w:val="single" w:sz="8" w:space="0" w:color="auto"/>
              <w:right w:val="single" w:sz="8" w:space="0" w:color="auto"/>
            </w:tcBorders>
            <w:shd w:val="clear" w:color="000000" w:fill="FFFFFF"/>
            <w:noWrap/>
            <w:vAlign w:val="center"/>
            <w:hideMark/>
          </w:tcPr>
          <w:p w14:paraId="4BF65D46"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715 875</w:t>
            </w:r>
          </w:p>
        </w:tc>
        <w:tc>
          <w:tcPr>
            <w:tcW w:w="850" w:type="dxa"/>
            <w:tcBorders>
              <w:top w:val="nil"/>
              <w:left w:val="nil"/>
              <w:bottom w:val="single" w:sz="8" w:space="0" w:color="auto"/>
              <w:right w:val="single" w:sz="8" w:space="0" w:color="auto"/>
            </w:tcBorders>
            <w:shd w:val="clear" w:color="000000" w:fill="FFFFFF"/>
            <w:noWrap/>
            <w:vAlign w:val="center"/>
            <w:hideMark/>
          </w:tcPr>
          <w:p w14:paraId="456531F4"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2 131 622</w:t>
            </w:r>
          </w:p>
        </w:tc>
        <w:tc>
          <w:tcPr>
            <w:tcW w:w="851" w:type="dxa"/>
            <w:tcBorders>
              <w:top w:val="nil"/>
              <w:left w:val="nil"/>
              <w:bottom w:val="single" w:sz="8" w:space="0" w:color="auto"/>
              <w:right w:val="single" w:sz="8" w:space="0" w:color="auto"/>
            </w:tcBorders>
            <w:shd w:val="clear" w:color="000000" w:fill="FFFFFF"/>
            <w:noWrap/>
            <w:vAlign w:val="center"/>
            <w:hideMark/>
          </w:tcPr>
          <w:p w14:paraId="563A2A37"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4 251 640</w:t>
            </w:r>
          </w:p>
        </w:tc>
        <w:tc>
          <w:tcPr>
            <w:tcW w:w="850" w:type="dxa"/>
            <w:tcBorders>
              <w:top w:val="nil"/>
              <w:left w:val="nil"/>
              <w:bottom w:val="single" w:sz="8" w:space="0" w:color="auto"/>
              <w:right w:val="single" w:sz="8" w:space="0" w:color="auto"/>
            </w:tcBorders>
            <w:shd w:val="clear" w:color="000000" w:fill="FFFFFF"/>
            <w:noWrap/>
            <w:vAlign w:val="center"/>
            <w:hideMark/>
          </w:tcPr>
          <w:p w14:paraId="10727240"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8 126 112</w:t>
            </w:r>
          </w:p>
        </w:tc>
        <w:tc>
          <w:tcPr>
            <w:tcW w:w="851" w:type="dxa"/>
            <w:tcBorders>
              <w:top w:val="nil"/>
              <w:left w:val="nil"/>
              <w:bottom w:val="single" w:sz="8" w:space="0" w:color="auto"/>
              <w:right w:val="single" w:sz="8" w:space="0" w:color="auto"/>
            </w:tcBorders>
            <w:shd w:val="clear" w:color="000000" w:fill="FFFFFF"/>
            <w:noWrap/>
            <w:vAlign w:val="center"/>
            <w:hideMark/>
          </w:tcPr>
          <w:p w14:paraId="1195B4CE"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9 999 913</w:t>
            </w:r>
          </w:p>
        </w:tc>
        <w:tc>
          <w:tcPr>
            <w:tcW w:w="850" w:type="dxa"/>
            <w:tcBorders>
              <w:top w:val="nil"/>
              <w:left w:val="nil"/>
              <w:bottom w:val="single" w:sz="8" w:space="0" w:color="auto"/>
              <w:right w:val="single" w:sz="8" w:space="0" w:color="auto"/>
            </w:tcBorders>
            <w:shd w:val="clear" w:color="000000" w:fill="FFFFFF"/>
            <w:noWrap/>
            <w:vAlign w:val="center"/>
            <w:hideMark/>
          </w:tcPr>
          <w:p w14:paraId="3745F51D"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13 501 400</w:t>
            </w:r>
          </w:p>
        </w:tc>
        <w:tc>
          <w:tcPr>
            <w:tcW w:w="992" w:type="dxa"/>
            <w:tcBorders>
              <w:top w:val="nil"/>
              <w:left w:val="nil"/>
              <w:bottom w:val="single" w:sz="8" w:space="0" w:color="auto"/>
              <w:right w:val="single" w:sz="8" w:space="0" w:color="auto"/>
            </w:tcBorders>
            <w:shd w:val="clear" w:color="000000" w:fill="FFFFFF"/>
            <w:noWrap/>
            <w:vAlign w:val="center"/>
            <w:hideMark/>
          </w:tcPr>
          <w:p w14:paraId="11D92ECF"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28 839 271</w:t>
            </w:r>
          </w:p>
        </w:tc>
        <w:tc>
          <w:tcPr>
            <w:tcW w:w="851" w:type="dxa"/>
            <w:tcBorders>
              <w:top w:val="nil"/>
              <w:left w:val="nil"/>
              <w:bottom w:val="single" w:sz="8" w:space="0" w:color="auto"/>
              <w:right w:val="single" w:sz="8" w:space="0" w:color="auto"/>
            </w:tcBorders>
            <w:shd w:val="clear" w:color="000000" w:fill="FFFFFF"/>
            <w:noWrap/>
            <w:vAlign w:val="center"/>
            <w:hideMark/>
          </w:tcPr>
          <w:p w14:paraId="53E5636F"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38 542 136</w:t>
            </w:r>
          </w:p>
        </w:tc>
        <w:tc>
          <w:tcPr>
            <w:tcW w:w="850" w:type="dxa"/>
            <w:tcBorders>
              <w:top w:val="nil"/>
              <w:left w:val="nil"/>
              <w:bottom w:val="single" w:sz="8" w:space="0" w:color="auto"/>
              <w:right w:val="nil"/>
            </w:tcBorders>
            <w:shd w:val="clear" w:color="000000" w:fill="FFFFFF"/>
            <w:vAlign w:val="center"/>
          </w:tcPr>
          <w:p w14:paraId="222487EC"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54 130 884</w:t>
            </w:r>
          </w:p>
        </w:tc>
        <w:tc>
          <w:tcPr>
            <w:tcW w:w="850" w:type="dxa"/>
            <w:tcBorders>
              <w:top w:val="nil"/>
              <w:left w:val="nil"/>
              <w:bottom w:val="single" w:sz="8" w:space="0" w:color="auto"/>
              <w:right w:val="single" w:sz="8" w:space="0" w:color="auto"/>
            </w:tcBorders>
            <w:shd w:val="clear" w:color="000000" w:fill="FFFFFF"/>
            <w:vAlign w:val="center"/>
          </w:tcPr>
          <w:p w14:paraId="6E7F201B"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 xml:space="preserve">46 515 470   </w:t>
            </w:r>
          </w:p>
        </w:tc>
      </w:tr>
      <w:tr w:rsidR="00A93E43" w:rsidRPr="00A93E43" w14:paraId="76239739" w14:textId="77777777" w:rsidTr="00257FB8">
        <w:trPr>
          <w:trHeight w:val="242"/>
        </w:trPr>
        <w:tc>
          <w:tcPr>
            <w:tcW w:w="1179" w:type="dxa"/>
            <w:tcBorders>
              <w:top w:val="nil"/>
              <w:left w:val="single" w:sz="8" w:space="0" w:color="auto"/>
              <w:bottom w:val="single" w:sz="8" w:space="0" w:color="auto"/>
              <w:right w:val="single" w:sz="8" w:space="0" w:color="auto"/>
            </w:tcBorders>
            <w:shd w:val="clear" w:color="auto" w:fill="auto"/>
            <w:vAlign w:val="center"/>
            <w:hideMark/>
          </w:tcPr>
          <w:p w14:paraId="700D13BC"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 xml:space="preserve">Нераспределенная прибыль </w:t>
            </w:r>
          </w:p>
        </w:tc>
        <w:tc>
          <w:tcPr>
            <w:tcW w:w="807" w:type="dxa"/>
            <w:tcBorders>
              <w:top w:val="nil"/>
              <w:left w:val="nil"/>
              <w:bottom w:val="single" w:sz="8" w:space="0" w:color="auto"/>
              <w:right w:val="single" w:sz="8" w:space="0" w:color="auto"/>
            </w:tcBorders>
            <w:shd w:val="clear" w:color="000000" w:fill="FFFFFF"/>
            <w:noWrap/>
            <w:vAlign w:val="center"/>
            <w:hideMark/>
          </w:tcPr>
          <w:p w14:paraId="40BB02F1"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15 258</w:t>
            </w:r>
          </w:p>
        </w:tc>
        <w:tc>
          <w:tcPr>
            <w:tcW w:w="850" w:type="dxa"/>
            <w:tcBorders>
              <w:top w:val="nil"/>
              <w:left w:val="nil"/>
              <w:bottom w:val="single" w:sz="8" w:space="0" w:color="auto"/>
              <w:right w:val="single" w:sz="8" w:space="0" w:color="auto"/>
            </w:tcBorders>
            <w:shd w:val="clear" w:color="000000" w:fill="FFFFFF"/>
            <w:noWrap/>
            <w:vAlign w:val="center"/>
            <w:hideMark/>
          </w:tcPr>
          <w:p w14:paraId="616CA3E7"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373 478</w:t>
            </w:r>
          </w:p>
        </w:tc>
        <w:tc>
          <w:tcPr>
            <w:tcW w:w="851" w:type="dxa"/>
            <w:tcBorders>
              <w:top w:val="nil"/>
              <w:left w:val="nil"/>
              <w:bottom w:val="single" w:sz="8" w:space="0" w:color="auto"/>
              <w:right w:val="single" w:sz="8" w:space="0" w:color="auto"/>
            </w:tcBorders>
            <w:shd w:val="clear" w:color="000000" w:fill="FFFFFF"/>
            <w:noWrap/>
            <w:vAlign w:val="center"/>
            <w:hideMark/>
          </w:tcPr>
          <w:p w14:paraId="1FD8B248"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937 956</w:t>
            </w:r>
          </w:p>
        </w:tc>
        <w:tc>
          <w:tcPr>
            <w:tcW w:w="850" w:type="dxa"/>
            <w:tcBorders>
              <w:top w:val="nil"/>
              <w:left w:val="nil"/>
              <w:bottom w:val="single" w:sz="8" w:space="0" w:color="auto"/>
              <w:right w:val="single" w:sz="8" w:space="0" w:color="auto"/>
            </w:tcBorders>
            <w:shd w:val="clear" w:color="000000" w:fill="FFFFFF"/>
            <w:noWrap/>
            <w:vAlign w:val="center"/>
            <w:hideMark/>
          </w:tcPr>
          <w:p w14:paraId="573C3412"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1 738 448</w:t>
            </w:r>
          </w:p>
        </w:tc>
        <w:tc>
          <w:tcPr>
            <w:tcW w:w="851" w:type="dxa"/>
            <w:tcBorders>
              <w:top w:val="nil"/>
              <w:left w:val="nil"/>
              <w:bottom w:val="single" w:sz="8" w:space="0" w:color="auto"/>
              <w:right w:val="single" w:sz="8" w:space="0" w:color="auto"/>
            </w:tcBorders>
            <w:shd w:val="clear" w:color="000000" w:fill="FFFFFF"/>
            <w:noWrap/>
            <w:vAlign w:val="center"/>
            <w:hideMark/>
          </w:tcPr>
          <w:p w14:paraId="3BA66E0E"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3 615 799</w:t>
            </w:r>
          </w:p>
        </w:tc>
        <w:tc>
          <w:tcPr>
            <w:tcW w:w="850" w:type="dxa"/>
            <w:tcBorders>
              <w:top w:val="nil"/>
              <w:left w:val="nil"/>
              <w:bottom w:val="single" w:sz="8" w:space="0" w:color="auto"/>
              <w:right w:val="single" w:sz="8" w:space="0" w:color="auto"/>
            </w:tcBorders>
            <w:shd w:val="clear" w:color="000000" w:fill="FFFFFF"/>
            <w:noWrap/>
            <w:vAlign w:val="center"/>
            <w:hideMark/>
          </w:tcPr>
          <w:p w14:paraId="7AD8EEEA"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7 034 380</w:t>
            </w:r>
          </w:p>
        </w:tc>
        <w:tc>
          <w:tcPr>
            <w:tcW w:w="992" w:type="dxa"/>
            <w:tcBorders>
              <w:top w:val="nil"/>
              <w:left w:val="nil"/>
              <w:bottom w:val="single" w:sz="8" w:space="0" w:color="auto"/>
              <w:right w:val="single" w:sz="8" w:space="0" w:color="auto"/>
            </w:tcBorders>
            <w:shd w:val="clear" w:color="000000" w:fill="FFFFFF"/>
            <w:noWrap/>
            <w:vAlign w:val="center"/>
            <w:hideMark/>
          </w:tcPr>
          <w:p w14:paraId="6F52936C"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13 350 109</w:t>
            </w:r>
          </w:p>
        </w:tc>
        <w:tc>
          <w:tcPr>
            <w:tcW w:w="851" w:type="dxa"/>
            <w:tcBorders>
              <w:top w:val="nil"/>
              <w:left w:val="nil"/>
              <w:bottom w:val="single" w:sz="8" w:space="0" w:color="auto"/>
              <w:right w:val="single" w:sz="8" w:space="0" w:color="auto"/>
            </w:tcBorders>
            <w:shd w:val="clear" w:color="000000" w:fill="FFFFFF"/>
            <w:noWrap/>
            <w:vAlign w:val="center"/>
            <w:hideMark/>
          </w:tcPr>
          <w:p w14:paraId="4DEE7F5C"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20 914 899</w:t>
            </w:r>
          </w:p>
        </w:tc>
        <w:tc>
          <w:tcPr>
            <w:tcW w:w="850" w:type="dxa"/>
            <w:tcBorders>
              <w:top w:val="nil"/>
              <w:left w:val="nil"/>
              <w:bottom w:val="single" w:sz="8" w:space="0" w:color="auto"/>
              <w:right w:val="nil"/>
            </w:tcBorders>
            <w:shd w:val="clear" w:color="000000" w:fill="FFFFFF"/>
            <w:vAlign w:val="center"/>
          </w:tcPr>
          <w:p w14:paraId="5198C044" w14:textId="77777777" w:rsidR="00A93E43" w:rsidRPr="00A93E43" w:rsidRDefault="00A93E43" w:rsidP="00A93E43">
            <w:pPr>
              <w:spacing w:after="0" w:line="240" w:lineRule="auto"/>
              <w:jc w:val="center"/>
              <w:rPr>
                <w:rFonts w:ascii="Times New Roman" w:eastAsia="Times New Roman" w:hAnsi="Times New Roman" w:cs="Times New Roman"/>
                <w:b/>
                <w:bCs/>
                <w:sz w:val="14"/>
                <w:szCs w:val="14"/>
                <w:lang w:val="en-US"/>
              </w:rPr>
            </w:pPr>
            <w:r w:rsidRPr="00A93E43">
              <w:rPr>
                <w:rFonts w:ascii="Times New Roman" w:eastAsia="Times New Roman" w:hAnsi="Times New Roman" w:cs="Times New Roman"/>
                <w:b/>
                <w:bCs/>
                <w:sz w:val="14"/>
                <w:szCs w:val="14"/>
                <w:lang w:val="en-US"/>
              </w:rPr>
              <w:t>43 766 172</w:t>
            </w:r>
          </w:p>
        </w:tc>
        <w:tc>
          <w:tcPr>
            <w:tcW w:w="850" w:type="dxa"/>
            <w:tcBorders>
              <w:top w:val="nil"/>
              <w:left w:val="nil"/>
              <w:bottom w:val="single" w:sz="8" w:space="0" w:color="auto"/>
              <w:right w:val="single" w:sz="8" w:space="0" w:color="auto"/>
            </w:tcBorders>
            <w:shd w:val="clear" w:color="000000" w:fill="FFFFFF"/>
            <w:vAlign w:val="center"/>
          </w:tcPr>
          <w:p w14:paraId="6C14D45B" w14:textId="77777777" w:rsidR="00A93E43" w:rsidRPr="00A93E43" w:rsidRDefault="00A93E43" w:rsidP="00A93E43">
            <w:pPr>
              <w:spacing w:after="0" w:line="240" w:lineRule="auto"/>
              <w:jc w:val="center"/>
              <w:rPr>
                <w:rFonts w:ascii="Times New Roman" w:eastAsia="Times New Roman" w:hAnsi="Times New Roman" w:cs="Times New Roman"/>
                <w:b/>
                <w:bCs/>
                <w:sz w:val="14"/>
                <w:szCs w:val="14"/>
                <w:lang w:val="en-US"/>
              </w:rPr>
            </w:pPr>
            <w:r w:rsidRPr="00A93E43">
              <w:rPr>
                <w:rFonts w:ascii="Times New Roman" w:eastAsia="Times New Roman" w:hAnsi="Times New Roman" w:cs="Times New Roman"/>
                <w:b/>
                <w:bCs/>
                <w:sz w:val="14"/>
                <w:szCs w:val="14"/>
                <w:lang w:val="en-US"/>
              </w:rPr>
              <w:t xml:space="preserve">39 367 617   </w:t>
            </w:r>
          </w:p>
        </w:tc>
      </w:tr>
      <w:tr w:rsidR="00A93E43" w:rsidRPr="00A93E43" w14:paraId="2BED64AC" w14:textId="77777777" w:rsidTr="00257FB8">
        <w:trPr>
          <w:trHeight w:val="439"/>
        </w:trPr>
        <w:tc>
          <w:tcPr>
            <w:tcW w:w="1179" w:type="dxa"/>
            <w:tcBorders>
              <w:top w:val="nil"/>
              <w:left w:val="single" w:sz="8" w:space="0" w:color="auto"/>
              <w:bottom w:val="nil"/>
              <w:right w:val="single" w:sz="8" w:space="0" w:color="auto"/>
            </w:tcBorders>
            <w:shd w:val="clear" w:color="auto" w:fill="auto"/>
            <w:vAlign w:val="center"/>
            <w:hideMark/>
          </w:tcPr>
          <w:p w14:paraId="4E6D62C3"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Уставный капитал</w:t>
            </w:r>
          </w:p>
        </w:tc>
        <w:tc>
          <w:tcPr>
            <w:tcW w:w="807" w:type="dxa"/>
            <w:tcBorders>
              <w:top w:val="nil"/>
              <w:left w:val="nil"/>
              <w:bottom w:val="nil"/>
              <w:right w:val="single" w:sz="8" w:space="0" w:color="auto"/>
            </w:tcBorders>
            <w:shd w:val="clear" w:color="000000" w:fill="FFFFFF"/>
            <w:noWrap/>
            <w:vAlign w:val="center"/>
            <w:hideMark/>
          </w:tcPr>
          <w:p w14:paraId="5572B2D2"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700 000</w:t>
            </w:r>
          </w:p>
        </w:tc>
        <w:tc>
          <w:tcPr>
            <w:tcW w:w="850" w:type="dxa"/>
            <w:tcBorders>
              <w:top w:val="nil"/>
              <w:left w:val="nil"/>
              <w:bottom w:val="nil"/>
              <w:right w:val="single" w:sz="8" w:space="0" w:color="auto"/>
            </w:tcBorders>
            <w:shd w:val="clear" w:color="000000" w:fill="FFFFFF"/>
            <w:noWrap/>
            <w:vAlign w:val="center"/>
            <w:hideMark/>
          </w:tcPr>
          <w:p w14:paraId="2C431648"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1 735 000</w:t>
            </w:r>
          </w:p>
        </w:tc>
        <w:tc>
          <w:tcPr>
            <w:tcW w:w="851" w:type="dxa"/>
            <w:tcBorders>
              <w:top w:val="nil"/>
              <w:left w:val="nil"/>
              <w:bottom w:val="nil"/>
              <w:right w:val="single" w:sz="8" w:space="0" w:color="auto"/>
            </w:tcBorders>
            <w:shd w:val="clear" w:color="000000" w:fill="FFFFFF"/>
            <w:noWrap/>
            <w:vAlign w:val="center"/>
            <w:hideMark/>
          </w:tcPr>
          <w:p w14:paraId="24BA8287"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1 735 000</w:t>
            </w:r>
          </w:p>
        </w:tc>
        <w:tc>
          <w:tcPr>
            <w:tcW w:w="850" w:type="dxa"/>
            <w:tcBorders>
              <w:top w:val="nil"/>
              <w:left w:val="nil"/>
              <w:bottom w:val="nil"/>
              <w:right w:val="single" w:sz="8" w:space="0" w:color="auto"/>
            </w:tcBorders>
            <w:shd w:val="clear" w:color="000000" w:fill="FFFFFF"/>
            <w:noWrap/>
            <w:vAlign w:val="center"/>
            <w:hideMark/>
          </w:tcPr>
          <w:p w14:paraId="222E3BA1"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4 435 000</w:t>
            </w:r>
          </w:p>
        </w:tc>
        <w:tc>
          <w:tcPr>
            <w:tcW w:w="851" w:type="dxa"/>
            <w:tcBorders>
              <w:top w:val="nil"/>
              <w:left w:val="nil"/>
              <w:bottom w:val="nil"/>
              <w:right w:val="single" w:sz="8" w:space="0" w:color="auto"/>
            </w:tcBorders>
            <w:shd w:val="clear" w:color="000000" w:fill="FFFFFF"/>
            <w:noWrap/>
            <w:vAlign w:val="center"/>
            <w:hideMark/>
          </w:tcPr>
          <w:p w14:paraId="62B24702"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6 170 000</w:t>
            </w:r>
          </w:p>
        </w:tc>
        <w:tc>
          <w:tcPr>
            <w:tcW w:w="850" w:type="dxa"/>
            <w:tcBorders>
              <w:top w:val="nil"/>
              <w:left w:val="nil"/>
              <w:bottom w:val="nil"/>
              <w:right w:val="single" w:sz="8" w:space="0" w:color="auto"/>
            </w:tcBorders>
            <w:shd w:val="clear" w:color="000000" w:fill="FFFFFF"/>
            <w:noWrap/>
            <w:vAlign w:val="center"/>
            <w:hideMark/>
          </w:tcPr>
          <w:p w14:paraId="6C5B086B"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6 170 000</w:t>
            </w:r>
          </w:p>
        </w:tc>
        <w:tc>
          <w:tcPr>
            <w:tcW w:w="992" w:type="dxa"/>
            <w:tcBorders>
              <w:top w:val="nil"/>
              <w:left w:val="nil"/>
              <w:bottom w:val="nil"/>
              <w:right w:val="single" w:sz="8" w:space="0" w:color="auto"/>
            </w:tcBorders>
            <w:shd w:val="clear" w:color="000000" w:fill="FFFFFF"/>
            <w:noWrap/>
            <w:vAlign w:val="center"/>
            <w:hideMark/>
          </w:tcPr>
          <w:p w14:paraId="7B5ED1E6"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15 170 000</w:t>
            </w:r>
          </w:p>
        </w:tc>
        <w:tc>
          <w:tcPr>
            <w:tcW w:w="851" w:type="dxa"/>
            <w:tcBorders>
              <w:top w:val="nil"/>
              <w:left w:val="nil"/>
              <w:bottom w:val="nil"/>
              <w:right w:val="single" w:sz="8" w:space="0" w:color="auto"/>
            </w:tcBorders>
            <w:shd w:val="clear" w:color="000000" w:fill="FFFFFF"/>
            <w:noWrap/>
            <w:vAlign w:val="center"/>
            <w:hideMark/>
          </w:tcPr>
          <w:p w14:paraId="7FA76D72"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16 670 000</w:t>
            </w:r>
          </w:p>
        </w:tc>
        <w:tc>
          <w:tcPr>
            <w:tcW w:w="850" w:type="dxa"/>
            <w:tcBorders>
              <w:top w:val="nil"/>
              <w:left w:val="nil"/>
              <w:bottom w:val="nil"/>
              <w:right w:val="nil"/>
            </w:tcBorders>
            <w:shd w:val="clear" w:color="000000" w:fill="FFFFFF"/>
            <w:vAlign w:val="center"/>
          </w:tcPr>
          <w:p w14:paraId="551EA938"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16 670 000</w:t>
            </w:r>
          </w:p>
        </w:tc>
        <w:tc>
          <w:tcPr>
            <w:tcW w:w="850" w:type="dxa"/>
            <w:tcBorders>
              <w:top w:val="nil"/>
              <w:left w:val="nil"/>
              <w:bottom w:val="nil"/>
              <w:right w:val="single" w:sz="8" w:space="0" w:color="auto"/>
            </w:tcBorders>
            <w:shd w:val="clear" w:color="000000" w:fill="FFFFFF"/>
            <w:vAlign w:val="center"/>
          </w:tcPr>
          <w:p w14:paraId="144EBE76"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4"/>
                <w:szCs w:val="14"/>
                <w:lang w:val="en-US"/>
              </w:rPr>
            </w:pPr>
            <w:r w:rsidRPr="00A93E43">
              <w:rPr>
                <w:rFonts w:ascii="Times New Roman" w:eastAsia="Times New Roman" w:hAnsi="Times New Roman" w:cs="Times New Roman"/>
                <w:b/>
                <w:bCs/>
                <w:color w:val="000000"/>
                <w:sz w:val="14"/>
                <w:szCs w:val="14"/>
                <w:lang w:val="en-US"/>
              </w:rPr>
              <w:t>16 670 00</w:t>
            </w:r>
          </w:p>
        </w:tc>
      </w:tr>
      <w:tr w:rsidR="00A93E43" w:rsidRPr="00A93E43" w14:paraId="46852FF2" w14:textId="77777777" w:rsidTr="00257FB8">
        <w:trPr>
          <w:trHeight w:val="439"/>
        </w:trPr>
        <w:tc>
          <w:tcPr>
            <w:tcW w:w="1179" w:type="dxa"/>
            <w:tcBorders>
              <w:top w:val="single" w:sz="8" w:space="0" w:color="auto"/>
              <w:left w:val="single" w:sz="8" w:space="0" w:color="auto"/>
              <w:bottom w:val="nil"/>
              <w:right w:val="single" w:sz="4" w:space="0" w:color="auto"/>
            </w:tcBorders>
            <w:shd w:val="clear" w:color="auto" w:fill="auto"/>
            <w:vAlign w:val="center"/>
            <w:hideMark/>
          </w:tcPr>
          <w:p w14:paraId="4D3BEFFA"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lastRenderedPageBreak/>
              <w:t>Резервный фонд</w:t>
            </w:r>
          </w:p>
        </w:tc>
        <w:tc>
          <w:tcPr>
            <w:tcW w:w="807" w:type="dxa"/>
            <w:tcBorders>
              <w:top w:val="single" w:sz="8" w:space="0" w:color="auto"/>
              <w:left w:val="nil"/>
              <w:bottom w:val="nil"/>
              <w:right w:val="single" w:sz="4" w:space="0" w:color="auto"/>
            </w:tcBorders>
            <w:shd w:val="clear" w:color="auto" w:fill="auto"/>
            <w:noWrap/>
            <w:vAlign w:val="bottom"/>
            <w:hideMark/>
          </w:tcPr>
          <w:p w14:paraId="0F722D54"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1 262</w:t>
            </w:r>
          </w:p>
        </w:tc>
        <w:tc>
          <w:tcPr>
            <w:tcW w:w="850" w:type="dxa"/>
            <w:tcBorders>
              <w:top w:val="single" w:sz="8" w:space="0" w:color="auto"/>
              <w:left w:val="nil"/>
              <w:bottom w:val="nil"/>
              <w:right w:val="single" w:sz="4" w:space="0" w:color="auto"/>
            </w:tcBorders>
            <w:shd w:val="clear" w:color="auto" w:fill="auto"/>
            <w:noWrap/>
            <w:vAlign w:val="bottom"/>
            <w:hideMark/>
          </w:tcPr>
          <w:p w14:paraId="2A41AB63"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24 704</w:t>
            </w:r>
          </w:p>
        </w:tc>
        <w:tc>
          <w:tcPr>
            <w:tcW w:w="851" w:type="dxa"/>
            <w:tcBorders>
              <w:top w:val="single" w:sz="8" w:space="0" w:color="auto"/>
              <w:left w:val="nil"/>
              <w:bottom w:val="nil"/>
              <w:right w:val="single" w:sz="4" w:space="0" w:color="auto"/>
            </w:tcBorders>
            <w:shd w:val="clear" w:color="auto" w:fill="auto"/>
            <w:noWrap/>
            <w:vAlign w:val="bottom"/>
            <w:hideMark/>
          </w:tcPr>
          <w:p w14:paraId="3458AD76"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86 750</w:t>
            </w:r>
          </w:p>
        </w:tc>
        <w:tc>
          <w:tcPr>
            <w:tcW w:w="850" w:type="dxa"/>
            <w:tcBorders>
              <w:top w:val="single" w:sz="8" w:space="0" w:color="auto"/>
              <w:left w:val="nil"/>
              <w:bottom w:val="nil"/>
              <w:right w:val="single" w:sz="4" w:space="0" w:color="auto"/>
            </w:tcBorders>
            <w:shd w:val="clear" w:color="auto" w:fill="auto"/>
            <w:noWrap/>
            <w:vAlign w:val="bottom"/>
            <w:hideMark/>
          </w:tcPr>
          <w:p w14:paraId="4903600F"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221 750</w:t>
            </w:r>
          </w:p>
        </w:tc>
        <w:tc>
          <w:tcPr>
            <w:tcW w:w="851" w:type="dxa"/>
            <w:tcBorders>
              <w:top w:val="single" w:sz="8" w:space="0" w:color="auto"/>
              <w:left w:val="nil"/>
              <w:bottom w:val="nil"/>
              <w:right w:val="single" w:sz="4" w:space="0" w:color="auto"/>
            </w:tcBorders>
            <w:shd w:val="clear" w:color="auto" w:fill="auto"/>
            <w:noWrap/>
            <w:vAlign w:val="bottom"/>
            <w:hideMark/>
          </w:tcPr>
          <w:p w14:paraId="2188F146"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308 500</w:t>
            </w:r>
          </w:p>
        </w:tc>
        <w:tc>
          <w:tcPr>
            <w:tcW w:w="850" w:type="dxa"/>
            <w:tcBorders>
              <w:top w:val="single" w:sz="8" w:space="0" w:color="auto"/>
              <w:left w:val="nil"/>
              <w:bottom w:val="nil"/>
              <w:right w:val="single" w:sz="4" w:space="0" w:color="auto"/>
            </w:tcBorders>
            <w:shd w:val="clear" w:color="auto" w:fill="auto"/>
            <w:noWrap/>
            <w:vAlign w:val="bottom"/>
            <w:hideMark/>
          </w:tcPr>
          <w:p w14:paraId="1D9CCB65"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308 500</w:t>
            </w:r>
          </w:p>
        </w:tc>
        <w:tc>
          <w:tcPr>
            <w:tcW w:w="992" w:type="dxa"/>
            <w:tcBorders>
              <w:top w:val="single" w:sz="8" w:space="0" w:color="auto"/>
              <w:left w:val="nil"/>
              <w:bottom w:val="nil"/>
              <w:right w:val="single" w:sz="4" w:space="0" w:color="auto"/>
            </w:tcBorders>
            <w:shd w:val="clear" w:color="auto" w:fill="auto"/>
            <w:noWrap/>
            <w:vAlign w:val="bottom"/>
            <w:hideMark/>
          </w:tcPr>
          <w:p w14:paraId="2333A7AD"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966 775</w:t>
            </w:r>
          </w:p>
        </w:tc>
        <w:tc>
          <w:tcPr>
            <w:tcW w:w="851" w:type="dxa"/>
            <w:tcBorders>
              <w:top w:val="single" w:sz="8" w:space="0" w:color="auto"/>
              <w:left w:val="nil"/>
              <w:bottom w:val="nil"/>
              <w:right w:val="single" w:sz="4" w:space="0" w:color="auto"/>
            </w:tcBorders>
            <w:shd w:val="clear" w:color="auto" w:fill="auto"/>
            <w:noWrap/>
            <w:vAlign w:val="bottom"/>
            <w:hideMark/>
          </w:tcPr>
          <w:p w14:paraId="0FB4645A"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966 775</w:t>
            </w:r>
          </w:p>
        </w:tc>
        <w:tc>
          <w:tcPr>
            <w:tcW w:w="850" w:type="dxa"/>
            <w:tcBorders>
              <w:top w:val="single" w:sz="8" w:space="0" w:color="auto"/>
              <w:left w:val="nil"/>
              <w:bottom w:val="nil"/>
              <w:right w:val="nil"/>
            </w:tcBorders>
            <w:vAlign w:val="bottom"/>
          </w:tcPr>
          <w:p w14:paraId="167A95A2"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966 775</w:t>
            </w:r>
          </w:p>
        </w:tc>
        <w:tc>
          <w:tcPr>
            <w:tcW w:w="850" w:type="dxa"/>
            <w:tcBorders>
              <w:top w:val="single" w:sz="8" w:space="0" w:color="auto"/>
              <w:left w:val="nil"/>
              <w:bottom w:val="nil"/>
              <w:right w:val="single" w:sz="8" w:space="0" w:color="auto"/>
            </w:tcBorders>
            <w:shd w:val="clear" w:color="auto" w:fill="auto"/>
            <w:noWrap/>
            <w:vAlign w:val="bottom"/>
          </w:tcPr>
          <w:p w14:paraId="77CB1F85"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966 775</w:t>
            </w:r>
          </w:p>
        </w:tc>
      </w:tr>
      <w:tr w:rsidR="00A93E43" w:rsidRPr="00A93E43" w14:paraId="0971AF57" w14:textId="77777777" w:rsidTr="00257FB8">
        <w:trPr>
          <w:trHeight w:val="242"/>
        </w:trPr>
        <w:tc>
          <w:tcPr>
            <w:tcW w:w="9781" w:type="dxa"/>
            <w:gridSpan w:val="11"/>
            <w:tcBorders>
              <w:top w:val="single" w:sz="8" w:space="0" w:color="auto"/>
              <w:left w:val="single" w:sz="8" w:space="0" w:color="auto"/>
              <w:bottom w:val="single" w:sz="8" w:space="0" w:color="auto"/>
              <w:right w:val="single" w:sz="8" w:space="0" w:color="000000"/>
            </w:tcBorders>
          </w:tcPr>
          <w:p w14:paraId="7E8D2FDA" w14:textId="77777777" w:rsidR="00A93E43" w:rsidRPr="00A93E43" w:rsidRDefault="00A93E43" w:rsidP="00A93E43">
            <w:pPr>
              <w:spacing w:after="0" w:line="240" w:lineRule="auto"/>
              <w:rPr>
                <w:rFonts w:ascii="Times New Roman" w:eastAsia="Times New Roman" w:hAnsi="Times New Roman" w:cs="Times New Roman"/>
                <w:b/>
                <w:bCs/>
                <w:color w:val="000000"/>
                <w:sz w:val="16"/>
                <w:szCs w:val="16"/>
              </w:rPr>
            </w:pPr>
            <w:r w:rsidRPr="00A93E43">
              <w:rPr>
                <w:rFonts w:ascii="Times New Roman" w:eastAsia="Times New Roman" w:hAnsi="Times New Roman" w:cs="Times New Roman"/>
                <w:b/>
                <w:bCs/>
                <w:color w:val="000000"/>
                <w:sz w:val="16"/>
                <w:szCs w:val="16"/>
              </w:rPr>
              <w:t>Источники, уменьшающие собственные средства (капитал), в том числе:</w:t>
            </w:r>
          </w:p>
        </w:tc>
      </w:tr>
      <w:tr w:rsidR="00A93E43" w:rsidRPr="00A93E43" w14:paraId="1FA7233B" w14:textId="77777777" w:rsidTr="00257FB8">
        <w:trPr>
          <w:trHeight w:val="424"/>
        </w:trPr>
        <w:tc>
          <w:tcPr>
            <w:tcW w:w="1179" w:type="dxa"/>
            <w:tcBorders>
              <w:top w:val="nil"/>
              <w:left w:val="single" w:sz="8" w:space="0" w:color="auto"/>
              <w:bottom w:val="single" w:sz="4" w:space="0" w:color="auto"/>
              <w:right w:val="single" w:sz="4" w:space="0" w:color="auto"/>
            </w:tcBorders>
            <w:shd w:val="clear" w:color="auto" w:fill="auto"/>
            <w:vAlign w:val="center"/>
            <w:hideMark/>
          </w:tcPr>
          <w:p w14:paraId="69605ADE"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lang w:val="en-US"/>
              </w:rPr>
            </w:pPr>
            <w:r w:rsidRPr="00A93E43">
              <w:rPr>
                <w:rFonts w:ascii="Times New Roman" w:eastAsia="Times New Roman" w:hAnsi="Times New Roman" w:cs="Times New Roman"/>
                <w:b/>
                <w:bCs/>
                <w:color w:val="000000"/>
                <w:sz w:val="16"/>
                <w:szCs w:val="16"/>
              </w:rPr>
              <w:t>Выделенный капитал</w:t>
            </w:r>
          </w:p>
        </w:tc>
        <w:tc>
          <w:tcPr>
            <w:tcW w:w="807" w:type="dxa"/>
            <w:tcBorders>
              <w:top w:val="nil"/>
              <w:left w:val="nil"/>
              <w:bottom w:val="single" w:sz="4" w:space="0" w:color="auto"/>
              <w:right w:val="single" w:sz="4" w:space="0" w:color="auto"/>
            </w:tcBorders>
            <w:shd w:val="clear" w:color="auto" w:fill="auto"/>
            <w:noWrap/>
            <w:vAlign w:val="bottom"/>
            <w:hideMark/>
          </w:tcPr>
          <w:p w14:paraId="308AF4AE"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DD97E9E"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BDB5135"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7C747FB"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321270D"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9E3E069"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4624E8F2"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1096CB9"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4" w:space="0" w:color="auto"/>
              <w:right w:val="nil"/>
            </w:tcBorders>
            <w:vAlign w:val="bottom"/>
          </w:tcPr>
          <w:p w14:paraId="319CC2C2"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6 500 000</w:t>
            </w:r>
          </w:p>
        </w:tc>
        <w:tc>
          <w:tcPr>
            <w:tcW w:w="850" w:type="dxa"/>
            <w:tcBorders>
              <w:top w:val="nil"/>
              <w:left w:val="nil"/>
              <w:bottom w:val="single" w:sz="4" w:space="0" w:color="auto"/>
              <w:right w:val="single" w:sz="8" w:space="0" w:color="auto"/>
            </w:tcBorders>
            <w:shd w:val="clear" w:color="auto" w:fill="auto"/>
            <w:noWrap/>
            <w:vAlign w:val="bottom"/>
          </w:tcPr>
          <w:p w14:paraId="65E8663D"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rPr>
              <w:t>9 500 000</w:t>
            </w:r>
          </w:p>
        </w:tc>
      </w:tr>
      <w:tr w:rsidR="00A93E43" w:rsidRPr="00A93E43" w14:paraId="0A34A8B4" w14:textId="77777777" w:rsidTr="00257FB8">
        <w:trPr>
          <w:trHeight w:val="800"/>
        </w:trPr>
        <w:tc>
          <w:tcPr>
            <w:tcW w:w="1179" w:type="dxa"/>
            <w:tcBorders>
              <w:top w:val="nil"/>
              <w:left w:val="single" w:sz="8" w:space="0" w:color="auto"/>
              <w:bottom w:val="single" w:sz="8" w:space="0" w:color="auto"/>
              <w:right w:val="single" w:sz="4" w:space="0" w:color="auto"/>
            </w:tcBorders>
            <w:shd w:val="clear" w:color="auto" w:fill="auto"/>
            <w:vAlign w:val="center"/>
            <w:hideMark/>
          </w:tcPr>
          <w:p w14:paraId="69FF4594" w14:textId="77777777" w:rsidR="00A93E43" w:rsidRPr="00A93E43" w:rsidRDefault="00A93E43" w:rsidP="00A93E43">
            <w:pPr>
              <w:spacing w:after="0" w:line="240" w:lineRule="auto"/>
              <w:jc w:val="center"/>
              <w:rPr>
                <w:rFonts w:ascii="Times New Roman" w:eastAsia="Times New Roman" w:hAnsi="Times New Roman" w:cs="Times New Roman"/>
                <w:b/>
                <w:bCs/>
                <w:color w:val="000000"/>
                <w:sz w:val="16"/>
                <w:szCs w:val="16"/>
              </w:rPr>
            </w:pPr>
            <w:r w:rsidRPr="00A93E43">
              <w:rPr>
                <w:rFonts w:ascii="Times New Roman" w:eastAsia="Times New Roman" w:hAnsi="Times New Roman" w:cs="Times New Roman"/>
                <w:b/>
                <w:bCs/>
                <w:color w:val="000000"/>
                <w:sz w:val="16"/>
                <w:szCs w:val="16"/>
              </w:rPr>
              <w:t>Капитал ЦК на покрытие возможных потерь</w:t>
            </w:r>
          </w:p>
        </w:tc>
        <w:tc>
          <w:tcPr>
            <w:tcW w:w="807" w:type="dxa"/>
            <w:tcBorders>
              <w:top w:val="nil"/>
              <w:left w:val="nil"/>
              <w:bottom w:val="single" w:sz="8" w:space="0" w:color="auto"/>
              <w:right w:val="single" w:sz="4" w:space="0" w:color="auto"/>
            </w:tcBorders>
            <w:shd w:val="clear" w:color="auto" w:fill="auto"/>
            <w:noWrap/>
            <w:vAlign w:val="bottom"/>
            <w:hideMark/>
          </w:tcPr>
          <w:p w14:paraId="011D32FC"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8" w:space="0" w:color="auto"/>
              <w:right w:val="single" w:sz="4" w:space="0" w:color="auto"/>
            </w:tcBorders>
            <w:shd w:val="clear" w:color="auto" w:fill="auto"/>
            <w:noWrap/>
            <w:vAlign w:val="bottom"/>
            <w:hideMark/>
          </w:tcPr>
          <w:p w14:paraId="58399675"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8" w:space="0" w:color="auto"/>
              <w:right w:val="single" w:sz="4" w:space="0" w:color="auto"/>
            </w:tcBorders>
            <w:shd w:val="clear" w:color="auto" w:fill="auto"/>
            <w:noWrap/>
            <w:vAlign w:val="bottom"/>
            <w:hideMark/>
          </w:tcPr>
          <w:p w14:paraId="344DE717"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8" w:space="0" w:color="auto"/>
              <w:right w:val="single" w:sz="4" w:space="0" w:color="auto"/>
            </w:tcBorders>
            <w:shd w:val="clear" w:color="auto" w:fill="auto"/>
            <w:noWrap/>
            <w:vAlign w:val="bottom"/>
            <w:hideMark/>
          </w:tcPr>
          <w:p w14:paraId="2BA72178"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8" w:space="0" w:color="auto"/>
              <w:right w:val="single" w:sz="4" w:space="0" w:color="auto"/>
            </w:tcBorders>
            <w:shd w:val="clear" w:color="auto" w:fill="auto"/>
            <w:noWrap/>
            <w:vAlign w:val="bottom"/>
            <w:hideMark/>
          </w:tcPr>
          <w:p w14:paraId="45BBB057"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8" w:space="0" w:color="auto"/>
              <w:right w:val="single" w:sz="4" w:space="0" w:color="auto"/>
            </w:tcBorders>
            <w:shd w:val="clear" w:color="auto" w:fill="auto"/>
            <w:noWrap/>
            <w:vAlign w:val="bottom"/>
            <w:hideMark/>
          </w:tcPr>
          <w:p w14:paraId="4C68D8D7"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992" w:type="dxa"/>
            <w:tcBorders>
              <w:top w:val="nil"/>
              <w:left w:val="nil"/>
              <w:bottom w:val="single" w:sz="8" w:space="0" w:color="auto"/>
              <w:right w:val="single" w:sz="4" w:space="0" w:color="auto"/>
            </w:tcBorders>
            <w:shd w:val="clear" w:color="auto" w:fill="auto"/>
            <w:noWrap/>
            <w:vAlign w:val="bottom"/>
            <w:hideMark/>
          </w:tcPr>
          <w:p w14:paraId="6D5384C6"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1" w:type="dxa"/>
            <w:tcBorders>
              <w:top w:val="nil"/>
              <w:left w:val="nil"/>
              <w:bottom w:val="single" w:sz="8" w:space="0" w:color="auto"/>
              <w:right w:val="single" w:sz="4" w:space="0" w:color="auto"/>
            </w:tcBorders>
            <w:shd w:val="clear" w:color="auto" w:fill="auto"/>
            <w:noWrap/>
            <w:vAlign w:val="bottom"/>
            <w:hideMark/>
          </w:tcPr>
          <w:p w14:paraId="38198383"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0</w:t>
            </w:r>
          </w:p>
        </w:tc>
        <w:tc>
          <w:tcPr>
            <w:tcW w:w="850" w:type="dxa"/>
            <w:tcBorders>
              <w:top w:val="nil"/>
              <w:left w:val="nil"/>
              <w:bottom w:val="single" w:sz="8" w:space="0" w:color="auto"/>
              <w:right w:val="nil"/>
            </w:tcBorders>
            <w:vAlign w:val="bottom"/>
          </w:tcPr>
          <w:p w14:paraId="45D6FB80"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766 498</w:t>
            </w:r>
          </w:p>
        </w:tc>
        <w:tc>
          <w:tcPr>
            <w:tcW w:w="850" w:type="dxa"/>
            <w:tcBorders>
              <w:top w:val="nil"/>
              <w:left w:val="nil"/>
              <w:bottom w:val="single" w:sz="8" w:space="0" w:color="auto"/>
              <w:right w:val="single" w:sz="8" w:space="0" w:color="auto"/>
            </w:tcBorders>
            <w:shd w:val="clear" w:color="auto" w:fill="auto"/>
            <w:noWrap/>
            <w:vAlign w:val="bottom"/>
          </w:tcPr>
          <w:p w14:paraId="637B3F34" w14:textId="77777777" w:rsidR="00A93E43" w:rsidRPr="00A93E43" w:rsidRDefault="00A93E43" w:rsidP="00A93E43">
            <w:pPr>
              <w:spacing w:after="0" w:line="240" w:lineRule="auto"/>
              <w:jc w:val="right"/>
              <w:rPr>
                <w:rFonts w:ascii="Times New Roman" w:eastAsia="Times New Roman" w:hAnsi="Times New Roman" w:cs="Times New Roman"/>
                <w:b/>
                <w:color w:val="000000"/>
                <w:sz w:val="14"/>
                <w:szCs w:val="14"/>
                <w:lang w:val="en-US"/>
              </w:rPr>
            </w:pPr>
            <w:r w:rsidRPr="00A93E43">
              <w:rPr>
                <w:rFonts w:ascii="Times New Roman" w:eastAsia="Times New Roman" w:hAnsi="Times New Roman" w:cs="Times New Roman"/>
                <w:b/>
                <w:color w:val="000000"/>
                <w:sz w:val="14"/>
                <w:szCs w:val="14"/>
                <w:lang w:val="en-US"/>
              </w:rPr>
              <w:t xml:space="preserve">889 965   </w:t>
            </w:r>
          </w:p>
        </w:tc>
      </w:tr>
    </w:tbl>
    <w:p w14:paraId="2138A9B4" w14:textId="77777777" w:rsidR="00A93E43" w:rsidRPr="00A93E43" w:rsidRDefault="00A93E43" w:rsidP="00A93E43">
      <w:pPr>
        <w:tabs>
          <w:tab w:val="left" w:pos="360"/>
          <w:tab w:val="num" w:pos="1920"/>
        </w:tabs>
        <w:spacing w:after="0" w:line="240" w:lineRule="auto"/>
        <w:jc w:val="both"/>
        <w:rPr>
          <w:rFonts w:ascii="Times New Roman" w:eastAsia="Times New Roman" w:hAnsi="Times New Roman" w:cs="Times New Roman"/>
          <w:sz w:val="24"/>
          <w:szCs w:val="24"/>
          <w:lang w:eastAsia="ru-RU"/>
        </w:rPr>
      </w:pPr>
    </w:p>
    <w:p w14:paraId="15D32D98" w14:textId="77777777" w:rsidR="00A93E43" w:rsidRPr="00A93E43" w:rsidRDefault="00A93E43" w:rsidP="00A93E43">
      <w:pPr>
        <w:tabs>
          <w:tab w:val="left" w:pos="360"/>
          <w:tab w:val="num" w:pos="1920"/>
        </w:tabs>
        <w:spacing w:after="0" w:line="240" w:lineRule="auto"/>
        <w:jc w:val="both"/>
        <w:rPr>
          <w:rFonts w:ascii="Times New Roman" w:eastAsia="Times New Roman" w:hAnsi="Times New Roman" w:cs="Times New Roman"/>
          <w:sz w:val="24"/>
          <w:szCs w:val="24"/>
          <w:lang w:eastAsia="ru-RU"/>
        </w:rPr>
      </w:pPr>
      <w:r w:rsidRPr="00A93E43">
        <w:rPr>
          <w:noProof/>
          <w:lang w:eastAsia="ru-RU"/>
        </w:rPr>
        <w:drawing>
          <wp:inline distT="0" distB="0" distL="0" distR="0" wp14:anchorId="0F52F267" wp14:editId="7C2A0ED7">
            <wp:extent cx="5897880" cy="2545080"/>
            <wp:effectExtent l="0" t="0" r="762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188D378" w14:textId="77777777" w:rsidR="00A93E43" w:rsidRPr="00A93E43" w:rsidRDefault="00A93E43" w:rsidP="00A93E43">
      <w:pPr>
        <w:spacing w:after="0" w:line="240" w:lineRule="auto"/>
        <w:jc w:val="both"/>
        <w:rPr>
          <w:rFonts w:ascii="Times New Roman" w:eastAsia="Times New Roman" w:hAnsi="Times New Roman" w:cs="Times New Roman"/>
          <w:b/>
          <w:bCs/>
          <w:color w:val="000000"/>
          <w:sz w:val="24"/>
          <w:szCs w:val="24"/>
        </w:rPr>
      </w:pPr>
    </w:p>
    <w:p w14:paraId="592585B9" w14:textId="77777777" w:rsidR="00A93E43" w:rsidRPr="00A93E43" w:rsidRDefault="00A93E43" w:rsidP="00A93E43">
      <w:pPr>
        <w:spacing w:after="0" w:line="240" w:lineRule="auto"/>
        <w:jc w:val="both"/>
        <w:rPr>
          <w:rFonts w:ascii="Times New Roman" w:eastAsia="Times New Roman" w:hAnsi="Times New Roman" w:cs="Times New Roman"/>
          <w:b/>
          <w:bCs/>
          <w:color w:val="000000"/>
          <w:sz w:val="24"/>
          <w:szCs w:val="24"/>
        </w:rPr>
      </w:pPr>
    </w:p>
    <w:p w14:paraId="0F87EFF7" w14:textId="77777777" w:rsidR="00A93E43" w:rsidRPr="00A93E43" w:rsidRDefault="00A93E43" w:rsidP="00A93E43">
      <w:pPr>
        <w:spacing w:after="0" w:line="240" w:lineRule="auto"/>
        <w:jc w:val="both"/>
        <w:rPr>
          <w:rFonts w:ascii="Times New Roman" w:eastAsia="Times New Roman" w:hAnsi="Times New Roman" w:cs="Times New Roman"/>
          <w:b/>
          <w:bCs/>
          <w:color w:val="000000"/>
          <w:sz w:val="24"/>
          <w:szCs w:val="24"/>
        </w:rPr>
      </w:pPr>
      <w:r w:rsidRPr="00A93E43">
        <w:rPr>
          <w:noProof/>
          <w:lang w:eastAsia="ru-RU"/>
        </w:rPr>
        <w:drawing>
          <wp:inline distT="0" distB="0" distL="0" distR="0" wp14:anchorId="74883B7F" wp14:editId="295F7ED5">
            <wp:extent cx="5897880" cy="2560320"/>
            <wp:effectExtent l="0" t="0" r="7620" b="1143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D0D7D77" w14:textId="77777777" w:rsidR="00A93E43" w:rsidRPr="00A93E43" w:rsidRDefault="00A93E43" w:rsidP="00A93E43">
      <w:pPr>
        <w:spacing w:after="0" w:line="240" w:lineRule="auto"/>
        <w:jc w:val="both"/>
        <w:rPr>
          <w:rFonts w:ascii="Times New Roman" w:eastAsia="Times New Roman" w:hAnsi="Times New Roman" w:cs="Times New Roman"/>
          <w:b/>
          <w:bCs/>
          <w:color w:val="000000"/>
          <w:sz w:val="24"/>
          <w:szCs w:val="24"/>
        </w:rPr>
      </w:pPr>
    </w:p>
    <w:p w14:paraId="39933AE9" w14:textId="77777777" w:rsidR="00A93E43" w:rsidRPr="00A93E43" w:rsidRDefault="00A93E43" w:rsidP="00A93E43">
      <w:pPr>
        <w:spacing w:after="0" w:line="240" w:lineRule="auto"/>
        <w:jc w:val="both"/>
        <w:rPr>
          <w:rFonts w:ascii="Times New Roman" w:eastAsia="Times New Roman" w:hAnsi="Times New Roman" w:cs="Times New Roman"/>
          <w:noProof/>
          <w:sz w:val="24"/>
          <w:szCs w:val="24"/>
        </w:rPr>
      </w:pPr>
    </w:p>
    <w:p w14:paraId="6047E013" w14:textId="77777777" w:rsidR="00A93E43" w:rsidRPr="00A93E43" w:rsidRDefault="00A93E43" w:rsidP="00A93E43">
      <w:pPr>
        <w:spacing w:after="0" w:line="240" w:lineRule="auto"/>
        <w:jc w:val="both"/>
        <w:rPr>
          <w:rFonts w:ascii="Times New Roman" w:eastAsia="Times New Roman" w:hAnsi="Times New Roman" w:cs="Times New Roman"/>
          <w:noProof/>
          <w:sz w:val="24"/>
          <w:szCs w:val="24"/>
        </w:rPr>
      </w:pPr>
      <w:r w:rsidRPr="00A93E43">
        <w:rPr>
          <w:noProof/>
          <w:lang w:eastAsia="ru-RU"/>
        </w:rPr>
        <w:lastRenderedPageBreak/>
        <w:drawing>
          <wp:inline distT="0" distB="0" distL="0" distR="0" wp14:anchorId="4F91896B" wp14:editId="1D51B81F">
            <wp:extent cx="5897880" cy="2827020"/>
            <wp:effectExtent l="0" t="0" r="7620" b="1143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06C142A" w14:textId="77777777" w:rsidR="00A93E43" w:rsidRPr="00A93E43" w:rsidRDefault="00A93E43" w:rsidP="00A93E43">
      <w:pPr>
        <w:spacing w:after="0" w:line="240" w:lineRule="auto"/>
        <w:jc w:val="both"/>
        <w:rPr>
          <w:rFonts w:ascii="Times New Roman" w:eastAsia="Times New Roman" w:hAnsi="Times New Roman" w:cs="Times New Roman"/>
          <w:noProof/>
          <w:sz w:val="24"/>
          <w:szCs w:val="24"/>
        </w:rPr>
      </w:pPr>
    </w:p>
    <w:p w14:paraId="0D4E723E" w14:textId="77777777" w:rsidR="00A93E43" w:rsidRPr="00A93E43" w:rsidRDefault="00A93E43" w:rsidP="00A93E43">
      <w:pPr>
        <w:spacing w:after="0" w:line="240" w:lineRule="auto"/>
        <w:jc w:val="both"/>
        <w:rPr>
          <w:rFonts w:ascii="Times New Roman" w:eastAsia="Times New Roman" w:hAnsi="Times New Roman" w:cs="Times New Roman"/>
          <w:b/>
          <w:bCs/>
          <w:color w:val="000000"/>
          <w:sz w:val="24"/>
          <w:szCs w:val="24"/>
          <w:lang w:val="en-US"/>
        </w:rPr>
      </w:pPr>
      <w:r w:rsidRPr="00A93E43">
        <w:rPr>
          <w:noProof/>
          <w:lang w:eastAsia="ru-RU"/>
        </w:rPr>
        <w:drawing>
          <wp:inline distT="0" distB="0" distL="0" distR="0" wp14:anchorId="63114677" wp14:editId="28C92ED4">
            <wp:extent cx="5928360" cy="2651760"/>
            <wp:effectExtent l="0" t="0" r="15240" b="1524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8165FB" w14:textId="77777777" w:rsidR="00A93E43" w:rsidRPr="00A93E43" w:rsidRDefault="00A93E43" w:rsidP="00A93E43">
      <w:pPr>
        <w:tabs>
          <w:tab w:val="left" w:pos="360"/>
          <w:tab w:val="num" w:pos="1920"/>
        </w:tabs>
        <w:spacing w:after="0" w:line="240" w:lineRule="auto"/>
        <w:jc w:val="both"/>
        <w:rPr>
          <w:rFonts w:ascii="Times New Roman" w:eastAsia="Times New Roman" w:hAnsi="Times New Roman" w:cs="Times New Roman"/>
          <w:sz w:val="24"/>
          <w:szCs w:val="24"/>
          <w:lang w:eastAsia="ru-RU"/>
        </w:rPr>
      </w:pPr>
    </w:p>
    <w:p w14:paraId="2031FD2A" w14:textId="77777777" w:rsidR="00A93E43" w:rsidRPr="00A93E43" w:rsidRDefault="00A93E43" w:rsidP="00A93E43">
      <w:pPr>
        <w:tabs>
          <w:tab w:val="left" w:pos="360"/>
          <w:tab w:val="num" w:pos="1920"/>
        </w:tabs>
        <w:spacing w:after="0" w:line="240" w:lineRule="auto"/>
        <w:jc w:val="both"/>
        <w:rPr>
          <w:rFonts w:ascii="Times New Roman" w:eastAsia="Times New Roman" w:hAnsi="Times New Roman" w:cs="Times New Roman"/>
          <w:sz w:val="24"/>
          <w:szCs w:val="24"/>
          <w:lang w:eastAsia="ru-RU"/>
        </w:rPr>
      </w:pPr>
    </w:p>
    <w:p w14:paraId="38CA09D4" w14:textId="77777777" w:rsidR="00A93E43" w:rsidRPr="00A93E43" w:rsidRDefault="00A93E43" w:rsidP="00EA2597">
      <w:pPr>
        <w:spacing w:line="240" w:lineRule="auto"/>
        <w:ind w:firstLine="567"/>
        <w:jc w:val="both"/>
        <w:rPr>
          <w:rFonts w:ascii="Times New Roman" w:eastAsia="Times New Roman" w:hAnsi="Times New Roman" w:cs="Times New Roman"/>
          <w:sz w:val="24"/>
          <w:szCs w:val="24"/>
          <w:lang w:eastAsia="ru-RU"/>
        </w:rPr>
      </w:pPr>
      <w:r w:rsidRPr="00A93E43">
        <w:rPr>
          <w:rFonts w:ascii="Times New Roman" w:eastAsia="Times New Roman" w:hAnsi="Times New Roman" w:cs="Times New Roman"/>
          <w:sz w:val="24"/>
          <w:szCs w:val="24"/>
          <w:lang w:eastAsia="ru-RU"/>
        </w:rPr>
        <w:tab/>
      </w:r>
      <w:r w:rsidRPr="00EA2597">
        <w:rPr>
          <w:rFonts w:ascii="Times New Roman" w:hAnsi="Times New Roman" w:cs="Times New Roman"/>
          <w:bCs/>
          <w:sz w:val="24"/>
          <w:szCs w:val="24"/>
        </w:rPr>
        <w:t>С 1 ноября 2015 года вступили в силу изменения в нормативные документы Банка России, регулирующие деятельность центрального контрагента, в соответствии с которыми центральный контрагент обязан обособить часть собственных средств (капитала) для покрытия возможных потерь, как вызванных неисполнением участниками клиринга своих обязательств, так и не связанных с неисполнением обязательств участниками клиринга.</w:t>
      </w:r>
      <w:r w:rsidRPr="00A93E43">
        <w:rPr>
          <w:rFonts w:ascii="Times New Roman" w:eastAsia="Times New Roman" w:hAnsi="Times New Roman" w:cs="Times New Roman"/>
          <w:sz w:val="24"/>
          <w:szCs w:val="24"/>
          <w:lang w:eastAsia="ru-RU"/>
        </w:rPr>
        <w:t xml:space="preserve"> </w:t>
      </w:r>
    </w:p>
    <w:p w14:paraId="0CDB7FBD" w14:textId="1D60FEF4" w:rsidR="00A93E43" w:rsidRPr="00EA2597" w:rsidRDefault="00A93E43" w:rsidP="00C454DA">
      <w:pPr>
        <w:tabs>
          <w:tab w:val="left" w:pos="360"/>
          <w:tab w:val="num" w:pos="1920"/>
        </w:tabs>
        <w:spacing w:after="0" w:line="240" w:lineRule="auto"/>
        <w:jc w:val="both"/>
        <w:rPr>
          <w:rFonts w:ascii="Times New Roman" w:hAnsi="Times New Roman" w:cs="Times New Roman"/>
          <w:bCs/>
          <w:sz w:val="24"/>
          <w:szCs w:val="24"/>
        </w:rPr>
      </w:pPr>
      <w:r w:rsidRPr="00A93E43">
        <w:rPr>
          <w:rFonts w:ascii="Times New Roman" w:eastAsia="Times New Roman" w:hAnsi="Times New Roman" w:cs="Times New Roman"/>
          <w:sz w:val="24"/>
          <w:szCs w:val="24"/>
          <w:lang w:eastAsia="ru-RU"/>
        </w:rPr>
        <w:tab/>
      </w:r>
      <w:r w:rsidR="001C2243">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 xml:space="preserve">Средства </w:t>
      </w:r>
      <w:r w:rsidR="0064527F" w:rsidRPr="00EA2597">
        <w:rPr>
          <w:rFonts w:ascii="Times New Roman" w:hAnsi="Times New Roman" w:cs="Times New Roman"/>
          <w:bCs/>
          <w:sz w:val="24"/>
          <w:szCs w:val="24"/>
        </w:rPr>
        <w:t>ц</w:t>
      </w:r>
      <w:r w:rsidRPr="00EA2597">
        <w:rPr>
          <w:rFonts w:ascii="Times New Roman" w:hAnsi="Times New Roman" w:cs="Times New Roman"/>
          <w:bCs/>
          <w:sz w:val="24"/>
          <w:szCs w:val="24"/>
        </w:rPr>
        <w:t>ентрального контрагента, сформированные в соответствии с требованиями действующего законодательства, нормативными документами Банка России, предназначенные для покрытия потерь, отражаются обособленно на отдельных лицевых счетах по учету нераспределенной прибыли  и уменьшают собственные средства (капитал) Банка.</w:t>
      </w:r>
    </w:p>
    <w:p w14:paraId="5BC02E88"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cs="Times New Roman"/>
          <w:sz w:val="24"/>
          <w:szCs w:val="24"/>
          <w:lang w:eastAsia="ru-RU"/>
        </w:rPr>
      </w:pPr>
      <w:r w:rsidRPr="00A93E43">
        <w:rPr>
          <w:rFonts w:ascii="Times New Roman" w:eastAsia="Times New Roman" w:hAnsi="Times New Roman" w:cs="Times New Roman"/>
          <w:sz w:val="24"/>
          <w:szCs w:val="24"/>
          <w:lang w:eastAsia="ru-RU"/>
        </w:rPr>
        <w:t>тыс. руб.</w:t>
      </w:r>
    </w:p>
    <w:tbl>
      <w:tblPr>
        <w:tblStyle w:val="af"/>
        <w:tblW w:w="0" w:type="auto"/>
        <w:tblLook w:val="04A0" w:firstRow="1" w:lastRow="0" w:firstColumn="1" w:lastColumn="0" w:noHBand="0" w:noVBand="1"/>
      </w:tblPr>
      <w:tblGrid>
        <w:gridCol w:w="6091"/>
        <w:gridCol w:w="1559"/>
        <w:gridCol w:w="1695"/>
      </w:tblGrid>
      <w:tr w:rsidR="00A93E43" w:rsidRPr="00A93E43" w14:paraId="33E26BB6" w14:textId="77777777" w:rsidTr="00257FB8">
        <w:tc>
          <w:tcPr>
            <w:tcW w:w="6091" w:type="dxa"/>
          </w:tcPr>
          <w:p w14:paraId="76C5EC12" w14:textId="77777777" w:rsidR="00A93E43" w:rsidRPr="00A93E43" w:rsidRDefault="00A93E43" w:rsidP="00A93E43">
            <w:pPr>
              <w:tabs>
                <w:tab w:val="left" w:pos="360"/>
                <w:tab w:val="num" w:pos="1920"/>
              </w:tabs>
              <w:spacing w:after="0" w:line="240" w:lineRule="auto"/>
              <w:jc w:val="center"/>
              <w:rPr>
                <w:rFonts w:ascii="Times New Roman" w:eastAsia="Times New Roman" w:hAnsi="Times New Roman"/>
                <w:b/>
                <w:sz w:val="24"/>
                <w:szCs w:val="24"/>
              </w:rPr>
            </w:pPr>
            <w:r w:rsidRPr="00A93E43">
              <w:rPr>
                <w:rFonts w:ascii="Times New Roman" w:eastAsia="Times New Roman" w:hAnsi="Times New Roman"/>
                <w:b/>
                <w:sz w:val="24"/>
                <w:szCs w:val="24"/>
              </w:rPr>
              <w:t>Часть нераспределенной прибыли, предназначенной:</w:t>
            </w:r>
          </w:p>
        </w:tc>
        <w:tc>
          <w:tcPr>
            <w:tcW w:w="1559" w:type="dxa"/>
          </w:tcPr>
          <w:p w14:paraId="21FE787C" w14:textId="77777777" w:rsidR="00A93E43" w:rsidRPr="00A93E43" w:rsidRDefault="00A93E43" w:rsidP="00A93E43">
            <w:pPr>
              <w:tabs>
                <w:tab w:val="left" w:pos="360"/>
                <w:tab w:val="num" w:pos="1920"/>
              </w:tabs>
              <w:spacing w:after="0" w:line="240" w:lineRule="auto"/>
              <w:jc w:val="center"/>
              <w:rPr>
                <w:rFonts w:ascii="Times New Roman" w:eastAsia="Times New Roman" w:hAnsi="Times New Roman"/>
                <w:b/>
                <w:sz w:val="24"/>
                <w:szCs w:val="24"/>
              </w:rPr>
            </w:pPr>
            <w:r w:rsidRPr="00A93E43">
              <w:rPr>
                <w:rFonts w:ascii="Times New Roman" w:eastAsia="Times New Roman" w:hAnsi="Times New Roman"/>
                <w:b/>
                <w:sz w:val="24"/>
                <w:szCs w:val="24"/>
              </w:rPr>
              <w:t>2016</w:t>
            </w:r>
          </w:p>
        </w:tc>
        <w:tc>
          <w:tcPr>
            <w:tcW w:w="1695" w:type="dxa"/>
          </w:tcPr>
          <w:p w14:paraId="3A60EFF5" w14:textId="77777777" w:rsidR="00A93E43" w:rsidRPr="00A93E43" w:rsidRDefault="00A93E43" w:rsidP="00A93E43">
            <w:pPr>
              <w:tabs>
                <w:tab w:val="left" w:pos="360"/>
                <w:tab w:val="num" w:pos="1920"/>
              </w:tabs>
              <w:spacing w:after="0" w:line="240" w:lineRule="auto"/>
              <w:jc w:val="center"/>
              <w:rPr>
                <w:rFonts w:ascii="Times New Roman" w:eastAsia="Times New Roman" w:hAnsi="Times New Roman"/>
                <w:b/>
                <w:sz w:val="24"/>
                <w:szCs w:val="24"/>
              </w:rPr>
            </w:pPr>
            <w:r w:rsidRPr="00A93E43">
              <w:rPr>
                <w:rFonts w:ascii="Times New Roman" w:eastAsia="Times New Roman" w:hAnsi="Times New Roman"/>
                <w:b/>
                <w:sz w:val="24"/>
                <w:szCs w:val="24"/>
              </w:rPr>
              <w:t>2015</w:t>
            </w:r>
          </w:p>
        </w:tc>
      </w:tr>
      <w:tr w:rsidR="00A93E43" w:rsidRPr="00A93E43" w14:paraId="5E2279EE" w14:textId="77777777" w:rsidTr="00257FB8">
        <w:tc>
          <w:tcPr>
            <w:tcW w:w="6091" w:type="dxa"/>
            <w:shd w:val="clear" w:color="auto" w:fill="auto"/>
          </w:tcPr>
          <w:p w14:paraId="104AF991" w14:textId="77777777" w:rsidR="00A93E43" w:rsidRPr="00A93E43" w:rsidRDefault="00A93E43" w:rsidP="00A93E43">
            <w:pPr>
              <w:tabs>
                <w:tab w:val="left" w:pos="360"/>
                <w:tab w:val="num" w:pos="1920"/>
              </w:tabs>
              <w:spacing w:after="0" w:line="240" w:lineRule="auto"/>
              <w:rPr>
                <w:rFonts w:ascii="Times New Roman" w:eastAsia="Times New Roman" w:hAnsi="Times New Roman"/>
                <w:sz w:val="24"/>
                <w:szCs w:val="24"/>
              </w:rPr>
            </w:pPr>
            <w:r w:rsidRPr="00A93E43">
              <w:rPr>
                <w:rFonts w:ascii="Times New Roman" w:eastAsia="Times New Roman" w:hAnsi="Times New Roman"/>
                <w:sz w:val="24"/>
                <w:szCs w:val="24"/>
              </w:rPr>
              <w:t xml:space="preserve">для покрытия возможных потерь, вызванных неисполнением участниками клиринга своих обязательств (средства, используемые центральным контрагентом до использования средств, внесенных добросовестными участниками клиринга в коллективное </w:t>
            </w:r>
            <w:r w:rsidRPr="00A93E43">
              <w:rPr>
                <w:rFonts w:ascii="Times New Roman" w:eastAsia="Times New Roman" w:hAnsi="Times New Roman"/>
                <w:sz w:val="24"/>
                <w:szCs w:val="24"/>
              </w:rPr>
              <w:lastRenderedPageBreak/>
              <w:t>клиринговое обеспечение) - выделенный капитал центрального контрагента</w:t>
            </w:r>
          </w:p>
        </w:tc>
        <w:tc>
          <w:tcPr>
            <w:tcW w:w="1559" w:type="dxa"/>
            <w:shd w:val="clear" w:color="auto" w:fill="auto"/>
          </w:tcPr>
          <w:p w14:paraId="2754D7FD"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7CEED41B"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714C0FC9"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9 500 000</w:t>
            </w:r>
          </w:p>
        </w:tc>
        <w:tc>
          <w:tcPr>
            <w:tcW w:w="1695" w:type="dxa"/>
            <w:shd w:val="clear" w:color="auto" w:fill="auto"/>
          </w:tcPr>
          <w:p w14:paraId="0E067527"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28C918A2"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45C2D2EC"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6 500 000</w:t>
            </w:r>
          </w:p>
        </w:tc>
      </w:tr>
      <w:tr w:rsidR="00A93E43" w:rsidRPr="00A93E43" w14:paraId="2F1594FA" w14:textId="77777777" w:rsidTr="00257FB8">
        <w:tc>
          <w:tcPr>
            <w:tcW w:w="6091" w:type="dxa"/>
          </w:tcPr>
          <w:p w14:paraId="6BAC8343" w14:textId="77777777" w:rsidR="00A93E43" w:rsidRPr="00A93E43" w:rsidRDefault="00A93E43" w:rsidP="00A93E43">
            <w:pPr>
              <w:tabs>
                <w:tab w:val="left" w:pos="360"/>
                <w:tab w:val="num" w:pos="1920"/>
              </w:tabs>
              <w:spacing w:after="0" w:line="240" w:lineRule="auto"/>
              <w:rPr>
                <w:rFonts w:ascii="Times New Roman" w:eastAsia="Times New Roman" w:hAnsi="Times New Roman"/>
                <w:sz w:val="24"/>
                <w:szCs w:val="24"/>
              </w:rPr>
            </w:pPr>
            <w:r w:rsidRPr="00A93E43">
              <w:rPr>
                <w:rFonts w:ascii="Times New Roman" w:eastAsia="Times New Roman" w:hAnsi="Times New Roman"/>
                <w:sz w:val="24"/>
                <w:szCs w:val="24"/>
              </w:rPr>
              <w:t>для обеспечения прекращения или реструктуризации деятельности центрального контрагента</w:t>
            </w:r>
          </w:p>
          <w:p w14:paraId="54349F71" w14:textId="77777777" w:rsidR="00A93E43" w:rsidRPr="00A93E43" w:rsidRDefault="00A93E43" w:rsidP="00A93E43">
            <w:pPr>
              <w:tabs>
                <w:tab w:val="left" w:pos="360"/>
                <w:tab w:val="num" w:pos="1920"/>
              </w:tabs>
              <w:spacing w:after="0" w:line="240" w:lineRule="auto"/>
              <w:rPr>
                <w:rFonts w:ascii="Times New Roman" w:eastAsia="Times New Roman" w:hAnsi="Times New Roman"/>
                <w:sz w:val="24"/>
                <w:szCs w:val="24"/>
              </w:rPr>
            </w:pPr>
          </w:p>
        </w:tc>
        <w:tc>
          <w:tcPr>
            <w:tcW w:w="1559" w:type="dxa"/>
          </w:tcPr>
          <w:p w14:paraId="01D5A6DE"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7C6F4CF0"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593 310</w:t>
            </w:r>
          </w:p>
        </w:tc>
        <w:tc>
          <w:tcPr>
            <w:tcW w:w="1695" w:type="dxa"/>
          </w:tcPr>
          <w:p w14:paraId="54E79F88"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54DFF70D"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510 999</w:t>
            </w:r>
          </w:p>
        </w:tc>
      </w:tr>
      <w:tr w:rsidR="00A93E43" w:rsidRPr="00A93E43" w14:paraId="4EFB33CD" w14:textId="77777777" w:rsidTr="00257FB8">
        <w:tc>
          <w:tcPr>
            <w:tcW w:w="6091" w:type="dxa"/>
          </w:tcPr>
          <w:p w14:paraId="6A00F9D5" w14:textId="77777777" w:rsidR="00A93E43" w:rsidRPr="00A93E43" w:rsidRDefault="00A93E43" w:rsidP="00A93E43">
            <w:pPr>
              <w:tabs>
                <w:tab w:val="left" w:pos="360"/>
                <w:tab w:val="num" w:pos="1920"/>
              </w:tabs>
              <w:spacing w:after="0" w:line="240" w:lineRule="auto"/>
              <w:rPr>
                <w:rFonts w:ascii="Times New Roman" w:eastAsia="Times New Roman" w:hAnsi="Times New Roman"/>
                <w:sz w:val="24"/>
                <w:szCs w:val="24"/>
              </w:rPr>
            </w:pPr>
            <w:r w:rsidRPr="00A93E43">
              <w:rPr>
                <w:rFonts w:ascii="Times New Roman" w:eastAsia="Times New Roman" w:hAnsi="Times New Roman"/>
                <w:sz w:val="24"/>
                <w:szCs w:val="24"/>
              </w:rPr>
              <w:t>для покрытия возможных потерь в результате ухудшения финансового положения центрального контрагента вследствие уменьшения его доходов или увеличения расходов, не связанных с неисполнением обязательств участниками клиринга</w:t>
            </w:r>
          </w:p>
        </w:tc>
        <w:tc>
          <w:tcPr>
            <w:tcW w:w="1559" w:type="dxa"/>
          </w:tcPr>
          <w:p w14:paraId="427D575D"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5D8D75B5"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16E98250"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296 655</w:t>
            </w:r>
          </w:p>
        </w:tc>
        <w:tc>
          <w:tcPr>
            <w:tcW w:w="1695" w:type="dxa"/>
          </w:tcPr>
          <w:p w14:paraId="1738FD93"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0064A0F6"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p>
          <w:p w14:paraId="2F7FA575" w14:textId="77777777" w:rsidR="00A93E43" w:rsidRPr="00A93E43" w:rsidRDefault="00A93E43" w:rsidP="00A93E43">
            <w:pPr>
              <w:tabs>
                <w:tab w:val="left" w:pos="360"/>
                <w:tab w:val="num" w:pos="1920"/>
              </w:tabs>
              <w:spacing w:after="0" w:line="240" w:lineRule="auto"/>
              <w:jc w:val="right"/>
              <w:rPr>
                <w:rFonts w:ascii="Times New Roman" w:eastAsia="Times New Roman" w:hAnsi="Times New Roman"/>
                <w:sz w:val="24"/>
                <w:szCs w:val="24"/>
              </w:rPr>
            </w:pPr>
            <w:r w:rsidRPr="00A93E43">
              <w:rPr>
                <w:rFonts w:ascii="Times New Roman" w:eastAsia="Times New Roman" w:hAnsi="Times New Roman"/>
                <w:sz w:val="24"/>
                <w:szCs w:val="24"/>
              </w:rPr>
              <w:t>255 499</w:t>
            </w:r>
          </w:p>
        </w:tc>
      </w:tr>
    </w:tbl>
    <w:p w14:paraId="15FF0D7A" w14:textId="77777777" w:rsidR="00A93E43" w:rsidRPr="00A93E43" w:rsidRDefault="00A93E43" w:rsidP="00A93E43">
      <w:pPr>
        <w:tabs>
          <w:tab w:val="left" w:pos="360"/>
          <w:tab w:val="num" w:pos="1920"/>
        </w:tabs>
        <w:spacing w:after="0" w:line="240" w:lineRule="auto"/>
        <w:jc w:val="both"/>
        <w:rPr>
          <w:rFonts w:ascii="Times New Roman" w:eastAsia="Times New Roman" w:hAnsi="Times New Roman" w:cs="Times New Roman"/>
          <w:sz w:val="24"/>
          <w:szCs w:val="24"/>
          <w:lang w:eastAsia="ru-RU"/>
        </w:rPr>
      </w:pPr>
    </w:p>
    <w:p w14:paraId="540A21F6" w14:textId="77777777" w:rsidR="00A93E43" w:rsidRPr="00855D02" w:rsidRDefault="00A93E43"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23C5BA34" w14:textId="77777777" w:rsidR="00C61C6C" w:rsidRDefault="00C61C6C"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09F8722C" w14:textId="77777777" w:rsidR="00C61C6C" w:rsidRPr="00855D02" w:rsidRDefault="00C61C6C"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1F837EC1" w14:textId="77777777" w:rsidR="001E6F67"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12A2691D" w14:textId="3BA0927C" w:rsidR="00425F8B" w:rsidRPr="00425F8B" w:rsidRDefault="001E6F67" w:rsidP="001E0717">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425F8B">
        <w:rPr>
          <w:rFonts w:ascii="Times New Roman" w:eastAsia="Times New Roman" w:hAnsi="Times New Roman" w:cs="Times New Roman"/>
          <w:b/>
          <w:sz w:val="28"/>
          <w:szCs w:val="28"/>
          <w:lang w:eastAsia="ru-RU"/>
        </w:rPr>
        <w:t>1</w:t>
      </w:r>
      <w:r w:rsidR="00C96F61">
        <w:rPr>
          <w:rFonts w:ascii="Times New Roman" w:eastAsia="Times New Roman" w:hAnsi="Times New Roman" w:cs="Times New Roman"/>
          <w:b/>
          <w:sz w:val="28"/>
          <w:szCs w:val="28"/>
          <w:lang w:eastAsia="ru-RU"/>
        </w:rPr>
        <w:t>1</w:t>
      </w:r>
      <w:r w:rsidRPr="00425F8B">
        <w:rPr>
          <w:rFonts w:ascii="Times New Roman" w:eastAsia="Times New Roman" w:hAnsi="Times New Roman" w:cs="Times New Roman"/>
          <w:b/>
          <w:sz w:val="28"/>
          <w:szCs w:val="28"/>
          <w:lang w:eastAsia="ru-RU"/>
        </w:rPr>
        <w:t>.   Кадровая    политика. Информация об оплате труда НКЦ</w:t>
      </w:r>
    </w:p>
    <w:p w14:paraId="7BA73D72" w14:textId="77777777" w:rsidR="00425F8B" w:rsidRPr="00425F8B" w:rsidRDefault="00425F8B"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b/>
          <w:sz w:val="28"/>
          <w:szCs w:val="28"/>
          <w:lang w:eastAsia="ru-RU"/>
        </w:rPr>
      </w:pPr>
    </w:p>
    <w:p w14:paraId="59ED3C4B" w14:textId="77777777" w:rsidR="00425F8B" w:rsidRPr="00425F8B" w:rsidRDefault="00425F8B" w:rsidP="00D0435F">
      <w:pPr>
        <w:spacing w:after="0"/>
        <w:ind w:left="1080"/>
        <w:contextualSpacing/>
        <w:jc w:val="center"/>
        <w:rPr>
          <w:rFonts w:ascii="Times New Roman" w:hAnsi="Times New Roman"/>
          <w:b/>
          <w:i/>
          <w:sz w:val="24"/>
          <w:szCs w:val="24"/>
        </w:rPr>
      </w:pPr>
      <w:r w:rsidRPr="00425F8B">
        <w:rPr>
          <w:rFonts w:ascii="Times New Roman" w:hAnsi="Times New Roman"/>
          <w:b/>
          <w:i/>
          <w:sz w:val="24"/>
          <w:szCs w:val="24"/>
        </w:rPr>
        <w:t>Кадровая политика и организационная структура Банка</w:t>
      </w:r>
    </w:p>
    <w:p w14:paraId="7D2EE913" w14:textId="77777777" w:rsidR="00425F8B" w:rsidRPr="00446690" w:rsidRDefault="00425F8B" w:rsidP="00425F8B">
      <w:pPr>
        <w:spacing w:after="0"/>
        <w:ind w:firstLine="567"/>
        <w:jc w:val="center"/>
        <w:rPr>
          <w:rFonts w:ascii="Times New Roman" w:hAnsi="Times New Roman"/>
          <w:b/>
          <w:sz w:val="24"/>
          <w:szCs w:val="24"/>
        </w:rPr>
      </w:pPr>
    </w:p>
    <w:p w14:paraId="0BB08A52" w14:textId="77777777" w:rsidR="00425F8B" w:rsidRPr="00781804" w:rsidRDefault="0006152A" w:rsidP="00EA2597">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425F8B" w:rsidRPr="00EA2597">
        <w:rPr>
          <w:rFonts w:ascii="Times New Roman" w:hAnsi="Times New Roman" w:cs="Times New Roman"/>
          <w:bCs/>
          <w:sz w:val="24"/>
          <w:szCs w:val="24"/>
        </w:rPr>
        <w:t>В 2016 году Банк продолжил работу над совершенствованием политики в области оплаты труда работников Банка в соответствии с требованиями регулятора и реализовал ряд проектов в области развития управленческой культуры, программы преемственности.</w:t>
      </w:r>
      <w:r w:rsidR="00425F8B" w:rsidRPr="00781804">
        <w:rPr>
          <w:rFonts w:ascii="Times New Roman" w:hAnsi="Times New Roman"/>
          <w:sz w:val="24"/>
          <w:szCs w:val="24"/>
        </w:rPr>
        <w:t xml:space="preserve"> </w:t>
      </w:r>
    </w:p>
    <w:p w14:paraId="2481AAFF" w14:textId="77777777" w:rsidR="00425F8B" w:rsidRPr="00781804" w:rsidRDefault="0006152A" w:rsidP="00EA2597">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425F8B" w:rsidRPr="00EA2597">
        <w:rPr>
          <w:rFonts w:ascii="Times New Roman" w:hAnsi="Times New Roman" w:cs="Times New Roman"/>
          <w:bCs/>
          <w:sz w:val="24"/>
          <w:szCs w:val="24"/>
        </w:rPr>
        <w:t>Численность работников Банка за отчетный период по сравнению с 2015 годом не изменилась: на конец 2016 года она составила 160 работников. Количественный состав Правления Банка в отчетном году уменьшился с пяти до четырех членов Правления в связи с увольнением в середине года Луиса Висенте, члена Правления Банка, Заместителя Председателя Правления Банка.</w:t>
      </w:r>
    </w:p>
    <w:p w14:paraId="75DC2EE5" w14:textId="38B17140" w:rsidR="0007420C" w:rsidRDefault="00425F8B" w:rsidP="00AF127D">
      <w:pPr>
        <w:pStyle w:val="a3"/>
        <w:widowControl w:val="0"/>
        <w:tabs>
          <w:tab w:val="left" w:pos="567"/>
        </w:tabs>
        <w:autoSpaceDE w:val="0"/>
        <w:autoSpaceDN w:val="0"/>
        <w:adjustRightInd w:val="0"/>
        <w:spacing w:line="240" w:lineRule="auto"/>
        <w:ind w:left="0"/>
        <w:jc w:val="both"/>
        <w:rPr>
          <w:rFonts w:ascii="Times New Roman" w:hAnsi="Times New Roman"/>
          <w:b/>
          <w:i/>
          <w:sz w:val="24"/>
          <w:szCs w:val="24"/>
        </w:rPr>
      </w:pPr>
      <w:r w:rsidRPr="00781804">
        <w:rPr>
          <w:rFonts w:ascii="Times New Roman" w:hAnsi="Times New Roman"/>
          <w:sz w:val="24"/>
          <w:szCs w:val="24"/>
        </w:rPr>
        <w:tab/>
      </w:r>
    </w:p>
    <w:p w14:paraId="4609E14B" w14:textId="77777777" w:rsidR="00425F8B" w:rsidRPr="00425F8B" w:rsidRDefault="00425F8B" w:rsidP="00D0435F">
      <w:pPr>
        <w:ind w:left="1080"/>
        <w:contextualSpacing/>
        <w:jc w:val="center"/>
        <w:rPr>
          <w:rFonts w:ascii="Times New Roman" w:hAnsi="Times New Roman"/>
          <w:b/>
          <w:i/>
          <w:sz w:val="24"/>
          <w:szCs w:val="24"/>
        </w:rPr>
      </w:pPr>
      <w:r w:rsidRPr="00425F8B">
        <w:rPr>
          <w:rFonts w:ascii="Times New Roman" w:hAnsi="Times New Roman"/>
          <w:b/>
          <w:i/>
          <w:sz w:val="24"/>
          <w:szCs w:val="24"/>
        </w:rPr>
        <w:t>Политика в области оплаты труда</w:t>
      </w:r>
    </w:p>
    <w:p w14:paraId="0414D07E" w14:textId="77777777" w:rsidR="00425F8B" w:rsidRPr="00425F8B" w:rsidRDefault="00425F8B" w:rsidP="00425F8B">
      <w:pPr>
        <w:ind w:left="1080"/>
        <w:contextualSpacing/>
        <w:jc w:val="center"/>
        <w:rPr>
          <w:rFonts w:ascii="Times New Roman" w:hAnsi="Times New Roman"/>
          <w:b/>
          <w:i/>
          <w:sz w:val="24"/>
          <w:szCs w:val="24"/>
        </w:rPr>
      </w:pPr>
    </w:p>
    <w:p w14:paraId="2D8F27E0" w14:textId="18956D6F" w:rsidR="00425F8B" w:rsidRPr="00EA2597" w:rsidRDefault="0006152A"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00425F8B" w:rsidRPr="00EA2597">
        <w:rPr>
          <w:rFonts w:ascii="Times New Roman" w:hAnsi="Times New Roman" w:cs="Times New Roman"/>
          <w:bCs/>
          <w:sz w:val="24"/>
          <w:szCs w:val="24"/>
        </w:rPr>
        <w:t xml:space="preserve">Политика в области оплаты труда </w:t>
      </w:r>
      <w:r w:rsidR="00D0435F" w:rsidRPr="00EA2597">
        <w:rPr>
          <w:rFonts w:ascii="Times New Roman" w:hAnsi="Times New Roman" w:cs="Times New Roman"/>
          <w:bCs/>
          <w:sz w:val="24"/>
          <w:szCs w:val="24"/>
        </w:rPr>
        <w:t>НКЦ</w:t>
      </w:r>
      <w:r w:rsidR="00425F8B" w:rsidRPr="00EA2597">
        <w:rPr>
          <w:rFonts w:ascii="Times New Roman" w:hAnsi="Times New Roman" w:cs="Times New Roman"/>
          <w:bCs/>
          <w:sz w:val="24"/>
          <w:szCs w:val="24"/>
        </w:rPr>
        <w:t xml:space="preserve"> соответствует стратегии Банка, характеру и масштабу совершаемых </w:t>
      </w:r>
      <w:r w:rsidR="00D0435F" w:rsidRPr="00EA2597">
        <w:rPr>
          <w:rFonts w:ascii="Times New Roman" w:hAnsi="Times New Roman" w:cs="Times New Roman"/>
          <w:bCs/>
          <w:sz w:val="24"/>
          <w:szCs w:val="24"/>
        </w:rPr>
        <w:t>им</w:t>
      </w:r>
      <w:r w:rsidR="00425F8B" w:rsidRPr="00EA2597">
        <w:rPr>
          <w:rFonts w:ascii="Times New Roman" w:hAnsi="Times New Roman" w:cs="Times New Roman"/>
          <w:bCs/>
          <w:sz w:val="24"/>
          <w:szCs w:val="24"/>
        </w:rPr>
        <w:t xml:space="preserve"> операций, результат</w:t>
      </w:r>
      <w:r w:rsidR="0007420C">
        <w:rPr>
          <w:rFonts w:ascii="Times New Roman" w:hAnsi="Times New Roman" w:cs="Times New Roman"/>
          <w:bCs/>
          <w:sz w:val="24"/>
          <w:szCs w:val="24"/>
        </w:rPr>
        <w:t>ам</w:t>
      </w:r>
      <w:r w:rsidR="00425F8B" w:rsidRPr="00EA2597">
        <w:rPr>
          <w:rFonts w:ascii="Times New Roman" w:hAnsi="Times New Roman" w:cs="Times New Roman"/>
          <w:bCs/>
          <w:sz w:val="24"/>
          <w:szCs w:val="24"/>
        </w:rPr>
        <w:t xml:space="preserve"> его деятельности, уровн</w:t>
      </w:r>
      <w:r w:rsidR="0007420C">
        <w:rPr>
          <w:rFonts w:ascii="Times New Roman" w:hAnsi="Times New Roman" w:cs="Times New Roman"/>
          <w:bCs/>
          <w:sz w:val="24"/>
          <w:szCs w:val="24"/>
        </w:rPr>
        <w:t>ю</w:t>
      </w:r>
      <w:r w:rsidR="00425F8B" w:rsidRPr="00EA2597">
        <w:rPr>
          <w:rFonts w:ascii="Times New Roman" w:hAnsi="Times New Roman" w:cs="Times New Roman"/>
          <w:bCs/>
          <w:sz w:val="24"/>
          <w:szCs w:val="24"/>
        </w:rPr>
        <w:t xml:space="preserve"> принимаемых рисков. Политика в </w:t>
      </w:r>
      <w:r w:rsidR="00D0435F" w:rsidRPr="00EA2597">
        <w:rPr>
          <w:rFonts w:ascii="Times New Roman" w:hAnsi="Times New Roman" w:cs="Times New Roman"/>
          <w:bCs/>
          <w:sz w:val="24"/>
          <w:szCs w:val="24"/>
        </w:rPr>
        <w:t>этой области</w:t>
      </w:r>
      <w:r w:rsidR="00425F8B" w:rsidRPr="00EA2597">
        <w:rPr>
          <w:rFonts w:ascii="Times New Roman" w:hAnsi="Times New Roman" w:cs="Times New Roman"/>
          <w:bCs/>
          <w:sz w:val="24"/>
          <w:szCs w:val="24"/>
        </w:rPr>
        <w:t xml:space="preserve"> и </w:t>
      </w:r>
      <w:r w:rsidR="00D0435F" w:rsidRPr="00EA2597">
        <w:rPr>
          <w:rFonts w:ascii="Times New Roman" w:hAnsi="Times New Roman" w:cs="Times New Roman"/>
          <w:bCs/>
          <w:sz w:val="24"/>
          <w:szCs w:val="24"/>
        </w:rPr>
        <w:t xml:space="preserve">сама </w:t>
      </w:r>
      <w:r w:rsidR="00425F8B" w:rsidRPr="00EA2597">
        <w:rPr>
          <w:rFonts w:ascii="Times New Roman" w:hAnsi="Times New Roman" w:cs="Times New Roman"/>
          <w:bCs/>
          <w:sz w:val="24"/>
          <w:szCs w:val="24"/>
        </w:rPr>
        <w:t>система оплаты труда в 2016 году не претерпел</w:t>
      </w:r>
      <w:r w:rsidR="0007420C">
        <w:rPr>
          <w:rFonts w:ascii="Times New Roman" w:hAnsi="Times New Roman" w:cs="Times New Roman"/>
          <w:bCs/>
          <w:sz w:val="24"/>
          <w:szCs w:val="24"/>
        </w:rPr>
        <w:t>и</w:t>
      </w:r>
      <w:r w:rsidR="00425F8B" w:rsidRPr="00EA2597">
        <w:rPr>
          <w:rFonts w:ascii="Times New Roman" w:hAnsi="Times New Roman" w:cs="Times New Roman"/>
          <w:bCs/>
          <w:sz w:val="24"/>
          <w:szCs w:val="24"/>
        </w:rPr>
        <w:t xml:space="preserve"> значительных изменений. Наблюдательный совет Банка не реже одного раза в год принимает решения о ее сохранении или пересмотре всех документов, регулирующих систему оплаты труда, в зависимости от изменения условий деятельности Банка, в том числе, в связи с изменением стратегии Банка, характера и масштаба совершаемых операций, результатов его деятельности, уровня и сочетания принимаемых рисков.</w:t>
      </w:r>
    </w:p>
    <w:p w14:paraId="6819864B" w14:textId="25E5F777" w:rsidR="00425F8B" w:rsidRPr="00EA2597" w:rsidRDefault="0006152A" w:rsidP="00EA2597">
      <w:pPr>
        <w:spacing w:line="240" w:lineRule="auto"/>
        <w:ind w:firstLine="567"/>
        <w:jc w:val="both"/>
        <w:rPr>
          <w:rFonts w:ascii="Times New Roman" w:hAnsi="Times New Roman" w:cs="Times New Roman"/>
          <w:bCs/>
          <w:sz w:val="24"/>
          <w:szCs w:val="24"/>
        </w:rPr>
      </w:pPr>
      <w:r>
        <w:rPr>
          <w:sz w:val="24"/>
          <w:szCs w:val="24"/>
        </w:rPr>
        <w:t xml:space="preserve">     </w:t>
      </w:r>
      <w:r w:rsidR="00425F8B" w:rsidRPr="00EA2597">
        <w:rPr>
          <w:rFonts w:ascii="Times New Roman" w:hAnsi="Times New Roman" w:cs="Times New Roman"/>
          <w:bCs/>
          <w:sz w:val="24"/>
          <w:szCs w:val="24"/>
        </w:rPr>
        <w:t>Структура оплаты труда работников Банка, разработанная с учетом требований Инструкции №154-И</w:t>
      </w:r>
      <w:r w:rsidR="00425F8B" w:rsidRPr="00EA2597">
        <w:rPr>
          <w:rFonts w:ascii="Times New Roman" w:hAnsi="Times New Roman" w:cs="Times New Roman"/>
          <w:bCs/>
        </w:rPr>
        <w:footnoteReference w:id="1"/>
      </w:r>
      <w:r w:rsidR="00425F8B" w:rsidRPr="00EA2597">
        <w:rPr>
          <w:rFonts w:ascii="Times New Roman" w:hAnsi="Times New Roman" w:cs="Times New Roman"/>
          <w:bCs/>
          <w:sz w:val="24"/>
          <w:szCs w:val="24"/>
        </w:rPr>
        <w:t xml:space="preserve">, </w:t>
      </w:r>
      <w:r w:rsidR="0007420C">
        <w:rPr>
          <w:rFonts w:ascii="Times New Roman" w:hAnsi="Times New Roman" w:cs="Times New Roman"/>
          <w:bCs/>
          <w:sz w:val="24"/>
          <w:szCs w:val="24"/>
        </w:rPr>
        <w:t xml:space="preserve">в 2016 году </w:t>
      </w:r>
      <w:r w:rsidR="00425F8B" w:rsidRPr="00EA2597">
        <w:rPr>
          <w:rFonts w:ascii="Times New Roman" w:hAnsi="Times New Roman" w:cs="Times New Roman"/>
          <w:bCs/>
          <w:sz w:val="24"/>
          <w:szCs w:val="24"/>
        </w:rPr>
        <w:t>не претерпела изменений</w:t>
      </w:r>
      <w:r w:rsidR="0007420C">
        <w:rPr>
          <w:rFonts w:ascii="Times New Roman" w:hAnsi="Times New Roman" w:cs="Times New Roman"/>
          <w:bCs/>
          <w:sz w:val="24"/>
          <w:szCs w:val="24"/>
        </w:rPr>
        <w:t xml:space="preserve">. Она </w:t>
      </w:r>
      <w:r w:rsidR="00425F8B" w:rsidRPr="00EA2597">
        <w:rPr>
          <w:rFonts w:ascii="Times New Roman" w:hAnsi="Times New Roman" w:cs="Times New Roman"/>
          <w:bCs/>
          <w:sz w:val="24"/>
          <w:szCs w:val="24"/>
        </w:rPr>
        <w:t xml:space="preserve">состоит из фиксированной части (базовое вознаграждение и компенсационные/социальные выплаты, не связанные с результатами деятельности) и </w:t>
      </w:r>
      <w:r w:rsidR="000E4DB0" w:rsidRPr="00EA2597">
        <w:rPr>
          <w:rFonts w:ascii="Times New Roman" w:hAnsi="Times New Roman" w:cs="Times New Roman"/>
          <w:bCs/>
          <w:sz w:val="24"/>
          <w:szCs w:val="24"/>
        </w:rPr>
        <w:t>н</w:t>
      </w:r>
      <w:r w:rsidR="00425F8B" w:rsidRPr="00EA2597">
        <w:rPr>
          <w:rFonts w:ascii="Times New Roman" w:hAnsi="Times New Roman" w:cs="Times New Roman"/>
          <w:bCs/>
          <w:sz w:val="24"/>
          <w:szCs w:val="24"/>
        </w:rPr>
        <w:t>ефиксированной части (стимулирующая выплата, связанная с результатами деятельности (годовая премия/ годовой бонус)).</w:t>
      </w:r>
      <w:r w:rsidR="000E4DB0" w:rsidRPr="00EA2597">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lastRenderedPageBreak/>
        <w:t>Размеры должностных окладов устанавливаются в Банке в соответствии с Порядком администрирования системы грейдов и базового вознаграждения работников.</w:t>
      </w:r>
    </w:p>
    <w:p w14:paraId="1A2BE9DE" w14:textId="77777777" w:rsidR="00425F8B" w:rsidRPr="00446690" w:rsidRDefault="0006152A" w:rsidP="00EA2597">
      <w:pPr>
        <w:spacing w:line="240" w:lineRule="auto"/>
        <w:ind w:firstLine="567"/>
        <w:jc w:val="both"/>
        <w:rPr>
          <w:rFonts w:ascii="Times New Roman" w:hAnsi="Times New Roman"/>
          <w:sz w:val="24"/>
          <w:szCs w:val="24"/>
        </w:rPr>
      </w:pPr>
      <w:r>
        <w:rPr>
          <w:rFonts w:ascii="Times New Roman" w:hAnsi="Times New Roman"/>
          <w:sz w:val="24"/>
          <w:szCs w:val="24"/>
          <w:lang w:eastAsia="hi-IN" w:bidi="hi-IN"/>
        </w:rPr>
        <w:t xml:space="preserve">     </w:t>
      </w:r>
      <w:r w:rsidR="00425F8B" w:rsidRPr="00EA2597">
        <w:rPr>
          <w:rFonts w:ascii="Times New Roman" w:hAnsi="Times New Roman" w:cs="Times New Roman"/>
          <w:bCs/>
          <w:sz w:val="24"/>
          <w:szCs w:val="24"/>
        </w:rPr>
        <w:t xml:space="preserve">В соответствии с утвержденной Наблюдательным советом Банка Политикой в области оплаты труда, работники </w:t>
      </w:r>
      <w:r w:rsidR="000E4DB0" w:rsidRPr="00EA2597">
        <w:rPr>
          <w:rFonts w:ascii="Times New Roman" w:hAnsi="Times New Roman" w:cs="Times New Roman"/>
          <w:bCs/>
          <w:sz w:val="24"/>
          <w:szCs w:val="24"/>
        </w:rPr>
        <w:t>НКЦ</w:t>
      </w:r>
      <w:r w:rsidR="00425F8B" w:rsidRPr="00EA2597">
        <w:rPr>
          <w:rFonts w:ascii="Times New Roman" w:hAnsi="Times New Roman" w:cs="Times New Roman"/>
          <w:bCs/>
          <w:sz w:val="24"/>
          <w:szCs w:val="24"/>
        </w:rPr>
        <w:t xml:space="preserve"> подразделяются на четыре категории:</w:t>
      </w:r>
    </w:p>
    <w:p w14:paraId="21B796FB" w14:textId="77777777" w:rsidR="00425F8B" w:rsidRPr="000E4DB0" w:rsidRDefault="00425F8B" w:rsidP="00441380">
      <w:pPr>
        <w:pStyle w:val="a3"/>
        <w:numPr>
          <w:ilvl w:val="0"/>
          <w:numId w:val="56"/>
        </w:numPr>
        <w:spacing w:after="0" w:line="240" w:lineRule="auto"/>
        <w:jc w:val="both"/>
        <w:rPr>
          <w:rFonts w:ascii="Times New Roman" w:hAnsi="Times New Roman"/>
          <w:sz w:val="24"/>
          <w:szCs w:val="24"/>
          <w:lang w:eastAsia="hi-IN" w:bidi="hi-IN"/>
        </w:rPr>
      </w:pPr>
      <w:r w:rsidRPr="000E4DB0">
        <w:rPr>
          <w:rFonts w:ascii="Times New Roman" w:hAnsi="Times New Roman"/>
          <w:sz w:val="24"/>
          <w:szCs w:val="24"/>
          <w:lang w:eastAsia="hi-IN" w:bidi="hi-IN"/>
        </w:rPr>
        <w:t>работники, принимающие риски;</w:t>
      </w:r>
    </w:p>
    <w:p w14:paraId="1B27F0E7" w14:textId="77777777" w:rsidR="00425F8B" w:rsidRPr="000E4DB0" w:rsidRDefault="00425F8B" w:rsidP="00441380">
      <w:pPr>
        <w:pStyle w:val="a3"/>
        <w:numPr>
          <w:ilvl w:val="0"/>
          <w:numId w:val="56"/>
        </w:numPr>
        <w:spacing w:after="0" w:line="240" w:lineRule="auto"/>
        <w:jc w:val="both"/>
        <w:rPr>
          <w:rFonts w:ascii="Times New Roman" w:hAnsi="Times New Roman"/>
          <w:sz w:val="24"/>
          <w:szCs w:val="24"/>
          <w:lang w:eastAsia="hi-IN" w:bidi="hi-IN"/>
        </w:rPr>
      </w:pPr>
      <w:r w:rsidRPr="000E4DB0">
        <w:rPr>
          <w:rFonts w:ascii="Times New Roman" w:hAnsi="Times New Roman"/>
          <w:sz w:val="24"/>
          <w:szCs w:val="24"/>
          <w:lang w:eastAsia="hi-IN" w:bidi="hi-IN"/>
        </w:rPr>
        <w:t>работники подразделений, осуществляющих управление рисками;</w:t>
      </w:r>
    </w:p>
    <w:p w14:paraId="66519FF6" w14:textId="77777777" w:rsidR="00425F8B" w:rsidRPr="000E4DB0" w:rsidRDefault="00425F8B" w:rsidP="00441380">
      <w:pPr>
        <w:pStyle w:val="a3"/>
        <w:numPr>
          <w:ilvl w:val="0"/>
          <w:numId w:val="56"/>
        </w:numPr>
        <w:spacing w:after="0" w:line="240" w:lineRule="auto"/>
        <w:jc w:val="both"/>
        <w:rPr>
          <w:rFonts w:ascii="Times New Roman" w:hAnsi="Times New Roman"/>
          <w:sz w:val="24"/>
          <w:szCs w:val="24"/>
          <w:lang w:eastAsia="hi-IN" w:bidi="hi-IN"/>
        </w:rPr>
      </w:pPr>
      <w:r w:rsidRPr="000E4DB0">
        <w:rPr>
          <w:rFonts w:ascii="Times New Roman" w:hAnsi="Times New Roman"/>
          <w:sz w:val="24"/>
          <w:szCs w:val="24"/>
          <w:lang w:eastAsia="hi-IN" w:bidi="hi-IN"/>
        </w:rPr>
        <w:t>работники подразделений, осуществляющих внутренний контроль;</w:t>
      </w:r>
    </w:p>
    <w:p w14:paraId="64729C99" w14:textId="77777777" w:rsidR="00425F8B" w:rsidRPr="000E4DB0" w:rsidRDefault="00425F8B" w:rsidP="00441380">
      <w:pPr>
        <w:pStyle w:val="a3"/>
        <w:numPr>
          <w:ilvl w:val="0"/>
          <w:numId w:val="56"/>
        </w:numPr>
        <w:spacing w:after="0" w:line="240" w:lineRule="auto"/>
        <w:jc w:val="both"/>
        <w:rPr>
          <w:rFonts w:ascii="Times New Roman" w:hAnsi="Times New Roman"/>
          <w:sz w:val="24"/>
          <w:szCs w:val="24"/>
          <w:lang w:eastAsia="hi-IN" w:bidi="hi-IN"/>
        </w:rPr>
      </w:pPr>
      <w:r w:rsidRPr="000E4DB0">
        <w:rPr>
          <w:rFonts w:ascii="Times New Roman" w:hAnsi="Times New Roman"/>
          <w:sz w:val="24"/>
          <w:szCs w:val="24"/>
          <w:lang w:eastAsia="hi-IN" w:bidi="hi-IN"/>
        </w:rPr>
        <w:t>остальные работники.</w:t>
      </w:r>
    </w:p>
    <w:p w14:paraId="1BEE7991" w14:textId="77777777" w:rsidR="005D3118" w:rsidRDefault="000E4DB0" w:rsidP="0044392E">
      <w:pPr>
        <w:pStyle w:val="a3"/>
        <w:widowControl w:val="0"/>
        <w:tabs>
          <w:tab w:val="left" w:pos="993"/>
        </w:tabs>
        <w:autoSpaceDE w:val="0"/>
        <w:autoSpaceDN w:val="0"/>
        <w:adjustRightInd w:val="0"/>
        <w:spacing w:after="160" w:line="240" w:lineRule="auto"/>
        <w:ind w:left="0"/>
        <w:jc w:val="both"/>
        <w:rPr>
          <w:rFonts w:ascii="Times New Roman" w:hAnsi="Times New Roman"/>
          <w:sz w:val="24"/>
          <w:szCs w:val="24"/>
        </w:rPr>
      </w:pPr>
      <w:r>
        <w:rPr>
          <w:rFonts w:ascii="Times New Roman" w:hAnsi="Times New Roman"/>
          <w:sz w:val="24"/>
          <w:szCs w:val="24"/>
        </w:rPr>
        <w:t xml:space="preserve"> </w:t>
      </w:r>
      <w:r w:rsidR="00FE1A88">
        <w:rPr>
          <w:rFonts w:ascii="Times New Roman" w:hAnsi="Times New Roman"/>
          <w:sz w:val="24"/>
          <w:szCs w:val="24"/>
        </w:rPr>
        <w:t xml:space="preserve">     </w:t>
      </w:r>
    </w:p>
    <w:p w14:paraId="26BA7D4E" w14:textId="14A51A00" w:rsidR="00425F8B" w:rsidRPr="00EA2597" w:rsidRDefault="0006152A"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005D3118">
        <w:rPr>
          <w:rFonts w:ascii="Times New Roman" w:hAnsi="Times New Roman"/>
          <w:sz w:val="24"/>
          <w:szCs w:val="24"/>
        </w:rPr>
        <w:t xml:space="preserve"> </w:t>
      </w:r>
      <w:r w:rsidR="00425F8B" w:rsidRPr="00EA2597">
        <w:rPr>
          <w:rFonts w:ascii="Times New Roman" w:hAnsi="Times New Roman" w:cs="Times New Roman"/>
          <w:bCs/>
          <w:sz w:val="24"/>
          <w:szCs w:val="24"/>
        </w:rPr>
        <w:t xml:space="preserve">В Банке установлена повременно-премиальная система оплаты труда, которая предусматривает, что величина заработной платы работников зависит не только от фактически отработанного ими времени, </w:t>
      </w:r>
      <w:r w:rsidR="0007420C">
        <w:rPr>
          <w:rFonts w:ascii="Times New Roman" w:hAnsi="Times New Roman" w:cs="Times New Roman"/>
          <w:bCs/>
          <w:sz w:val="24"/>
          <w:szCs w:val="24"/>
        </w:rPr>
        <w:t xml:space="preserve">но и </w:t>
      </w:r>
      <w:r w:rsidR="00425F8B" w:rsidRPr="00EA2597">
        <w:rPr>
          <w:rFonts w:ascii="Times New Roman" w:hAnsi="Times New Roman" w:cs="Times New Roman"/>
          <w:bCs/>
          <w:sz w:val="24"/>
          <w:szCs w:val="24"/>
        </w:rPr>
        <w:t xml:space="preserve"> предусматривает премирование работников по результатам деятельности (работы) в отчётн</w:t>
      </w:r>
      <w:r w:rsidR="005F5637" w:rsidRPr="00EA2597">
        <w:rPr>
          <w:rFonts w:ascii="Times New Roman" w:hAnsi="Times New Roman" w:cs="Times New Roman"/>
          <w:bCs/>
          <w:sz w:val="24"/>
          <w:szCs w:val="24"/>
        </w:rPr>
        <w:t>ый</w:t>
      </w:r>
      <w:r w:rsidR="00425F8B" w:rsidRPr="00EA2597">
        <w:rPr>
          <w:rFonts w:ascii="Times New Roman" w:hAnsi="Times New Roman" w:cs="Times New Roman"/>
          <w:bCs/>
          <w:sz w:val="24"/>
          <w:szCs w:val="24"/>
        </w:rPr>
        <w:t xml:space="preserve"> период в порядке и на условиях, установленных Положением о премировании работников Банка. При этом для работников, принимающих риски, выплата 40% годовой премии осуществляется с учетом отсрочки (рассрочки) и последующей ее корректировки на условиях и по правилам, установленным  в </w:t>
      </w:r>
      <w:r w:rsidR="005F5637" w:rsidRPr="00EA2597">
        <w:rPr>
          <w:rFonts w:ascii="Times New Roman" w:hAnsi="Times New Roman" w:cs="Times New Roman"/>
          <w:bCs/>
          <w:sz w:val="24"/>
          <w:szCs w:val="24"/>
        </w:rPr>
        <w:t xml:space="preserve">специально разработанной </w:t>
      </w:r>
      <w:r w:rsidR="00425F8B" w:rsidRPr="00EA2597">
        <w:rPr>
          <w:rFonts w:ascii="Times New Roman" w:hAnsi="Times New Roman" w:cs="Times New Roman"/>
          <w:bCs/>
          <w:sz w:val="24"/>
          <w:szCs w:val="24"/>
        </w:rPr>
        <w:t>Методике</w:t>
      </w:r>
      <w:r w:rsidR="005F5637"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Наблюдательным советом Банка в марте 2016 года был утвержден размер долей отсроченной (рассроченной) части годовой премии за отчетный (2015) год по срокам выплаты (начисления) на основании объема рисконесущих активов. Корректировка и выплата первой доли отсроченной (рассроченной) части годовой премии за 2015 год работникам, принимающим риски, запланирована на март 2017 года после подведения итогов работы Банка на Наблюдательном совете. В 2016 году Банк продолжил вести работу по совершенствованию принципов и подходов в области оплаты труда работников Банка в соответствии с требованиями регулятора и внедрил несколько актуальных изменений/дополнений в документы, регулирующие систему оплаты труда Банка, в том числе с учетом рекомендаций, данных внешними аудиторами в конце 2015 г. по результатам проведения ими независимой оценки системы оплаты.</w:t>
      </w:r>
      <w:r w:rsidR="0044392E" w:rsidRPr="00EA2597">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t>Переменная часть вознаграждения зависит от результатов деятельности компании Группы и индивидуальных результатов сотрудника, оцениваемых в рамках процесса управления эффективностью</w:t>
      </w:r>
    </w:p>
    <w:p w14:paraId="5B65D3B4" w14:textId="53D64BD3" w:rsidR="00425F8B" w:rsidRPr="00446690" w:rsidRDefault="0044392E" w:rsidP="0044392E">
      <w:pPr>
        <w:pStyle w:val="af4"/>
        <w:jc w:val="both"/>
        <w:rPr>
          <w:sz w:val="24"/>
          <w:szCs w:val="24"/>
        </w:rPr>
      </w:pPr>
      <w:r>
        <w:rPr>
          <w:sz w:val="24"/>
          <w:szCs w:val="24"/>
        </w:rPr>
        <w:t xml:space="preserve">     </w:t>
      </w:r>
      <w:r w:rsidR="00425F8B" w:rsidRPr="00EA2597">
        <w:rPr>
          <w:rFonts w:eastAsiaTheme="minorHAnsi"/>
          <w:bCs/>
          <w:sz w:val="24"/>
          <w:szCs w:val="24"/>
          <w:lang w:eastAsia="en-US"/>
        </w:rPr>
        <w:t>В 2016 году особое внимание было уделено практикам управления эффективностью (performance management). Результаты данного процесса влияют на пересмотр заработных плат и премирование по итогам отчетного года. Оценка персонала стала более простой и понятной, а также более объективной за счет внедрения принципов коллегиального обсуждения результатов деятельности сотрудников. Кроме того, изменились факторы, принимаемые во внимание при определении итоговой оценки сотрудника. Так, с 2016 года на итоговую оценку деятельности влияет не только достижение целей, оценка демонстрации поведения сотрудников в соответствии с корпоративными ценностями.</w:t>
      </w:r>
      <w:r w:rsidR="00425F8B">
        <w:rPr>
          <w:bCs/>
          <w:iCs/>
          <w:sz w:val="24"/>
          <w:szCs w:val="24"/>
        </w:rPr>
        <w:t xml:space="preserve"> </w:t>
      </w:r>
      <w:r w:rsidR="00425F8B" w:rsidRPr="00C6022F">
        <w:rPr>
          <w:sz w:val="24"/>
          <w:szCs w:val="24"/>
        </w:rPr>
        <w:t>Основной фокус в данном процессе смещается на предоставление обратной связи сотрудникам и разработк</w:t>
      </w:r>
      <w:r w:rsidR="00DC351A">
        <w:rPr>
          <w:sz w:val="24"/>
          <w:szCs w:val="24"/>
        </w:rPr>
        <w:t>у</w:t>
      </w:r>
      <w:r w:rsidR="00425F8B" w:rsidRPr="00C6022F">
        <w:rPr>
          <w:sz w:val="24"/>
          <w:szCs w:val="24"/>
        </w:rPr>
        <w:t xml:space="preserve"> индивидуальных планов их развития. На 2017 год запланированы и уже внедряются следующие шаги по совершенствованию процедуры управления эффективностью: будет обновлена система постановки целей для повышения их качества и кросс-функциональной сбалансированности, а также планируется проведение дополнительного обучения руководителей принципам управления эффективностью сотрудников</w:t>
      </w:r>
      <w:r w:rsidR="00425F8B">
        <w:rPr>
          <w:sz w:val="24"/>
          <w:szCs w:val="24"/>
        </w:rPr>
        <w:t xml:space="preserve">. Во внутренних документах Банка также была установлена более четкая зависимость корректировки размера </w:t>
      </w:r>
      <w:r w:rsidR="00425F8B" w:rsidRPr="00F839B3">
        <w:rPr>
          <w:bCs/>
          <w:iCs/>
          <w:sz w:val="24"/>
          <w:szCs w:val="24"/>
        </w:rPr>
        <w:t>годового бонуса</w:t>
      </w:r>
      <w:r w:rsidR="00425F8B">
        <w:rPr>
          <w:bCs/>
          <w:iCs/>
          <w:sz w:val="24"/>
          <w:szCs w:val="24"/>
        </w:rPr>
        <w:t xml:space="preserve"> по </w:t>
      </w:r>
      <w:r w:rsidR="00425F8B" w:rsidRPr="00F839B3">
        <w:rPr>
          <w:bCs/>
          <w:iCs/>
          <w:sz w:val="24"/>
          <w:szCs w:val="24"/>
        </w:rPr>
        <w:t>результатам</w:t>
      </w:r>
      <w:r w:rsidR="00425F8B" w:rsidRPr="00BC1FE1">
        <w:rPr>
          <w:bCs/>
          <w:iCs/>
          <w:sz w:val="24"/>
          <w:szCs w:val="24"/>
        </w:rPr>
        <w:t xml:space="preserve"> деятельности</w:t>
      </w:r>
      <w:r w:rsidR="00425F8B">
        <w:rPr>
          <w:bCs/>
          <w:iCs/>
          <w:sz w:val="24"/>
          <w:szCs w:val="24"/>
        </w:rPr>
        <w:t xml:space="preserve"> работника Банка</w:t>
      </w:r>
      <w:r w:rsidR="00425F8B" w:rsidRPr="00BC1FE1">
        <w:rPr>
          <w:bCs/>
          <w:iCs/>
          <w:sz w:val="24"/>
          <w:szCs w:val="24"/>
        </w:rPr>
        <w:t xml:space="preserve"> в отчетном периоде</w:t>
      </w:r>
      <w:r w:rsidR="00425F8B">
        <w:rPr>
          <w:bCs/>
          <w:iCs/>
          <w:sz w:val="24"/>
          <w:szCs w:val="24"/>
        </w:rPr>
        <w:t xml:space="preserve"> с качеством его работы в целом и соблюдением им трудовой дисциплины, а не только с выполнением общекорпоративных и индивидуальных ключевых показателей эффективности деятельности</w:t>
      </w:r>
    </w:p>
    <w:p w14:paraId="6C778D55" w14:textId="77777777" w:rsidR="005F5637" w:rsidRDefault="005F5637" w:rsidP="00D0435F">
      <w:pPr>
        <w:spacing w:after="0" w:line="240" w:lineRule="auto"/>
        <w:ind w:firstLine="567"/>
        <w:jc w:val="both"/>
        <w:rPr>
          <w:rFonts w:ascii="Times New Roman" w:hAnsi="Times New Roman"/>
          <w:sz w:val="24"/>
          <w:szCs w:val="24"/>
        </w:rPr>
      </w:pPr>
    </w:p>
    <w:p w14:paraId="4175FA21" w14:textId="4863DAB5" w:rsidR="00425F8B" w:rsidRDefault="0044392E" w:rsidP="00EA2597">
      <w:pPr>
        <w:spacing w:line="240" w:lineRule="auto"/>
        <w:ind w:firstLine="567"/>
        <w:jc w:val="both"/>
        <w:rPr>
          <w:rFonts w:ascii="Times New Roman" w:hAnsi="Times New Roman"/>
          <w:bCs/>
          <w:sz w:val="24"/>
          <w:szCs w:val="24"/>
        </w:rPr>
      </w:pPr>
      <w:r>
        <w:rPr>
          <w:rFonts w:ascii="Times New Roman" w:hAnsi="Times New Roman"/>
          <w:sz w:val="24"/>
          <w:szCs w:val="24"/>
        </w:rPr>
        <w:lastRenderedPageBreak/>
        <w:t xml:space="preserve">     </w:t>
      </w:r>
      <w:r w:rsidR="00425F8B" w:rsidRPr="00EA2597">
        <w:rPr>
          <w:rFonts w:ascii="Times New Roman" w:hAnsi="Times New Roman" w:cs="Times New Roman"/>
          <w:bCs/>
          <w:sz w:val="24"/>
          <w:szCs w:val="24"/>
        </w:rPr>
        <w:t xml:space="preserve">В конце 2016 года Службой внутреннего аудита проведена оценка системы оплаты труда Банка, которая показала соответствие </w:t>
      </w:r>
      <w:r w:rsidR="00DC351A">
        <w:rPr>
          <w:rFonts w:ascii="Times New Roman" w:hAnsi="Times New Roman" w:cs="Times New Roman"/>
          <w:bCs/>
          <w:sz w:val="24"/>
          <w:szCs w:val="24"/>
        </w:rPr>
        <w:t xml:space="preserve">этой </w:t>
      </w:r>
      <w:r w:rsidR="00425F8B" w:rsidRPr="00EA2597">
        <w:rPr>
          <w:rFonts w:ascii="Times New Roman" w:hAnsi="Times New Roman" w:cs="Times New Roman"/>
          <w:bCs/>
          <w:sz w:val="24"/>
          <w:szCs w:val="24"/>
        </w:rPr>
        <w:t xml:space="preserve">системы характеру и масштабу совершаемых </w:t>
      </w:r>
      <w:r w:rsidR="00DC351A">
        <w:rPr>
          <w:rFonts w:ascii="Times New Roman" w:hAnsi="Times New Roman" w:cs="Times New Roman"/>
          <w:bCs/>
          <w:sz w:val="24"/>
          <w:szCs w:val="24"/>
        </w:rPr>
        <w:t xml:space="preserve">НКЦ </w:t>
      </w:r>
      <w:r w:rsidR="00425F8B" w:rsidRPr="00EA2597">
        <w:rPr>
          <w:rFonts w:ascii="Times New Roman" w:hAnsi="Times New Roman" w:cs="Times New Roman"/>
          <w:bCs/>
          <w:sz w:val="24"/>
          <w:szCs w:val="24"/>
        </w:rPr>
        <w:t>операций, результатам его деятельности, уровню и сочетанию принимаемых рисков с учетом требований Инструкции №154-И.</w:t>
      </w:r>
      <w:r w:rsidR="00425F8B" w:rsidRPr="00F839B3">
        <w:rPr>
          <w:rFonts w:ascii="Times New Roman" w:hAnsi="Times New Roman"/>
          <w:bCs/>
          <w:sz w:val="24"/>
          <w:szCs w:val="24"/>
        </w:rPr>
        <w:t xml:space="preserve"> </w:t>
      </w:r>
    </w:p>
    <w:p w14:paraId="3569C6DA" w14:textId="7A14E473" w:rsidR="00425F8B" w:rsidRPr="00425F8B" w:rsidRDefault="00425F8B" w:rsidP="00DC351A">
      <w:pPr>
        <w:pStyle w:val="a3"/>
        <w:widowControl w:val="0"/>
        <w:tabs>
          <w:tab w:val="left" w:pos="993"/>
        </w:tabs>
        <w:autoSpaceDE w:val="0"/>
        <w:autoSpaceDN w:val="0"/>
        <w:adjustRightInd w:val="0"/>
        <w:spacing w:line="240" w:lineRule="auto"/>
        <w:ind w:left="0"/>
        <w:jc w:val="center"/>
        <w:rPr>
          <w:rFonts w:ascii="Times New Roman" w:hAnsi="Times New Roman"/>
          <w:b/>
          <w:i/>
          <w:sz w:val="24"/>
          <w:szCs w:val="24"/>
        </w:rPr>
      </w:pPr>
      <w:r w:rsidRPr="00425F8B">
        <w:rPr>
          <w:rFonts w:ascii="Times New Roman" w:hAnsi="Times New Roman"/>
          <w:b/>
          <w:i/>
          <w:sz w:val="24"/>
          <w:szCs w:val="24"/>
        </w:rPr>
        <w:t>Социальная поддержка работников Банка</w:t>
      </w:r>
    </w:p>
    <w:p w14:paraId="35FE66F9" w14:textId="77777777" w:rsidR="00425F8B" w:rsidRDefault="0044392E" w:rsidP="00EA2597">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425F8B" w:rsidRPr="00EA2597">
        <w:rPr>
          <w:rFonts w:ascii="Times New Roman" w:hAnsi="Times New Roman" w:cs="Times New Roman"/>
          <w:bCs/>
          <w:sz w:val="24"/>
          <w:szCs w:val="24"/>
        </w:rPr>
        <w:t>Предоставление работникам Банка корпоративной социальной поддержки является одним из элементов его социальной политики, направленной на обеспечение социальной защищённости работников, способствующей повышению эффективности и качества их труда. Корпоративная социальная поддержка работников осуществляется в соответствии с Положением о корпоративной социальной поддержке работников Банка (далее – Положение о соцподдержке), пересматриваемом и утверждаемом ежегодно Наблюдательным советом Банка.</w:t>
      </w:r>
      <w:r w:rsidR="00425F8B" w:rsidRPr="00096666">
        <w:rPr>
          <w:rFonts w:ascii="Times New Roman" w:hAnsi="Times New Roman"/>
          <w:sz w:val="24"/>
          <w:szCs w:val="24"/>
        </w:rPr>
        <w:t xml:space="preserve"> </w:t>
      </w:r>
    </w:p>
    <w:p w14:paraId="3BF8EB8B" w14:textId="1CA8B822" w:rsidR="00425F8B" w:rsidRPr="00EA2597" w:rsidRDefault="002C4910" w:rsidP="00DC351A">
      <w:pPr>
        <w:pStyle w:val="a3"/>
        <w:widowControl w:val="0"/>
        <w:tabs>
          <w:tab w:val="left" w:pos="993"/>
        </w:tabs>
        <w:autoSpaceDE w:val="0"/>
        <w:autoSpaceDN w:val="0"/>
        <w:adjustRightInd w:val="0"/>
        <w:spacing w:line="240" w:lineRule="auto"/>
        <w:ind w:left="0"/>
        <w:jc w:val="both"/>
        <w:rPr>
          <w:rFonts w:ascii="Times New Roman" w:hAnsi="Times New Roman"/>
          <w:bCs/>
          <w:sz w:val="24"/>
          <w:szCs w:val="24"/>
        </w:rPr>
      </w:pPr>
      <w:r>
        <w:rPr>
          <w:rFonts w:ascii="Times New Roman" w:hAnsi="Times New Roman"/>
          <w:sz w:val="24"/>
          <w:szCs w:val="24"/>
        </w:rPr>
        <w:t xml:space="preserve">    </w:t>
      </w:r>
      <w:r w:rsidR="00DC351A">
        <w:rPr>
          <w:rFonts w:ascii="Times New Roman" w:hAnsi="Times New Roman"/>
          <w:sz w:val="24"/>
          <w:szCs w:val="24"/>
        </w:rPr>
        <w:t xml:space="preserve">  </w:t>
      </w:r>
      <w:r>
        <w:rPr>
          <w:rFonts w:ascii="Times New Roman" w:hAnsi="Times New Roman"/>
          <w:sz w:val="24"/>
          <w:szCs w:val="24"/>
        </w:rPr>
        <w:t xml:space="preserve">      </w:t>
      </w:r>
      <w:r w:rsidR="00425F8B" w:rsidRPr="00EA2597">
        <w:rPr>
          <w:rFonts w:ascii="Times New Roman" w:hAnsi="Times New Roman"/>
          <w:bCs/>
          <w:sz w:val="24"/>
          <w:szCs w:val="24"/>
        </w:rPr>
        <w:t>Банк страхует своих сотрудников по программам добровольного медицинского страхования, международного медицинского страхования, а также от несчастных случаев и болезней, в установленных случаях выплачивает материальную помощь. В конце декабря 2016 года страховкой ДМС было обеспечено 91,6% работников Банка</w:t>
      </w:r>
      <w:r w:rsidRPr="00EA2597">
        <w:rPr>
          <w:rFonts w:ascii="Times New Roman" w:hAnsi="Times New Roman"/>
          <w:bCs/>
          <w:sz w:val="24"/>
          <w:szCs w:val="24"/>
        </w:rPr>
        <w:t>, а п</w:t>
      </w:r>
      <w:r w:rsidR="00425F8B" w:rsidRPr="00EA2597">
        <w:rPr>
          <w:rFonts w:ascii="Times New Roman" w:hAnsi="Times New Roman"/>
          <w:bCs/>
          <w:sz w:val="24"/>
          <w:szCs w:val="24"/>
        </w:rPr>
        <w:t xml:space="preserve">о ММС и страхованию от </w:t>
      </w:r>
      <w:r w:rsidRPr="00EA2597">
        <w:rPr>
          <w:rFonts w:ascii="Times New Roman" w:hAnsi="Times New Roman"/>
          <w:bCs/>
          <w:sz w:val="24"/>
          <w:szCs w:val="24"/>
        </w:rPr>
        <w:t>н</w:t>
      </w:r>
      <w:r w:rsidR="00425F8B" w:rsidRPr="00EA2597">
        <w:rPr>
          <w:rFonts w:ascii="Times New Roman" w:hAnsi="Times New Roman"/>
          <w:bCs/>
          <w:sz w:val="24"/>
          <w:szCs w:val="24"/>
        </w:rPr>
        <w:t xml:space="preserve">есчастных случаев и болезней – </w:t>
      </w:r>
      <w:r w:rsidRPr="00EA2597">
        <w:rPr>
          <w:rFonts w:ascii="Times New Roman" w:hAnsi="Times New Roman"/>
          <w:bCs/>
          <w:sz w:val="24"/>
          <w:szCs w:val="24"/>
        </w:rPr>
        <w:t>все работники НКЦ</w:t>
      </w:r>
      <w:r w:rsidR="00425F8B" w:rsidRPr="00EA2597">
        <w:rPr>
          <w:rFonts w:ascii="Times New Roman" w:hAnsi="Times New Roman"/>
          <w:bCs/>
          <w:sz w:val="24"/>
          <w:szCs w:val="24"/>
        </w:rPr>
        <w:t>.</w:t>
      </w:r>
    </w:p>
    <w:p w14:paraId="463D6D20" w14:textId="77777777" w:rsidR="00C93830" w:rsidRDefault="002C4910" w:rsidP="00C93830">
      <w:pPr>
        <w:pStyle w:val="a3"/>
        <w:widowControl w:val="0"/>
        <w:tabs>
          <w:tab w:val="left" w:pos="993"/>
        </w:tabs>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xml:space="preserve">     </w:t>
      </w:r>
    </w:p>
    <w:p w14:paraId="27D165A4" w14:textId="5FCAC325" w:rsidR="002C4910" w:rsidRDefault="00C93830" w:rsidP="00C93830">
      <w:pPr>
        <w:pStyle w:val="a3"/>
        <w:widowControl w:val="0"/>
        <w:tabs>
          <w:tab w:val="left" w:pos="993"/>
        </w:tabs>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xml:space="preserve">     </w:t>
      </w:r>
      <w:r w:rsidR="002C4910">
        <w:rPr>
          <w:rFonts w:ascii="Times New Roman" w:hAnsi="Times New Roman"/>
          <w:sz w:val="24"/>
          <w:szCs w:val="24"/>
        </w:rPr>
        <w:t xml:space="preserve">      </w:t>
      </w:r>
      <w:r w:rsidR="00425F8B" w:rsidRPr="00EA2597">
        <w:rPr>
          <w:rFonts w:ascii="Times New Roman" w:hAnsi="Times New Roman"/>
          <w:bCs/>
          <w:sz w:val="24"/>
          <w:szCs w:val="24"/>
        </w:rPr>
        <w:t>Предоставляемые льготы и выплаты в пользу работников или членов их семей по Положению о соцподдержке не относятся к системе оплаты труда, и их размер не подлежит корректировке с учетом принимаемых Банком рисков.</w:t>
      </w:r>
      <w:r w:rsidR="00425F8B" w:rsidRPr="00F839B3">
        <w:rPr>
          <w:rFonts w:ascii="Times New Roman" w:hAnsi="Times New Roman"/>
          <w:sz w:val="24"/>
          <w:szCs w:val="24"/>
        </w:rPr>
        <w:t xml:space="preserve"> </w:t>
      </w:r>
    </w:p>
    <w:p w14:paraId="139A890D" w14:textId="77777777" w:rsidR="00C93830" w:rsidRDefault="002C4910" w:rsidP="00C93830">
      <w:pPr>
        <w:pStyle w:val="a3"/>
        <w:widowControl w:val="0"/>
        <w:tabs>
          <w:tab w:val="left" w:pos="993"/>
        </w:tabs>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xml:space="preserve">     </w:t>
      </w:r>
    </w:p>
    <w:p w14:paraId="36C3BB42" w14:textId="75D70CB4" w:rsidR="00425F8B" w:rsidRPr="00EA2597" w:rsidRDefault="00C93830" w:rsidP="00C93830">
      <w:pPr>
        <w:pStyle w:val="a3"/>
        <w:widowControl w:val="0"/>
        <w:tabs>
          <w:tab w:val="left" w:pos="993"/>
        </w:tabs>
        <w:autoSpaceDE w:val="0"/>
        <w:autoSpaceDN w:val="0"/>
        <w:adjustRightInd w:val="0"/>
        <w:spacing w:line="240" w:lineRule="auto"/>
        <w:ind w:left="0"/>
        <w:jc w:val="both"/>
        <w:rPr>
          <w:rFonts w:ascii="Times New Roman" w:hAnsi="Times New Roman"/>
          <w:bCs/>
          <w:sz w:val="24"/>
          <w:szCs w:val="24"/>
        </w:rPr>
      </w:pPr>
      <w:r>
        <w:rPr>
          <w:rFonts w:ascii="Times New Roman" w:hAnsi="Times New Roman"/>
          <w:sz w:val="24"/>
          <w:szCs w:val="24"/>
        </w:rPr>
        <w:t xml:space="preserve">       </w:t>
      </w:r>
      <w:r w:rsidR="002C4910">
        <w:rPr>
          <w:rFonts w:ascii="Times New Roman" w:hAnsi="Times New Roman"/>
          <w:sz w:val="24"/>
          <w:szCs w:val="24"/>
        </w:rPr>
        <w:t xml:space="preserve">   </w:t>
      </w:r>
      <w:r w:rsidR="00425F8B" w:rsidRPr="00EA2597">
        <w:rPr>
          <w:rFonts w:ascii="Times New Roman" w:hAnsi="Times New Roman"/>
          <w:bCs/>
          <w:sz w:val="24"/>
          <w:szCs w:val="24"/>
        </w:rPr>
        <w:t xml:space="preserve">Банк также заботится о популяризации здорового образа жизни, профилактике и предупреждении распространения эпидемических подъемов заболеваемости ОРВИ и гриппом. Для сотрудников действует корпоративная система скидок в ведущих фитнес-центрах. Они могут заниматься в организуемых </w:t>
      </w:r>
      <w:r>
        <w:rPr>
          <w:rFonts w:ascii="Times New Roman" w:hAnsi="Times New Roman"/>
          <w:bCs/>
          <w:sz w:val="24"/>
          <w:szCs w:val="24"/>
        </w:rPr>
        <w:t xml:space="preserve">Группой </w:t>
      </w:r>
      <w:r w:rsidR="00425F8B" w:rsidRPr="00EA2597">
        <w:rPr>
          <w:rFonts w:ascii="Times New Roman" w:hAnsi="Times New Roman"/>
          <w:bCs/>
          <w:sz w:val="24"/>
          <w:szCs w:val="24"/>
        </w:rPr>
        <w:t xml:space="preserve">спортивных </w:t>
      </w:r>
      <w:r>
        <w:rPr>
          <w:rFonts w:ascii="Times New Roman" w:hAnsi="Times New Roman"/>
          <w:bCs/>
          <w:sz w:val="24"/>
          <w:szCs w:val="24"/>
        </w:rPr>
        <w:t xml:space="preserve">мероприятиях </w:t>
      </w:r>
      <w:r w:rsidR="00425F8B" w:rsidRPr="00EA2597">
        <w:rPr>
          <w:rFonts w:ascii="Times New Roman" w:hAnsi="Times New Roman"/>
          <w:bCs/>
          <w:sz w:val="24"/>
          <w:szCs w:val="24"/>
        </w:rPr>
        <w:t>(бег, триатлон, футбол, хоккей и прочие).</w:t>
      </w:r>
    </w:p>
    <w:p w14:paraId="0DF3A387" w14:textId="77777777" w:rsidR="00425F8B" w:rsidRPr="00433081" w:rsidRDefault="00425F8B" w:rsidP="00D0435F">
      <w:pPr>
        <w:spacing w:after="0" w:line="240" w:lineRule="auto"/>
        <w:ind w:firstLine="567"/>
        <w:jc w:val="both"/>
        <w:rPr>
          <w:rFonts w:ascii="Times New Roman" w:hAnsi="Times New Roman"/>
          <w:sz w:val="24"/>
          <w:szCs w:val="24"/>
        </w:rPr>
      </w:pPr>
      <w:r w:rsidRPr="00FF1ECB">
        <w:rPr>
          <w:rFonts w:ascii="Times New Roman" w:hAnsi="Times New Roman"/>
          <w:sz w:val="24"/>
          <w:szCs w:val="24"/>
        </w:rPr>
        <w:t>.</w:t>
      </w:r>
    </w:p>
    <w:p w14:paraId="6D5D0DEF" w14:textId="77777777" w:rsidR="003B2260" w:rsidRDefault="003B2260" w:rsidP="00D0435F">
      <w:pPr>
        <w:spacing w:line="240" w:lineRule="auto"/>
        <w:jc w:val="center"/>
        <w:rPr>
          <w:rFonts w:ascii="Times New Roman" w:hAnsi="Times New Roman"/>
          <w:b/>
          <w:i/>
          <w:sz w:val="24"/>
          <w:szCs w:val="24"/>
        </w:rPr>
      </w:pPr>
    </w:p>
    <w:p w14:paraId="56D52FA2" w14:textId="77777777" w:rsidR="00425F8B" w:rsidRPr="00425F8B" w:rsidRDefault="00425F8B" w:rsidP="00D0435F">
      <w:pPr>
        <w:spacing w:line="240" w:lineRule="auto"/>
        <w:jc w:val="center"/>
        <w:rPr>
          <w:rFonts w:ascii="Times New Roman" w:hAnsi="Times New Roman"/>
          <w:b/>
          <w:i/>
          <w:sz w:val="24"/>
          <w:szCs w:val="24"/>
        </w:rPr>
      </w:pPr>
      <w:r w:rsidRPr="00425F8B">
        <w:rPr>
          <w:rFonts w:ascii="Times New Roman" w:hAnsi="Times New Roman"/>
          <w:b/>
          <w:i/>
          <w:sz w:val="24"/>
          <w:szCs w:val="24"/>
        </w:rPr>
        <w:t xml:space="preserve">Обучение и развитие работников </w:t>
      </w:r>
    </w:p>
    <w:p w14:paraId="4B913F87" w14:textId="77777777" w:rsidR="00425F8B"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color w:val="262626"/>
          <w:sz w:val="24"/>
          <w:szCs w:val="24"/>
        </w:rPr>
        <w:t xml:space="preserve">      </w:t>
      </w:r>
      <w:r w:rsidR="002C4910" w:rsidRPr="00EA2597">
        <w:rPr>
          <w:rFonts w:ascii="Times New Roman" w:hAnsi="Times New Roman" w:cs="Times New Roman"/>
          <w:bCs/>
          <w:sz w:val="24"/>
          <w:szCs w:val="24"/>
        </w:rPr>
        <w:t xml:space="preserve">По данным на </w:t>
      </w:r>
      <w:r w:rsidR="00425F8B" w:rsidRPr="00EA2597">
        <w:rPr>
          <w:rFonts w:ascii="Times New Roman" w:hAnsi="Times New Roman" w:cs="Times New Roman"/>
          <w:bCs/>
          <w:sz w:val="24"/>
          <w:szCs w:val="24"/>
        </w:rPr>
        <w:t>конец 2016 года</w:t>
      </w:r>
      <w:r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98,8% работников</w:t>
      </w:r>
      <w:r w:rsidR="002C4910" w:rsidRPr="00EA2597">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t>бизнес-подразделений Банка име</w:t>
      </w:r>
      <w:r w:rsidR="002C4910" w:rsidRPr="00EA2597">
        <w:rPr>
          <w:rFonts w:ascii="Times New Roman" w:hAnsi="Times New Roman" w:cs="Times New Roman"/>
          <w:bCs/>
          <w:sz w:val="24"/>
          <w:szCs w:val="24"/>
        </w:rPr>
        <w:t>ли</w:t>
      </w:r>
      <w:r w:rsidR="00425F8B" w:rsidRPr="00EA2597">
        <w:rPr>
          <w:rFonts w:ascii="Times New Roman" w:hAnsi="Times New Roman" w:cs="Times New Roman"/>
          <w:bCs/>
          <w:sz w:val="24"/>
          <w:szCs w:val="24"/>
        </w:rPr>
        <w:t xml:space="preserve"> высшее профессиональное образование, а 16,9% </w:t>
      </w:r>
      <w:r w:rsidR="002C4910"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второе высшее образование. Помимо этого</w:t>
      </w:r>
      <w:r w:rsidR="002C4910"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трое работников име</w:t>
      </w:r>
      <w:r w:rsidR="002C4910" w:rsidRPr="00EA2597">
        <w:rPr>
          <w:rFonts w:ascii="Times New Roman" w:hAnsi="Times New Roman" w:cs="Times New Roman"/>
          <w:bCs/>
          <w:sz w:val="24"/>
          <w:szCs w:val="24"/>
        </w:rPr>
        <w:t>ли</w:t>
      </w:r>
      <w:r w:rsidR="00425F8B" w:rsidRPr="00EA2597">
        <w:rPr>
          <w:rFonts w:ascii="Times New Roman" w:hAnsi="Times New Roman" w:cs="Times New Roman"/>
          <w:bCs/>
          <w:sz w:val="24"/>
          <w:szCs w:val="24"/>
        </w:rPr>
        <w:t xml:space="preserve"> ученую степень кандидата наук</w:t>
      </w:r>
      <w:r w:rsidR="002C4910" w:rsidRPr="00EA2597">
        <w:rPr>
          <w:rFonts w:ascii="Times New Roman" w:hAnsi="Times New Roman" w:cs="Times New Roman"/>
          <w:bCs/>
          <w:sz w:val="24"/>
          <w:szCs w:val="24"/>
        </w:rPr>
        <w:t xml:space="preserve"> и</w:t>
      </w:r>
      <w:r w:rsidR="00425F8B" w:rsidRPr="00EA2597">
        <w:rPr>
          <w:rFonts w:ascii="Times New Roman" w:hAnsi="Times New Roman" w:cs="Times New Roman"/>
          <w:bCs/>
          <w:sz w:val="24"/>
          <w:szCs w:val="24"/>
        </w:rPr>
        <w:t xml:space="preserve"> 51,4% </w:t>
      </w:r>
      <w:r w:rsidR="002C4910"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квалификационные аттестаты.</w:t>
      </w:r>
    </w:p>
    <w:p w14:paraId="1E3F0A8B" w14:textId="77777777" w:rsidR="00371120"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color w:val="262626"/>
          <w:sz w:val="24"/>
          <w:szCs w:val="24"/>
        </w:rPr>
        <w:t xml:space="preserve">     </w:t>
      </w:r>
      <w:r w:rsidR="002C4910" w:rsidRPr="00EA2597">
        <w:rPr>
          <w:rFonts w:ascii="Times New Roman" w:hAnsi="Times New Roman" w:cs="Times New Roman"/>
          <w:bCs/>
          <w:sz w:val="24"/>
          <w:szCs w:val="24"/>
        </w:rPr>
        <w:t>О</w:t>
      </w:r>
      <w:r w:rsidR="00425F8B" w:rsidRPr="00EA2597">
        <w:rPr>
          <w:rFonts w:ascii="Times New Roman" w:hAnsi="Times New Roman" w:cs="Times New Roman"/>
          <w:bCs/>
          <w:sz w:val="24"/>
          <w:szCs w:val="24"/>
        </w:rPr>
        <w:t>бучени</w:t>
      </w:r>
      <w:r w:rsidRPr="00EA2597">
        <w:rPr>
          <w:rFonts w:ascii="Times New Roman" w:hAnsi="Times New Roman" w:cs="Times New Roman"/>
          <w:bCs/>
          <w:sz w:val="24"/>
          <w:szCs w:val="24"/>
        </w:rPr>
        <w:t>е</w:t>
      </w:r>
      <w:r w:rsidR="00425F8B" w:rsidRPr="00EA2597">
        <w:rPr>
          <w:rFonts w:ascii="Times New Roman" w:hAnsi="Times New Roman" w:cs="Times New Roman"/>
          <w:bCs/>
          <w:sz w:val="24"/>
          <w:szCs w:val="24"/>
        </w:rPr>
        <w:t xml:space="preserve"> работников Банка </w:t>
      </w:r>
      <w:r w:rsidR="002C4910" w:rsidRPr="00EA2597">
        <w:rPr>
          <w:rFonts w:ascii="Times New Roman" w:hAnsi="Times New Roman" w:cs="Times New Roman"/>
          <w:bCs/>
          <w:sz w:val="24"/>
          <w:szCs w:val="24"/>
        </w:rPr>
        <w:t xml:space="preserve">осуществлялось по </w:t>
      </w:r>
      <w:r w:rsidR="00425F8B" w:rsidRPr="00EA2597">
        <w:rPr>
          <w:rFonts w:ascii="Times New Roman" w:hAnsi="Times New Roman" w:cs="Times New Roman"/>
          <w:bCs/>
          <w:sz w:val="24"/>
          <w:szCs w:val="24"/>
        </w:rPr>
        <w:t>следующи</w:t>
      </w:r>
      <w:r w:rsidR="002C4910" w:rsidRPr="00EA2597">
        <w:rPr>
          <w:rFonts w:ascii="Times New Roman" w:hAnsi="Times New Roman" w:cs="Times New Roman"/>
          <w:bCs/>
          <w:sz w:val="24"/>
          <w:szCs w:val="24"/>
        </w:rPr>
        <w:t>м</w:t>
      </w:r>
      <w:r w:rsidR="00425F8B" w:rsidRPr="00EA2597">
        <w:rPr>
          <w:rFonts w:ascii="Times New Roman" w:hAnsi="Times New Roman" w:cs="Times New Roman"/>
          <w:bCs/>
          <w:sz w:val="24"/>
          <w:szCs w:val="24"/>
        </w:rPr>
        <w:t xml:space="preserve"> тр</w:t>
      </w:r>
      <w:r w:rsidR="002C4910" w:rsidRPr="00EA2597">
        <w:rPr>
          <w:rFonts w:ascii="Times New Roman" w:hAnsi="Times New Roman" w:cs="Times New Roman"/>
          <w:bCs/>
          <w:sz w:val="24"/>
          <w:szCs w:val="24"/>
        </w:rPr>
        <w:t>ем</w:t>
      </w:r>
      <w:r w:rsidR="00425F8B" w:rsidRPr="00EA2597">
        <w:rPr>
          <w:rFonts w:ascii="Times New Roman" w:hAnsi="Times New Roman" w:cs="Times New Roman"/>
          <w:bCs/>
          <w:sz w:val="24"/>
          <w:szCs w:val="24"/>
        </w:rPr>
        <w:t xml:space="preserve"> приоритетны</w:t>
      </w:r>
      <w:r w:rsidR="002C4910" w:rsidRPr="00EA2597">
        <w:rPr>
          <w:rFonts w:ascii="Times New Roman" w:hAnsi="Times New Roman" w:cs="Times New Roman"/>
          <w:bCs/>
          <w:sz w:val="24"/>
          <w:szCs w:val="24"/>
        </w:rPr>
        <w:t>м</w:t>
      </w:r>
      <w:r w:rsidR="00425F8B" w:rsidRPr="00EA2597">
        <w:rPr>
          <w:rFonts w:ascii="Times New Roman" w:hAnsi="Times New Roman" w:cs="Times New Roman"/>
          <w:bCs/>
          <w:sz w:val="24"/>
          <w:szCs w:val="24"/>
        </w:rPr>
        <w:t xml:space="preserve"> направления</w:t>
      </w:r>
      <w:r w:rsidR="002C4910" w:rsidRPr="00EA2597">
        <w:rPr>
          <w:rFonts w:ascii="Times New Roman" w:hAnsi="Times New Roman" w:cs="Times New Roman"/>
          <w:bCs/>
          <w:sz w:val="24"/>
          <w:szCs w:val="24"/>
        </w:rPr>
        <w:t>м</w:t>
      </w:r>
      <w:r w:rsidR="00425F8B" w:rsidRPr="00EA2597">
        <w:rPr>
          <w:rFonts w:ascii="Times New Roman" w:hAnsi="Times New Roman" w:cs="Times New Roman"/>
          <w:bCs/>
          <w:sz w:val="24"/>
          <w:szCs w:val="24"/>
        </w:rPr>
        <w:t xml:space="preserve">: </w:t>
      </w:r>
    </w:p>
    <w:p w14:paraId="73842A92" w14:textId="77777777" w:rsidR="00371120" w:rsidRPr="00371120" w:rsidRDefault="00425F8B" w:rsidP="00441380">
      <w:pPr>
        <w:pStyle w:val="a3"/>
        <w:numPr>
          <w:ilvl w:val="0"/>
          <w:numId w:val="57"/>
        </w:numPr>
        <w:spacing w:line="240" w:lineRule="auto"/>
        <w:jc w:val="both"/>
        <w:rPr>
          <w:rFonts w:ascii="Times New Roman" w:hAnsi="Times New Roman"/>
          <w:color w:val="262626"/>
          <w:sz w:val="24"/>
          <w:szCs w:val="24"/>
        </w:rPr>
      </w:pPr>
      <w:r w:rsidRPr="00371120">
        <w:rPr>
          <w:rFonts w:ascii="Times New Roman" w:hAnsi="Times New Roman"/>
          <w:color w:val="262626"/>
          <w:sz w:val="24"/>
          <w:szCs w:val="24"/>
        </w:rPr>
        <w:t>развитие управленческой культуры</w:t>
      </w:r>
      <w:r w:rsidR="00371120">
        <w:rPr>
          <w:rFonts w:ascii="Times New Roman" w:hAnsi="Times New Roman"/>
          <w:color w:val="262626"/>
          <w:sz w:val="24"/>
          <w:szCs w:val="24"/>
        </w:rPr>
        <w:t>;</w:t>
      </w:r>
      <w:r w:rsidRPr="00371120">
        <w:rPr>
          <w:rFonts w:ascii="Times New Roman" w:hAnsi="Times New Roman"/>
          <w:color w:val="262626"/>
          <w:sz w:val="24"/>
          <w:szCs w:val="24"/>
        </w:rPr>
        <w:t xml:space="preserve"> </w:t>
      </w:r>
    </w:p>
    <w:p w14:paraId="30620618" w14:textId="77777777" w:rsidR="00371120" w:rsidRPr="00371120" w:rsidRDefault="00425F8B" w:rsidP="00441380">
      <w:pPr>
        <w:pStyle w:val="a3"/>
        <w:numPr>
          <w:ilvl w:val="0"/>
          <w:numId w:val="57"/>
        </w:numPr>
        <w:spacing w:line="240" w:lineRule="auto"/>
        <w:jc w:val="both"/>
        <w:rPr>
          <w:rFonts w:ascii="Times New Roman" w:hAnsi="Times New Roman"/>
          <w:color w:val="262626"/>
          <w:sz w:val="24"/>
          <w:szCs w:val="24"/>
        </w:rPr>
      </w:pPr>
      <w:r w:rsidRPr="00371120">
        <w:rPr>
          <w:rFonts w:ascii="Times New Roman" w:hAnsi="Times New Roman"/>
          <w:color w:val="262626"/>
          <w:sz w:val="24"/>
          <w:szCs w:val="24"/>
        </w:rPr>
        <w:t>развитие культуры преемственности знаний и опыта</w:t>
      </w:r>
      <w:r w:rsidR="00371120">
        <w:rPr>
          <w:rFonts w:ascii="Times New Roman" w:hAnsi="Times New Roman"/>
          <w:color w:val="262626"/>
          <w:sz w:val="24"/>
          <w:szCs w:val="24"/>
        </w:rPr>
        <w:t>;</w:t>
      </w:r>
      <w:r w:rsidRPr="00371120">
        <w:rPr>
          <w:rFonts w:ascii="Times New Roman" w:hAnsi="Times New Roman"/>
          <w:color w:val="262626"/>
          <w:sz w:val="24"/>
          <w:szCs w:val="24"/>
        </w:rPr>
        <w:t xml:space="preserve"> </w:t>
      </w:r>
    </w:p>
    <w:p w14:paraId="3B90A5A7" w14:textId="77777777" w:rsidR="00371120" w:rsidRPr="00371120" w:rsidRDefault="00425F8B" w:rsidP="00441380">
      <w:pPr>
        <w:pStyle w:val="a3"/>
        <w:numPr>
          <w:ilvl w:val="0"/>
          <w:numId w:val="57"/>
        </w:numPr>
        <w:spacing w:line="240" w:lineRule="auto"/>
        <w:jc w:val="both"/>
        <w:rPr>
          <w:rFonts w:ascii="Times New Roman" w:hAnsi="Times New Roman"/>
          <w:color w:val="262626"/>
          <w:sz w:val="24"/>
          <w:szCs w:val="24"/>
        </w:rPr>
      </w:pPr>
      <w:r w:rsidRPr="00371120">
        <w:rPr>
          <w:rFonts w:ascii="Times New Roman" w:hAnsi="Times New Roman"/>
          <w:color w:val="262626"/>
          <w:sz w:val="24"/>
          <w:szCs w:val="24"/>
        </w:rPr>
        <w:t xml:space="preserve">поддержка бизнеса для реализации инновационных задач в соответствии с мировыми трендами. </w:t>
      </w:r>
    </w:p>
    <w:p w14:paraId="415150B7" w14:textId="77777777" w:rsidR="00425F8B" w:rsidRPr="006F6B98" w:rsidRDefault="00371120" w:rsidP="00EA2597">
      <w:pPr>
        <w:spacing w:line="240" w:lineRule="auto"/>
        <w:ind w:firstLine="567"/>
        <w:jc w:val="both"/>
        <w:rPr>
          <w:rFonts w:ascii="Times New Roman" w:hAnsi="Times New Roman"/>
          <w:color w:val="262626"/>
          <w:sz w:val="24"/>
          <w:szCs w:val="24"/>
        </w:rPr>
      </w:pPr>
      <w:r>
        <w:rPr>
          <w:rFonts w:ascii="Times New Roman" w:hAnsi="Times New Roman"/>
          <w:color w:val="262626"/>
          <w:sz w:val="24"/>
          <w:szCs w:val="24"/>
        </w:rPr>
        <w:t xml:space="preserve">      </w:t>
      </w:r>
      <w:r w:rsidR="00425F8B" w:rsidRPr="00EA2597">
        <w:rPr>
          <w:rFonts w:ascii="Times New Roman" w:hAnsi="Times New Roman" w:cs="Times New Roman"/>
          <w:bCs/>
          <w:sz w:val="24"/>
          <w:szCs w:val="24"/>
        </w:rPr>
        <w:t>Традиционно Банк инвестирует значительные средства в обучение и развитие работников для повышения их профессионального уровня и развития компетенций.</w:t>
      </w:r>
      <w:r w:rsidRPr="00EA2597">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t xml:space="preserve">Система обучения и развития работников Банка включает образовательные программы и инструменты для самообучения (в.т.ч. на рабочем месте). Система обучения работников Банка современна и технологична, что дает дополнительные возможности работникам </w:t>
      </w:r>
      <w:r w:rsidR="00425F8B" w:rsidRPr="00EA2597">
        <w:rPr>
          <w:rFonts w:ascii="Times New Roman" w:hAnsi="Times New Roman" w:cs="Times New Roman"/>
          <w:bCs/>
          <w:sz w:val="24"/>
          <w:szCs w:val="24"/>
        </w:rPr>
        <w:lastRenderedPageBreak/>
        <w:t xml:space="preserve">Банка для их самообучения. В 2016 году 281 работник Банка прошел обучение (часть работников в течение года прошли обучение по нескольким программам). В среднем работники Банка получили 3 тренинг-дня обучения в год. Всеми работниками Банка было пройдено 9 обязательных (ПОД ФТ, </w:t>
      </w:r>
      <w:r w:rsidRPr="00EA2597">
        <w:rPr>
          <w:rFonts w:ascii="Times New Roman" w:hAnsi="Times New Roman" w:cs="Times New Roman"/>
          <w:bCs/>
          <w:sz w:val="24"/>
          <w:szCs w:val="24"/>
        </w:rPr>
        <w:t>о</w:t>
      </w:r>
      <w:r w:rsidR="00425F8B" w:rsidRPr="00EA2597">
        <w:rPr>
          <w:rFonts w:ascii="Times New Roman" w:hAnsi="Times New Roman" w:cs="Times New Roman"/>
          <w:bCs/>
          <w:sz w:val="24"/>
          <w:szCs w:val="24"/>
        </w:rPr>
        <w:t xml:space="preserve">перационные риски, </w:t>
      </w:r>
      <w:r w:rsidRPr="00EA2597">
        <w:rPr>
          <w:rFonts w:ascii="Times New Roman" w:hAnsi="Times New Roman" w:cs="Times New Roman"/>
          <w:bCs/>
          <w:sz w:val="24"/>
          <w:szCs w:val="24"/>
        </w:rPr>
        <w:t>о</w:t>
      </w:r>
      <w:r w:rsidR="00425F8B" w:rsidRPr="00EA2597">
        <w:rPr>
          <w:rFonts w:ascii="Times New Roman" w:hAnsi="Times New Roman" w:cs="Times New Roman"/>
          <w:bCs/>
          <w:sz w:val="24"/>
          <w:szCs w:val="24"/>
        </w:rPr>
        <w:t>беспечение непрерывности и пр.) электронных курсов. Большинство работников Банка прошли 7 развивающих электронных курсов. В среднем один работник Банка проходит 9 электронных курсов в год.</w:t>
      </w:r>
    </w:p>
    <w:p w14:paraId="6792642E" w14:textId="794EC00F" w:rsidR="00425F8B"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color w:val="262626"/>
          <w:sz w:val="24"/>
          <w:szCs w:val="24"/>
        </w:rPr>
        <w:t xml:space="preserve">     </w:t>
      </w:r>
      <w:r w:rsidR="009D56B5">
        <w:rPr>
          <w:rFonts w:ascii="Times New Roman" w:hAnsi="Times New Roman" w:cs="Times New Roman"/>
          <w:bCs/>
          <w:sz w:val="24"/>
          <w:szCs w:val="24"/>
        </w:rPr>
        <w:t>НКЦ</w:t>
      </w:r>
      <w:r w:rsidR="00425F8B" w:rsidRPr="00EA2597">
        <w:rPr>
          <w:rFonts w:ascii="Times New Roman" w:hAnsi="Times New Roman" w:cs="Times New Roman"/>
          <w:bCs/>
          <w:sz w:val="24"/>
          <w:szCs w:val="24"/>
        </w:rPr>
        <w:t xml:space="preserve"> уделяет внимание внедрению программ по развитию компетенций, лидерских навыков и навыков проектного управления, необходимым для реализации стратегических проектов</w:t>
      </w:r>
      <w:r w:rsidR="009D56B5">
        <w:rPr>
          <w:rFonts w:ascii="Times New Roman" w:hAnsi="Times New Roman" w:cs="Times New Roman"/>
          <w:bCs/>
          <w:sz w:val="24"/>
          <w:szCs w:val="24"/>
        </w:rPr>
        <w:t xml:space="preserve"> Группы. </w:t>
      </w:r>
      <w:r w:rsidR="00425F8B" w:rsidRPr="00EA2597">
        <w:rPr>
          <w:rFonts w:ascii="Times New Roman" w:hAnsi="Times New Roman" w:cs="Times New Roman"/>
          <w:bCs/>
          <w:sz w:val="24"/>
          <w:szCs w:val="24"/>
        </w:rPr>
        <w:t xml:space="preserve"> В 2016 году в </w:t>
      </w:r>
      <w:r w:rsidR="00633C55">
        <w:rPr>
          <w:rFonts w:ascii="Times New Roman" w:hAnsi="Times New Roman" w:cs="Times New Roman"/>
          <w:bCs/>
          <w:sz w:val="24"/>
          <w:szCs w:val="24"/>
        </w:rPr>
        <w:t>Группе</w:t>
      </w:r>
      <w:r w:rsidR="00425F8B" w:rsidRPr="00EA2597">
        <w:rPr>
          <w:rFonts w:ascii="Times New Roman" w:hAnsi="Times New Roman" w:cs="Times New Roman"/>
          <w:bCs/>
          <w:sz w:val="24"/>
          <w:szCs w:val="24"/>
        </w:rPr>
        <w:t xml:space="preserve"> создан Корпоративный университет, который включает в себя три ключевых факультета: «Факультет менеджмента», «Профессиональный факультет» и «Проектный факультет (MOEX Business University)». 6 работников Банка прошли обучение по двухгодичной программе «MOEX Business University», а в первом квартале 2017 года планируется выпуск и защита итоговых проектов по данной программе. </w:t>
      </w:r>
    </w:p>
    <w:p w14:paraId="761A2188" w14:textId="77777777" w:rsidR="00425F8B" w:rsidRPr="006E1A06" w:rsidRDefault="00371120" w:rsidP="00EA2597">
      <w:pPr>
        <w:spacing w:line="240" w:lineRule="auto"/>
        <w:ind w:firstLine="567"/>
        <w:jc w:val="both"/>
        <w:rPr>
          <w:rFonts w:ascii="Times New Roman" w:hAnsi="Times New Roman"/>
          <w:color w:val="262626"/>
          <w:sz w:val="24"/>
          <w:szCs w:val="24"/>
        </w:rPr>
      </w:pPr>
      <w:r>
        <w:rPr>
          <w:rFonts w:ascii="Times New Roman" w:hAnsi="Times New Roman"/>
          <w:color w:val="262626"/>
          <w:sz w:val="24"/>
          <w:szCs w:val="24"/>
        </w:rPr>
        <w:t xml:space="preserve">     </w:t>
      </w:r>
      <w:r w:rsidR="00425F8B" w:rsidRPr="00EA2597">
        <w:rPr>
          <w:rFonts w:ascii="Times New Roman" w:hAnsi="Times New Roman" w:cs="Times New Roman"/>
          <w:bCs/>
          <w:sz w:val="24"/>
          <w:szCs w:val="24"/>
        </w:rPr>
        <w:t>В 2016 году 6 работников (из них</w:t>
      </w:r>
      <w:r w:rsidRPr="00EA2597">
        <w:rPr>
          <w:rFonts w:ascii="Times New Roman" w:hAnsi="Times New Roman" w:cs="Times New Roman"/>
          <w:bCs/>
          <w:sz w:val="24"/>
          <w:szCs w:val="24"/>
        </w:rPr>
        <w:t>:</w:t>
      </w:r>
      <w:r w:rsidR="00425F8B" w:rsidRPr="00EA2597">
        <w:rPr>
          <w:rFonts w:ascii="Times New Roman" w:hAnsi="Times New Roman" w:cs="Times New Roman"/>
          <w:bCs/>
          <w:sz w:val="24"/>
          <w:szCs w:val="24"/>
        </w:rPr>
        <w:t xml:space="preserve"> 1 руководитель среднего звена, 3 линейных руководителя и 2 работника кадрового резерва), стали выпускниками годовой программы «Факультет менеджмента», направленной на развитие менеджерских навыков, освоение новых подходов и методов управления, формирование культуры управления.</w:t>
      </w:r>
      <w:r w:rsidR="00425F8B" w:rsidRPr="006E1A06">
        <w:rPr>
          <w:rFonts w:ascii="Times New Roman" w:hAnsi="Times New Roman"/>
          <w:color w:val="262626"/>
          <w:sz w:val="24"/>
          <w:szCs w:val="24"/>
        </w:rPr>
        <w:t xml:space="preserve"> </w:t>
      </w:r>
    </w:p>
    <w:p w14:paraId="63856307" w14:textId="61D2AE53" w:rsidR="00425F8B"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color w:val="262626"/>
          <w:sz w:val="24"/>
          <w:szCs w:val="24"/>
        </w:rPr>
        <w:t xml:space="preserve">     </w:t>
      </w:r>
      <w:r w:rsidR="00425F8B" w:rsidRPr="00EA2597">
        <w:rPr>
          <w:rFonts w:ascii="Times New Roman" w:hAnsi="Times New Roman" w:cs="Times New Roman"/>
          <w:bCs/>
          <w:sz w:val="24"/>
          <w:szCs w:val="24"/>
        </w:rPr>
        <w:t>Развитие руководителей высшего звена в 2016 году осуществлялось в рамках корпоративной программы Advanced Management Program</w:t>
      </w:r>
      <w:bookmarkStart w:id="16" w:name="_GoBack"/>
      <w:bookmarkEnd w:id="16"/>
      <w:r w:rsidR="00425F8B" w:rsidRPr="00EA2597">
        <w:rPr>
          <w:rFonts w:ascii="Times New Roman" w:hAnsi="Times New Roman" w:cs="Times New Roman"/>
          <w:bCs/>
          <w:sz w:val="24"/>
          <w:szCs w:val="24"/>
        </w:rPr>
        <w:t>, в рамках которой 3 руководителя высшего звена прошли обучение по программам ряда ведущих профессоров из крупных российских и зарубежных бизнес-школ. 5 работников Банка прошли стажировку на Испанской Бирже (BME Group) и обучение по инновационным технологиям работы с клиентом в Испанской бизнес-школе ESADE.</w:t>
      </w:r>
    </w:p>
    <w:p w14:paraId="0F34F0DE" w14:textId="524FE6A3" w:rsidR="00425F8B" w:rsidRPr="00CB0F9F" w:rsidRDefault="00371120" w:rsidP="00EA2597">
      <w:pPr>
        <w:spacing w:line="240" w:lineRule="auto"/>
        <w:ind w:firstLine="567"/>
        <w:jc w:val="both"/>
        <w:rPr>
          <w:rFonts w:ascii="Times New Roman" w:hAnsi="Times New Roman"/>
          <w:iCs/>
          <w:color w:val="000000"/>
          <w:sz w:val="24"/>
          <w:szCs w:val="24"/>
        </w:rPr>
      </w:pPr>
      <w:r>
        <w:rPr>
          <w:rFonts w:ascii="Times New Roman" w:hAnsi="Times New Roman"/>
          <w:iCs/>
          <w:sz w:val="24"/>
          <w:szCs w:val="24"/>
        </w:rPr>
        <w:t xml:space="preserve">     </w:t>
      </w:r>
      <w:r w:rsidR="00425F8B" w:rsidRPr="00EA2597">
        <w:rPr>
          <w:rFonts w:ascii="Times New Roman" w:hAnsi="Times New Roman" w:cs="Times New Roman"/>
          <w:bCs/>
          <w:sz w:val="24"/>
          <w:szCs w:val="24"/>
        </w:rPr>
        <w:t xml:space="preserve">Система обучения и развития </w:t>
      </w:r>
      <w:r w:rsidR="00633C55">
        <w:rPr>
          <w:rFonts w:ascii="Times New Roman" w:hAnsi="Times New Roman" w:cs="Times New Roman"/>
          <w:bCs/>
          <w:sz w:val="24"/>
          <w:szCs w:val="24"/>
        </w:rPr>
        <w:t>НКЦ</w:t>
      </w:r>
      <w:r w:rsidR="00425F8B" w:rsidRPr="00EA2597">
        <w:rPr>
          <w:rFonts w:ascii="Times New Roman" w:hAnsi="Times New Roman" w:cs="Times New Roman"/>
          <w:bCs/>
          <w:sz w:val="24"/>
          <w:szCs w:val="24"/>
        </w:rPr>
        <w:t xml:space="preserve"> также направлена на усиление кадрового потенциала </w:t>
      </w:r>
      <w:r w:rsidR="00633C55">
        <w:rPr>
          <w:rFonts w:ascii="Times New Roman" w:hAnsi="Times New Roman" w:cs="Times New Roman"/>
          <w:bCs/>
          <w:sz w:val="24"/>
          <w:szCs w:val="24"/>
        </w:rPr>
        <w:t xml:space="preserve">его </w:t>
      </w:r>
      <w:r w:rsidR="00425F8B" w:rsidRPr="00EA2597">
        <w:rPr>
          <w:rFonts w:ascii="Times New Roman" w:hAnsi="Times New Roman" w:cs="Times New Roman"/>
          <w:bCs/>
          <w:sz w:val="24"/>
          <w:szCs w:val="24"/>
        </w:rPr>
        <w:t xml:space="preserve">работников. Для реализации данной задачи в 2016 году осуществлен запуск программы планирования преемственности. По программе соответствующим органом управления Банка был утвержден пул преемников на ключевые позиции </w:t>
      </w:r>
      <w:r w:rsidR="00633C55">
        <w:rPr>
          <w:rFonts w:ascii="Times New Roman" w:hAnsi="Times New Roman" w:cs="Times New Roman"/>
          <w:bCs/>
          <w:sz w:val="24"/>
          <w:szCs w:val="24"/>
        </w:rPr>
        <w:t>организации</w:t>
      </w:r>
      <w:r w:rsidR="00425F8B" w:rsidRPr="00EA2597">
        <w:rPr>
          <w:rFonts w:ascii="Times New Roman" w:hAnsi="Times New Roman" w:cs="Times New Roman"/>
          <w:bCs/>
          <w:sz w:val="24"/>
          <w:szCs w:val="24"/>
        </w:rPr>
        <w:t xml:space="preserve"> и утверждены индивидуальные планы их развития на два ближайших года.</w:t>
      </w:r>
    </w:p>
    <w:p w14:paraId="7D0928A5" w14:textId="4AD7AE09" w:rsidR="00425F8B"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color w:val="262626"/>
          <w:sz w:val="24"/>
          <w:szCs w:val="24"/>
        </w:rPr>
        <w:t xml:space="preserve">      </w:t>
      </w:r>
      <w:r w:rsidR="00425F8B" w:rsidRPr="00EA2597">
        <w:rPr>
          <w:rFonts w:ascii="Times New Roman" w:hAnsi="Times New Roman" w:cs="Times New Roman"/>
          <w:bCs/>
          <w:sz w:val="24"/>
          <w:szCs w:val="24"/>
        </w:rPr>
        <w:t xml:space="preserve">В 2017 году планируется обновление модели компетенций и гида развивающих действий, которые руководители компаний банковского холдинга будут применять для планирования мероприятий по развитию работников. Более того, на 2017 год запланирован запуск института внутренних тренеров, который позволит проводить обучение работников посредством использования внутренних ресурсов - имеющегося профессионального и управленческого опыта работников компаний </w:t>
      </w:r>
      <w:r w:rsidR="005042C3">
        <w:rPr>
          <w:rFonts w:ascii="Times New Roman" w:hAnsi="Times New Roman" w:cs="Times New Roman"/>
          <w:bCs/>
          <w:sz w:val="24"/>
          <w:szCs w:val="24"/>
        </w:rPr>
        <w:t>Группы</w:t>
      </w:r>
      <w:r w:rsidR="00425F8B" w:rsidRPr="00EA2597">
        <w:rPr>
          <w:rFonts w:ascii="Times New Roman" w:hAnsi="Times New Roman" w:cs="Times New Roman"/>
          <w:bCs/>
          <w:sz w:val="24"/>
          <w:szCs w:val="24"/>
        </w:rPr>
        <w:t>.</w:t>
      </w:r>
    </w:p>
    <w:p w14:paraId="63694464" w14:textId="77777777" w:rsidR="00425F8B" w:rsidRPr="0033418A" w:rsidRDefault="00425F8B" w:rsidP="00D0435F">
      <w:pPr>
        <w:spacing w:line="240" w:lineRule="auto"/>
        <w:jc w:val="both"/>
        <w:rPr>
          <w:rFonts w:ascii="Times New Roman" w:hAnsi="Times New Roman"/>
          <w:b/>
          <w:i/>
          <w:iCs/>
          <w:sz w:val="24"/>
          <w:szCs w:val="24"/>
        </w:rPr>
      </w:pPr>
    </w:p>
    <w:p w14:paraId="5871934F" w14:textId="77777777" w:rsidR="00425F8B" w:rsidRPr="00425F8B" w:rsidRDefault="00425F8B" w:rsidP="00D0435F">
      <w:pPr>
        <w:spacing w:line="240" w:lineRule="auto"/>
        <w:jc w:val="center"/>
        <w:rPr>
          <w:rFonts w:ascii="Times New Roman" w:hAnsi="Times New Roman"/>
          <w:b/>
          <w:i/>
          <w:sz w:val="24"/>
          <w:szCs w:val="24"/>
        </w:rPr>
      </w:pPr>
      <w:r w:rsidRPr="00425F8B">
        <w:rPr>
          <w:rFonts w:ascii="Times New Roman" w:hAnsi="Times New Roman"/>
          <w:b/>
          <w:i/>
          <w:sz w:val="24"/>
          <w:szCs w:val="24"/>
        </w:rPr>
        <w:t>Охрана здоровья работников Банка и обеспечение безопасности труда</w:t>
      </w:r>
    </w:p>
    <w:p w14:paraId="182D1585" w14:textId="59EF28E6" w:rsidR="00425F8B" w:rsidRPr="007601C2" w:rsidRDefault="00371120" w:rsidP="00EA2597">
      <w:pPr>
        <w:spacing w:line="240" w:lineRule="auto"/>
        <w:ind w:firstLine="567"/>
        <w:jc w:val="both"/>
        <w:rPr>
          <w:rFonts w:ascii="Times New Roman" w:hAnsi="Times New Roman"/>
          <w:sz w:val="24"/>
          <w:szCs w:val="24"/>
        </w:rPr>
      </w:pPr>
      <w:r>
        <w:rPr>
          <w:rFonts w:ascii="Times" w:hAnsi="Times"/>
          <w:sz w:val="28"/>
          <w:szCs w:val="28"/>
        </w:rPr>
        <w:t xml:space="preserve">     </w:t>
      </w:r>
      <w:r w:rsidR="00425F8B" w:rsidRPr="00E50A6C">
        <w:rPr>
          <w:rFonts w:ascii="Times New Roman" w:hAnsi="Times New Roman" w:cs="Times New Roman"/>
          <w:sz w:val="24"/>
          <w:szCs w:val="24"/>
        </w:rPr>
        <w:t xml:space="preserve">Ответственное отношение к безопасности труда — один из основных принципов работы Банка в области охраны здоровья и безопасности труда </w:t>
      </w:r>
      <w:r w:rsidRPr="00E50A6C">
        <w:rPr>
          <w:rFonts w:ascii="Times New Roman" w:hAnsi="Times New Roman" w:cs="Times New Roman"/>
          <w:sz w:val="24"/>
          <w:szCs w:val="24"/>
        </w:rPr>
        <w:t xml:space="preserve">его </w:t>
      </w:r>
      <w:r w:rsidR="00425F8B" w:rsidRPr="00E50A6C">
        <w:rPr>
          <w:rFonts w:ascii="Times New Roman" w:hAnsi="Times New Roman" w:cs="Times New Roman"/>
          <w:sz w:val="24"/>
          <w:szCs w:val="24"/>
        </w:rPr>
        <w:t xml:space="preserve">работников. В число основных мероприятий по охране труда и здоровья работников </w:t>
      </w:r>
      <w:r w:rsidRPr="00E50A6C">
        <w:rPr>
          <w:rFonts w:ascii="Times New Roman" w:hAnsi="Times New Roman" w:cs="Times New Roman"/>
          <w:sz w:val="24"/>
          <w:szCs w:val="24"/>
        </w:rPr>
        <w:t>НКЦ</w:t>
      </w:r>
      <w:r w:rsidR="00425F8B" w:rsidRPr="00E50A6C">
        <w:rPr>
          <w:rFonts w:ascii="Times New Roman" w:hAnsi="Times New Roman" w:cs="Times New Roman"/>
          <w:sz w:val="24"/>
          <w:szCs w:val="24"/>
        </w:rPr>
        <w:t xml:space="preserve"> входят организация безопасных условий труда, регулярные медицинские осмотры, обучение персонала по вопросам охраны труда, формирование культуры заботы о своем здоровье. В Банке организованы инструктажи по охране труда (для новых работников, первичные, повторные, внеплановые инструктажи на рабочем месте), имеются все виды инструкций по охране труда и пожарной безопасности, с которыми работники могут ознакомиться в любое время на доступном им ресурсе. Работники </w:t>
      </w:r>
      <w:r w:rsidR="005718A8">
        <w:rPr>
          <w:rFonts w:ascii="Times New Roman" w:hAnsi="Times New Roman" w:cs="Times New Roman"/>
          <w:sz w:val="24"/>
          <w:szCs w:val="24"/>
        </w:rPr>
        <w:t xml:space="preserve">НКЦ </w:t>
      </w:r>
      <w:r w:rsidR="00425F8B" w:rsidRPr="00E50A6C">
        <w:rPr>
          <w:rFonts w:ascii="Times New Roman" w:hAnsi="Times New Roman" w:cs="Times New Roman"/>
          <w:sz w:val="24"/>
          <w:szCs w:val="24"/>
        </w:rPr>
        <w:t xml:space="preserve">могут проходить дистанционное обучение по </w:t>
      </w:r>
      <w:r w:rsidR="00425F8B" w:rsidRPr="00E50A6C">
        <w:rPr>
          <w:rFonts w:ascii="Times New Roman" w:hAnsi="Times New Roman" w:cs="Times New Roman"/>
          <w:sz w:val="24"/>
          <w:szCs w:val="24"/>
        </w:rPr>
        <w:lastRenderedPageBreak/>
        <w:t>охране труда. Сформирована и постоянно обновляется подборка статей на разные темы о здоровье и важности здорового образа жизни.</w:t>
      </w:r>
      <w:r w:rsidR="00425F8B">
        <w:rPr>
          <w:rFonts w:ascii="Times New Roman" w:hAnsi="Times New Roman"/>
          <w:sz w:val="24"/>
          <w:szCs w:val="24"/>
        </w:rPr>
        <w:t xml:space="preserve"> </w:t>
      </w:r>
    </w:p>
    <w:p w14:paraId="149F3E4D" w14:textId="1156C84D" w:rsidR="00425F8B" w:rsidRPr="00EA2597" w:rsidRDefault="00371120" w:rsidP="00EA2597">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       </w:t>
      </w:r>
      <w:r w:rsidR="00425F8B" w:rsidRPr="00EA2597">
        <w:rPr>
          <w:rFonts w:ascii="Times New Roman" w:hAnsi="Times New Roman" w:cs="Times New Roman"/>
          <w:bCs/>
          <w:sz w:val="24"/>
          <w:szCs w:val="24"/>
        </w:rPr>
        <w:t xml:space="preserve">В 2016 году на базе специализированного учебного центра для 6 руководителей Банка было организовано обучение по охране труда. По итогам данного обучения </w:t>
      </w:r>
      <w:r w:rsidR="005718A8">
        <w:rPr>
          <w:rFonts w:ascii="Times New Roman" w:hAnsi="Times New Roman" w:cs="Times New Roman"/>
          <w:bCs/>
          <w:sz w:val="24"/>
          <w:szCs w:val="24"/>
        </w:rPr>
        <w:t>эти</w:t>
      </w:r>
      <w:r w:rsidR="00425F8B" w:rsidRPr="00EA2597">
        <w:rPr>
          <w:rFonts w:ascii="Times New Roman" w:hAnsi="Times New Roman" w:cs="Times New Roman"/>
          <w:bCs/>
          <w:sz w:val="24"/>
          <w:szCs w:val="24"/>
        </w:rPr>
        <w:t xml:space="preserve"> руководители успешно прошли проверку знаний требований охраны труда. По результатам СОУТ все рабочие места работников Банка соответствуют государственным нормативным требованиям, с классом условий труда 2 – допустимый (вредные и опасные факторы отсутствуют). В государственную инспекцию по труду в 2016 г. были поданы декларации соответствия условий труда государственным нормативным требованиям за 2014-2016 гг. Все рабочие места задекларированы. </w:t>
      </w:r>
    </w:p>
    <w:p w14:paraId="0F240BD3" w14:textId="61678BE2" w:rsidR="00425F8B" w:rsidRPr="00EA2597" w:rsidRDefault="00425F8B" w:rsidP="005718A8">
      <w:pPr>
        <w:spacing w:after="0" w:line="240" w:lineRule="auto"/>
        <w:jc w:val="both"/>
        <w:rPr>
          <w:rFonts w:ascii="Times New Roman" w:hAnsi="Times New Roman" w:cs="Times New Roman"/>
          <w:bCs/>
          <w:sz w:val="24"/>
          <w:szCs w:val="24"/>
        </w:rPr>
      </w:pPr>
      <w:r w:rsidRPr="007601C2">
        <w:rPr>
          <w:rFonts w:ascii="Times New Roman" w:hAnsi="Times New Roman"/>
          <w:sz w:val="24"/>
          <w:szCs w:val="24"/>
        </w:rPr>
        <w:tab/>
      </w:r>
      <w:r w:rsidR="00371120">
        <w:rPr>
          <w:rFonts w:ascii="Times New Roman" w:hAnsi="Times New Roman"/>
          <w:sz w:val="24"/>
          <w:szCs w:val="24"/>
        </w:rPr>
        <w:t xml:space="preserve">     </w:t>
      </w:r>
      <w:r w:rsidRPr="00EA2597">
        <w:rPr>
          <w:rFonts w:ascii="Times New Roman" w:hAnsi="Times New Roman" w:cs="Times New Roman"/>
          <w:bCs/>
          <w:sz w:val="24"/>
          <w:szCs w:val="24"/>
        </w:rPr>
        <w:t xml:space="preserve">В Банке </w:t>
      </w:r>
      <w:r w:rsidR="003B0680" w:rsidRPr="00EA2597">
        <w:rPr>
          <w:rFonts w:ascii="Times New Roman" w:hAnsi="Times New Roman" w:cs="Times New Roman"/>
          <w:bCs/>
          <w:sz w:val="24"/>
          <w:szCs w:val="24"/>
        </w:rPr>
        <w:t>осуществляется</w:t>
      </w:r>
      <w:r w:rsidRPr="00EA2597">
        <w:rPr>
          <w:rFonts w:ascii="Times New Roman" w:hAnsi="Times New Roman" w:cs="Times New Roman"/>
          <w:bCs/>
          <w:sz w:val="24"/>
          <w:szCs w:val="24"/>
        </w:rPr>
        <w:t xml:space="preserve"> контроль за соблюдением санитарно-противоэпидемических </w:t>
      </w:r>
      <w:r w:rsidR="003B0680" w:rsidRPr="00EA2597">
        <w:rPr>
          <w:rFonts w:ascii="Times New Roman" w:hAnsi="Times New Roman" w:cs="Times New Roman"/>
          <w:bCs/>
          <w:sz w:val="24"/>
          <w:szCs w:val="24"/>
        </w:rPr>
        <w:t xml:space="preserve">норм </w:t>
      </w:r>
      <w:r w:rsidRPr="00EA2597">
        <w:rPr>
          <w:rFonts w:ascii="Times New Roman" w:hAnsi="Times New Roman" w:cs="Times New Roman"/>
          <w:bCs/>
          <w:sz w:val="24"/>
          <w:szCs w:val="24"/>
        </w:rPr>
        <w:t>и</w:t>
      </w:r>
      <w:r w:rsidR="003B0680" w:rsidRPr="00EA2597">
        <w:rPr>
          <w:rFonts w:ascii="Times New Roman" w:hAnsi="Times New Roman" w:cs="Times New Roman"/>
          <w:bCs/>
          <w:sz w:val="24"/>
          <w:szCs w:val="24"/>
        </w:rPr>
        <w:t xml:space="preserve"> проведением </w:t>
      </w:r>
      <w:r w:rsidRPr="00EA2597">
        <w:rPr>
          <w:rFonts w:ascii="Times New Roman" w:hAnsi="Times New Roman" w:cs="Times New Roman"/>
          <w:bCs/>
          <w:sz w:val="24"/>
          <w:szCs w:val="24"/>
        </w:rPr>
        <w:t>профилактических мероприятий. В период эпидемии гриппа и ОРВИ (в начале 2016 года) работники обеспечивались антисептическими средствами и медицинскими масками. Был</w:t>
      </w:r>
      <w:r w:rsidR="003B0680" w:rsidRPr="00EA2597">
        <w:rPr>
          <w:rFonts w:ascii="Times New Roman" w:hAnsi="Times New Roman" w:cs="Times New Roman"/>
          <w:bCs/>
          <w:sz w:val="24"/>
          <w:szCs w:val="24"/>
        </w:rPr>
        <w:t>о</w:t>
      </w:r>
      <w:r w:rsidRPr="00EA2597">
        <w:rPr>
          <w:rFonts w:ascii="Times New Roman" w:hAnsi="Times New Roman" w:cs="Times New Roman"/>
          <w:bCs/>
          <w:sz w:val="24"/>
          <w:szCs w:val="24"/>
        </w:rPr>
        <w:t xml:space="preserve"> закуплен</w:t>
      </w:r>
      <w:r w:rsidR="003B0680" w:rsidRPr="00EA2597">
        <w:rPr>
          <w:rFonts w:ascii="Times New Roman" w:hAnsi="Times New Roman" w:cs="Times New Roman"/>
          <w:bCs/>
          <w:sz w:val="24"/>
          <w:szCs w:val="24"/>
        </w:rPr>
        <w:t>о</w:t>
      </w:r>
      <w:r w:rsidRPr="00EA2597">
        <w:rPr>
          <w:rFonts w:ascii="Times New Roman" w:hAnsi="Times New Roman" w:cs="Times New Roman"/>
          <w:bCs/>
          <w:sz w:val="24"/>
          <w:szCs w:val="24"/>
        </w:rPr>
        <w:t xml:space="preserve"> и установлен</w:t>
      </w:r>
      <w:r w:rsidR="003B0680" w:rsidRPr="00EA2597">
        <w:rPr>
          <w:rFonts w:ascii="Times New Roman" w:hAnsi="Times New Roman" w:cs="Times New Roman"/>
          <w:bCs/>
          <w:sz w:val="24"/>
          <w:szCs w:val="24"/>
        </w:rPr>
        <w:t>о</w:t>
      </w:r>
      <w:r w:rsidRPr="00EA2597">
        <w:rPr>
          <w:rFonts w:ascii="Times New Roman" w:hAnsi="Times New Roman" w:cs="Times New Roman"/>
          <w:bCs/>
          <w:sz w:val="24"/>
          <w:szCs w:val="24"/>
        </w:rPr>
        <w:t xml:space="preserve"> в местах общего пользования (столовая, переговорные и т.д.) </w:t>
      </w:r>
      <w:r w:rsidR="003B0680" w:rsidRPr="00EA2597">
        <w:rPr>
          <w:rFonts w:ascii="Times New Roman" w:hAnsi="Times New Roman" w:cs="Times New Roman"/>
          <w:bCs/>
          <w:sz w:val="24"/>
          <w:szCs w:val="24"/>
        </w:rPr>
        <w:t>спецоборудование для дезинфекции</w:t>
      </w:r>
      <w:r w:rsidR="005718A8">
        <w:rPr>
          <w:rFonts w:ascii="Times New Roman" w:hAnsi="Times New Roman" w:cs="Times New Roman"/>
          <w:bCs/>
          <w:sz w:val="24"/>
          <w:szCs w:val="24"/>
        </w:rPr>
        <w:t>.</w:t>
      </w:r>
      <w:r w:rsidRPr="00EA2597">
        <w:rPr>
          <w:rFonts w:ascii="Times New Roman" w:hAnsi="Times New Roman" w:cs="Times New Roman"/>
          <w:bCs/>
          <w:sz w:val="24"/>
          <w:szCs w:val="24"/>
        </w:rPr>
        <w:t xml:space="preserve"> </w:t>
      </w:r>
    </w:p>
    <w:p w14:paraId="01CDB80F" w14:textId="77777777" w:rsidR="00AF127D" w:rsidRDefault="003B0680"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    </w:t>
      </w:r>
    </w:p>
    <w:p w14:paraId="4367094A" w14:textId="4C1ABC2A" w:rsidR="00425F8B" w:rsidRPr="007601C2" w:rsidRDefault="005718A8" w:rsidP="00EA2597">
      <w:pPr>
        <w:spacing w:line="240" w:lineRule="auto"/>
        <w:ind w:firstLine="567"/>
        <w:jc w:val="both"/>
        <w:rPr>
          <w:rFonts w:ascii="Times New Roman" w:hAnsi="Times New Roman"/>
          <w:sz w:val="24"/>
          <w:szCs w:val="24"/>
        </w:rPr>
      </w:pPr>
      <w:r>
        <w:rPr>
          <w:rFonts w:ascii="Times New Roman" w:hAnsi="Times New Roman" w:cs="Times New Roman"/>
          <w:bCs/>
          <w:sz w:val="24"/>
          <w:szCs w:val="24"/>
        </w:rPr>
        <w:t xml:space="preserve">    </w:t>
      </w:r>
      <w:r w:rsidR="0049349B">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t>В</w:t>
      </w:r>
      <w:r w:rsidR="0049349B">
        <w:rPr>
          <w:rFonts w:ascii="Times New Roman" w:hAnsi="Times New Roman" w:cs="Times New Roman"/>
          <w:bCs/>
          <w:sz w:val="24"/>
          <w:szCs w:val="24"/>
        </w:rPr>
        <w:t xml:space="preserve"> </w:t>
      </w:r>
      <w:r w:rsidR="00425F8B" w:rsidRPr="00EA2597">
        <w:rPr>
          <w:rFonts w:ascii="Times New Roman" w:hAnsi="Times New Roman" w:cs="Times New Roman"/>
          <w:bCs/>
          <w:sz w:val="24"/>
          <w:szCs w:val="24"/>
        </w:rPr>
        <w:t>Банке организованы предрейсовые, предварительные и периодические медицинские осмотры категорий сотрудников, для которых это пр</w:t>
      </w:r>
      <w:r>
        <w:rPr>
          <w:rFonts w:ascii="Times New Roman" w:hAnsi="Times New Roman" w:cs="Times New Roman"/>
          <w:bCs/>
          <w:sz w:val="24"/>
          <w:szCs w:val="24"/>
        </w:rPr>
        <w:t xml:space="preserve">едусмотрено законодательством. Оказание в рабочее время медицинской, в том числе и экстренной помощи, при необходимости осуществляется </w:t>
      </w:r>
      <w:r w:rsidR="00425F8B" w:rsidRPr="00EA2597">
        <w:rPr>
          <w:rFonts w:ascii="Times New Roman" w:hAnsi="Times New Roman" w:cs="Times New Roman"/>
          <w:bCs/>
          <w:sz w:val="24"/>
          <w:szCs w:val="24"/>
        </w:rPr>
        <w:t>корпоративн</w:t>
      </w:r>
      <w:r>
        <w:rPr>
          <w:rFonts w:ascii="Times New Roman" w:hAnsi="Times New Roman" w:cs="Times New Roman"/>
          <w:bCs/>
          <w:sz w:val="24"/>
          <w:szCs w:val="24"/>
        </w:rPr>
        <w:t>ым</w:t>
      </w:r>
      <w:r w:rsidR="00425F8B" w:rsidRPr="00EA2597">
        <w:rPr>
          <w:rFonts w:ascii="Times New Roman" w:hAnsi="Times New Roman" w:cs="Times New Roman"/>
          <w:bCs/>
          <w:sz w:val="24"/>
          <w:szCs w:val="24"/>
        </w:rPr>
        <w:t xml:space="preserve"> врач</w:t>
      </w:r>
      <w:r>
        <w:rPr>
          <w:rFonts w:ascii="Times New Roman" w:hAnsi="Times New Roman" w:cs="Times New Roman"/>
          <w:bCs/>
          <w:sz w:val="24"/>
          <w:szCs w:val="24"/>
        </w:rPr>
        <w:t>ом</w:t>
      </w:r>
      <w:r w:rsidR="003B0680" w:rsidRPr="00EA2597">
        <w:rPr>
          <w:rFonts w:ascii="Times New Roman" w:hAnsi="Times New Roman" w:cs="Times New Roman"/>
          <w:bCs/>
          <w:sz w:val="24"/>
          <w:szCs w:val="24"/>
        </w:rPr>
        <w:t>, находящ</w:t>
      </w:r>
      <w:r>
        <w:rPr>
          <w:rFonts w:ascii="Times New Roman" w:hAnsi="Times New Roman" w:cs="Times New Roman"/>
          <w:bCs/>
          <w:sz w:val="24"/>
          <w:szCs w:val="24"/>
        </w:rPr>
        <w:t>имся</w:t>
      </w:r>
      <w:r w:rsidR="003B0680" w:rsidRPr="00EA2597">
        <w:rPr>
          <w:rFonts w:ascii="Times New Roman" w:hAnsi="Times New Roman" w:cs="Times New Roman"/>
          <w:bCs/>
          <w:sz w:val="24"/>
          <w:szCs w:val="24"/>
        </w:rPr>
        <w:t xml:space="preserve"> в задании офиса. </w:t>
      </w:r>
      <w:r w:rsidR="003B0680">
        <w:rPr>
          <w:rFonts w:ascii="Times New Roman" w:hAnsi="Times New Roman"/>
          <w:sz w:val="24"/>
          <w:szCs w:val="24"/>
        </w:rPr>
        <w:t xml:space="preserve"> </w:t>
      </w:r>
      <w:r w:rsidR="00425F8B" w:rsidRPr="00EA2597">
        <w:rPr>
          <w:rFonts w:ascii="Times New Roman" w:hAnsi="Times New Roman" w:cs="Times New Roman"/>
          <w:bCs/>
          <w:sz w:val="24"/>
          <w:szCs w:val="24"/>
        </w:rPr>
        <w:t xml:space="preserve">В </w:t>
      </w:r>
      <w:r>
        <w:rPr>
          <w:rFonts w:ascii="Times New Roman" w:hAnsi="Times New Roman" w:cs="Times New Roman"/>
          <w:bCs/>
          <w:sz w:val="24"/>
          <w:szCs w:val="24"/>
        </w:rPr>
        <w:t>отчетном</w:t>
      </w:r>
      <w:r w:rsidR="00425F8B" w:rsidRPr="00EA2597">
        <w:rPr>
          <w:rFonts w:ascii="Times New Roman" w:hAnsi="Times New Roman" w:cs="Times New Roman"/>
          <w:bCs/>
          <w:sz w:val="24"/>
          <w:szCs w:val="24"/>
        </w:rPr>
        <w:t xml:space="preserve"> году не зафиксировано ни одного несчастного случая</w:t>
      </w:r>
      <w:r w:rsidR="003B0680" w:rsidRPr="00EA2597">
        <w:rPr>
          <w:rFonts w:ascii="Times New Roman" w:hAnsi="Times New Roman" w:cs="Times New Roman"/>
          <w:bCs/>
          <w:sz w:val="24"/>
          <w:szCs w:val="24"/>
        </w:rPr>
        <w:t xml:space="preserve"> на производстве с работниками НКЦ.</w:t>
      </w:r>
      <w:r w:rsidR="003B0680">
        <w:rPr>
          <w:rFonts w:ascii="Times New Roman" w:hAnsi="Times New Roman"/>
          <w:sz w:val="24"/>
          <w:szCs w:val="24"/>
        </w:rPr>
        <w:t xml:space="preserve">  </w:t>
      </w:r>
    </w:p>
    <w:p w14:paraId="62DC30A0" w14:textId="77777777" w:rsidR="001E6F67" w:rsidRPr="00855D02"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855D02">
        <w:rPr>
          <w:rFonts w:ascii="Times New Roman" w:eastAsia="Times New Roman" w:hAnsi="Times New Roman" w:cs="Times New Roman"/>
          <w:sz w:val="28"/>
          <w:szCs w:val="28"/>
          <w:lang w:eastAsia="ru-RU"/>
        </w:rPr>
        <w:t xml:space="preserve">                     </w:t>
      </w:r>
    </w:p>
    <w:p w14:paraId="344254AD" w14:textId="77777777" w:rsidR="001E6F67" w:rsidRPr="00855D02"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23B4306D" w14:textId="77777777" w:rsidR="002E281A" w:rsidRDefault="002E281A"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52B29AA4" w14:textId="77777777" w:rsidR="002E281A" w:rsidRDefault="002E281A"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28E365A3" w14:textId="77777777" w:rsidR="002E281A" w:rsidRDefault="002E281A"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36BEF2CF" w14:textId="77777777" w:rsidR="002E281A" w:rsidRDefault="002E281A"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6FB72F8F" w14:textId="67DC2FE3" w:rsidR="001E6F67"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1</w:t>
      </w:r>
      <w:r w:rsidR="00C96F61">
        <w:rPr>
          <w:rFonts w:ascii="Times New Roman" w:eastAsia="Times New Roman" w:hAnsi="Times New Roman" w:cs="Times New Roman"/>
          <w:b/>
          <w:sz w:val="28"/>
          <w:szCs w:val="28"/>
          <w:lang w:eastAsia="ru-RU"/>
        </w:rPr>
        <w:t>2</w:t>
      </w:r>
      <w:r w:rsidRPr="0002361F">
        <w:rPr>
          <w:rFonts w:ascii="Times New Roman" w:eastAsia="Times New Roman" w:hAnsi="Times New Roman" w:cs="Times New Roman"/>
          <w:b/>
          <w:sz w:val="28"/>
          <w:szCs w:val="28"/>
          <w:lang w:eastAsia="ru-RU"/>
        </w:rPr>
        <w:t>. О вознаграждении Председателя Правления, членов Правления</w:t>
      </w:r>
    </w:p>
    <w:p w14:paraId="61A8826C" w14:textId="77777777" w:rsidR="001E6F67"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и членов Наблюдательного совета</w:t>
      </w:r>
    </w:p>
    <w:p w14:paraId="18A064A5" w14:textId="77777777" w:rsidR="00C61C6C"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(критерии определения и размер вознаграждения)</w:t>
      </w:r>
    </w:p>
    <w:p w14:paraId="62948CCF" w14:textId="77777777" w:rsidR="00763680" w:rsidRPr="00EF5E16" w:rsidRDefault="00763680" w:rsidP="00763680">
      <w:pPr>
        <w:widowControl w:val="0"/>
        <w:tabs>
          <w:tab w:val="left" w:pos="8820"/>
        </w:tabs>
        <w:overflowPunct w:val="0"/>
        <w:autoSpaceDE w:val="0"/>
        <w:autoSpaceDN w:val="0"/>
        <w:adjustRightInd w:val="0"/>
        <w:spacing w:after="0" w:line="240" w:lineRule="auto"/>
        <w:ind w:left="2977" w:right="76"/>
        <w:textAlignment w:val="baseline"/>
        <w:rPr>
          <w:rFonts w:ascii="Times New Roman" w:eastAsia="Times New Roman" w:hAnsi="Times New Roman" w:cs="Times New Roman"/>
          <w:b/>
          <w:color w:val="0070C0"/>
          <w:sz w:val="28"/>
          <w:szCs w:val="28"/>
          <w:lang w:eastAsia="ru-RU"/>
        </w:rPr>
      </w:pPr>
      <w:r w:rsidRPr="00EF5E16">
        <w:rPr>
          <w:rFonts w:ascii="Times New Roman" w:eastAsia="Times New Roman" w:hAnsi="Times New Roman" w:cs="Times New Roman"/>
          <w:b/>
          <w:color w:val="0070C0"/>
          <w:sz w:val="28"/>
          <w:szCs w:val="28"/>
          <w:lang w:eastAsia="ru-RU"/>
        </w:rPr>
        <w:t xml:space="preserve">      </w:t>
      </w:r>
    </w:p>
    <w:p w14:paraId="77EABDCF" w14:textId="77777777" w:rsidR="00763680" w:rsidRPr="00763680" w:rsidRDefault="00763680" w:rsidP="00763680">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i/>
          <w:sz w:val="24"/>
          <w:szCs w:val="24"/>
          <w:lang w:eastAsia="ru-RU"/>
        </w:rPr>
      </w:pPr>
      <w:r w:rsidRPr="00763680">
        <w:rPr>
          <w:rFonts w:ascii="Times New Roman" w:eastAsia="Times New Roman" w:hAnsi="Times New Roman" w:cs="Times New Roman"/>
          <w:b/>
          <w:i/>
          <w:sz w:val="24"/>
          <w:szCs w:val="24"/>
          <w:lang w:eastAsia="ru-RU"/>
        </w:rPr>
        <w:t>О вознаграждении Председателя Правления и членов Правления</w:t>
      </w:r>
    </w:p>
    <w:p w14:paraId="03809B86" w14:textId="77777777" w:rsidR="00763680" w:rsidRPr="00763680" w:rsidRDefault="00763680" w:rsidP="00763680">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i/>
          <w:sz w:val="24"/>
          <w:szCs w:val="24"/>
          <w:lang w:eastAsia="ru-RU"/>
        </w:rPr>
      </w:pPr>
    </w:p>
    <w:p w14:paraId="77DB17C0" w14:textId="77777777"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763680" w:rsidRPr="00EA2597">
        <w:rPr>
          <w:rFonts w:ascii="Times New Roman" w:hAnsi="Times New Roman" w:cs="Times New Roman"/>
          <w:bCs/>
          <w:sz w:val="24"/>
          <w:szCs w:val="24"/>
        </w:rPr>
        <w:t>Вознаграждение, выплаченное в отчетном 2016 году Председателю Правления Банка и членам Правления, определялось в соответствии с Федеральным законом «Об акционерных обществах», Трудовым кодексом Российской Федерации, Уставом Банка, требованиями регулятора, в том числе Инструкцией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условиями заключенных с ними трудовых договоров, внутренними документами Банка.</w:t>
      </w:r>
    </w:p>
    <w:p w14:paraId="31FD928E" w14:textId="5E439AAE" w:rsidR="00763680" w:rsidRPr="00763680" w:rsidRDefault="00763680" w:rsidP="002E281A">
      <w:pPr>
        <w:widowControl w:val="0"/>
        <w:tabs>
          <w:tab w:val="left" w:pos="8820"/>
        </w:tabs>
        <w:overflowPunct w:val="0"/>
        <w:autoSpaceDE w:val="0"/>
        <w:autoSpaceDN w:val="0"/>
        <w:adjustRightInd w:val="0"/>
        <w:spacing w:after="0" w:line="240" w:lineRule="auto"/>
        <w:ind w:right="76"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B62">
        <w:rPr>
          <w:rFonts w:ascii="Times New Roman" w:eastAsia="Times New Roman" w:hAnsi="Times New Roman" w:cs="Times New Roman"/>
          <w:sz w:val="24"/>
          <w:szCs w:val="24"/>
          <w:lang w:eastAsia="ru-RU"/>
        </w:rPr>
        <w:t xml:space="preserve">     </w:t>
      </w:r>
      <w:r w:rsidRPr="00EA2597">
        <w:rPr>
          <w:rFonts w:ascii="Times New Roman" w:hAnsi="Times New Roman" w:cs="Times New Roman"/>
          <w:bCs/>
          <w:sz w:val="24"/>
          <w:szCs w:val="24"/>
        </w:rPr>
        <w:t xml:space="preserve">Утверждение соотношения фиксированной и нефиксированной частей оплаты труда в общем размере вознаграждения, утверждение размеров </w:t>
      </w:r>
      <w:r w:rsidR="002E281A">
        <w:rPr>
          <w:rFonts w:ascii="Times New Roman" w:hAnsi="Times New Roman" w:cs="Times New Roman"/>
          <w:bCs/>
          <w:sz w:val="24"/>
          <w:szCs w:val="24"/>
        </w:rPr>
        <w:t>вознаграждения и иных выплат</w:t>
      </w:r>
      <w:r w:rsidRPr="00EA2597">
        <w:rPr>
          <w:rFonts w:ascii="Times New Roman" w:hAnsi="Times New Roman" w:cs="Times New Roman"/>
          <w:bCs/>
          <w:sz w:val="24"/>
          <w:szCs w:val="24"/>
        </w:rPr>
        <w:t xml:space="preserve"> членам коллегиальных органов Банка, оценка их деятельности относится к компетенции Наблюдательного совета Банка</w:t>
      </w:r>
      <w:r w:rsidR="002E281A">
        <w:rPr>
          <w:rFonts w:ascii="Times New Roman" w:hAnsi="Times New Roman" w:cs="Times New Roman"/>
          <w:bCs/>
          <w:sz w:val="24"/>
          <w:szCs w:val="24"/>
        </w:rPr>
        <w:t>, который принимает решения с учетом</w:t>
      </w:r>
      <w:r w:rsidRPr="00EA2597">
        <w:rPr>
          <w:rFonts w:ascii="Times New Roman" w:hAnsi="Times New Roman" w:cs="Times New Roman"/>
          <w:bCs/>
          <w:sz w:val="24"/>
          <w:szCs w:val="24"/>
        </w:rPr>
        <w:t xml:space="preserve"> </w:t>
      </w:r>
      <w:r w:rsidRPr="00EA2597">
        <w:rPr>
          <w:rFonts w:ascii="Times New Roman" w:hAnsi="Times New Roman" w:cs="Times New Roman"/>
          <w:bCs/>
          <w:sz w:val="24"/>
          <w:szCs w:val="24"/>
        </w:rPr>
        <w:lastRenderedPageBreak/>
        <w:t>рекомендаци</w:t>
      </w:r>
      <w:r w:rsidR="002E281A">
        <w:rPr>
          <w:rFonts w:ascii="Times New Roman" w:hAnsi="Times New Roman" w:cs="Times New Roman"/>
          <w:bCs/>
          <w:sz w:val="24"/>
          <w:szCs w:val="24"/>
        </w:rPr>
        <w:t>й</w:t>
      </w:r>
      <w:r w:rsidRPr="00EA2597">
        <w:rPr>
          <w:rFonts w:ascii="Times New Roman" w:hAnsi="Times New Roman" w:cs="Times New Roman"/>
          <w:bCs/>
          <w:sz w:val="24"/>
          <w:szCs w:val="24"/>
        </w:rPr>
        <w:t xml:space="preserve"> </w:t>
      </w:r>
      <w:r w:rsidR="002E281A">
        <w:rPr>
          <w:rFonts w:ascii="Times New Roman" w:hAnsi="Times New Roman" w:cs="Times New Roman"/>
          <w:bCs/>
          <w:sz w:val="24"/>
          <w:szCs w:val="24"/>
        </w:rPr>
        <w:t xml:space="preserve">своего </w:t>
      </w:r>
      <w:r w:rsidRPr="00EA2597">
        <w:rPr>
          <w:rFonts w:ascii="Times New Roman" w:hAnsi="Times New Roman" w:cs="Times New Roman"/>
          <w:bCs/>
          <w:sz w:val="24"/>
          <w:szCs w:val="24"/>
        </w:rPr>
        <w:t>Комитета по назначениям и вознаграждениям</w:t>
      </w:r>
      <w:r w:rsidR="002E281A">
        <w:rPr>
          <w:rFonts w:ascii="Times New Roman" w:hAnsi="Times New Roman" w:cs="Times New Roman"/>
          <w:bCs/>
          <w:sz w:val="24"/>
          <w:szCs w:val="24"/>
        </w:rPr>
        <w:t>.</w:t>
      </w:r>
    </w:p>
    <w:p w14:paraId="67EC30BE" w14:textId="77777777" w:rsidR="00763680" w:rsidRDefault="00763680" w:rsidP="001E0717">
      <w:pPr>
        <w:widowControl w:val="0"/>
        <w:tabs>
          <w:tab w:val="left" w:pos="8820"/>
        </w:tabs>
        <w:overflowPunct w:val="0"/>
        <w:autoSpaceDE w:val="0"/>
        <w:autoSpaceDN w:val="0"/>
        <w:adjustRightInd w:val="0"/>
        <w:spacing w:after="0" w:line="240" w:lineRule="auto"/>
        <w:ind w:right="76" w:firstLine="567"/>
        <w:jc w:val="both"/>
        <w:textAlignment w:val="baseline"/>
        <w:rPr>
          <w:rFonts w:ascii="Times New Roman" w:eastAsia="Times New Roman" w:hAnsi="Times New Roman" w:cs="Times New Roman"/>
          <w:sz w:val="24"/>
          <w:szCs w:val="24"/>
          <w:lang w:eastAsia="ru-RU"/>
        </w:rPr>
      </w:pPr>
    </w:p>
    <w:p w14:paraId="6B16DD16" w14:textId="5FF4C7E4"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763680" w:rsidRPr="00EA2597">
        <w:rPr>
          <w:rFonts w:ascii="Times New Roman" w:hAnsi="Times New Roman" w:cs="Times New Roman"/>
          <w:bCs/>
          <w:sz w:val="24"/>
          <w:szCs w:val="24"/>
        </w:rPr>
        <w:t>Система вознаграждения членов исполнительных органов Банка нацелена на достижение оптимального баланса между зависимостью вознаграждения от результатов деятельности Банка и от личного вклада каждого члена исполнительного органа в достижение этого результата. Структура элементов вознаграждения и их соотношение устанавливается Наблюдательным советом Банка как проценты в целевом общем размере вознаграждений и дифференцировано в зависимости от степени влияния члена исполнительного органа на финансовые показатели, а также с учетом принимаемых рисков при осуществлении деятельности на должности.</w:t>
      </w:r>
    </w:p>
    <w:p w14:paraId="30B87B20" w14:textId="77777777"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763680" w:rsidRPr="00EA2597">
        <w:rPr>
          <w:rFonts w:ascii="Times New Roman" w:hAnsi="Times New Roman" w:cs="Times New Roman"/>
          <w:bCs/>
          <w:sz w:val="24"/>
          <w:szCs w:val="24"/>
        </w:rPr>
        <w:t>Одним из основных элементов вознаграждения Банка, в том числе членов исполнительных органов, является нефиксированная часть (далее - годовая премия или годовой бонус). Размер годовой премии Председателя Правления и членов Правления Банка зависит, в том числе,  от оценки достижения (результатов выполнения) общекорпоративных ключевых показателей эффективности деятельности (целей) Банка НКЦ (40% веса целей в общем и оценки достижения индивидуальных ключевых показателей эффективности деятельности (целей) (результатов деятельности) Председателя Правления и членов Правления Банка НКЦ за отчетный год, результатов оценки рисков в отношении отсроченных (рассроченных) частей годовой премии, а также от оценка качества работы, в том числе с учетом данных финансовой и бухгалтерской отчетности, данных оперативного учета, результатов проверок внутренних/внешних аудиторов и регулирующих органов, результатов оценки рисков, выполнения поручений Наблюдательного совета Банка и его комиссий и прочих факторов. Для поддержания баланса между общекорпоративными (финансовыми, стратегическими) и индивидуальными целями совокупный вес общекорпоративных целей в 2016 году составлял 40% в общем (100%) весе всех целей членов коллегиальных исполнительных органов Банка.</w:t>
      </w:r>
    </w:p>
    <w:p w14:paraId="4856C346" w14:textId="77777777"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763680" w:rsidRPr="00EA2597">
        <w:rPr>
          <w:rFonts w:ascii="Times New Roman" w:hAnsi="Times New Roman" w:cs="Times New Roman"/>
          <w:bCs/>
          <w:sz w:val="24"/>
          <w:szCs w:val="24"/>
        </w:rPr>
        <w:t xml:space="preserve">После подведения Наблюдательным советом Банка итогов 2016 года, Председателю Правления Банка и членам Правления Банка будет выплачено 60% от утвержденного годовой премии по итогам года. К 40% от утвержденного размера годовой премии по результатам деятельности Председателя Правления и членов Правления Банка за 2016 год применяется отсрочка (рассрочка) на три года, включая возможность сокращения или отмены выплаты при получении негативного финансового результата в целом по Банку в порядке и на условиях, утверждаемых Наблюдательным советом. </w:t>
      </w:r>
    </w:p>
    <w:p w14:paraId="3E8F55E3" w14:textId="77777777"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763680" w:rsidRPr="00EA2597">
        <w:rPr>
          <w:rFonts w:ascii="Times New Roman" w:hAnsi="Times New Roman" w:cs="Times New Roman"/>
          <w:bCs/>
          <w:sz w:val="24"/>
          <w:szCs w:val="24"/>
        </w:rPr>
        <w:t>Отсроченные (рассроченные) части годовой премии (далее – отсроченные части) выплачиваются в соответствии с утвержденными Наблюдательным советом Банка размерами долей отсроченной (рассроченной) части годовой премии за каждый отчетный год (до последующих корректировок) по срокам выплаты (начисления) по прошествии периодов, достаточных для определения результатов деятельности. Так, первая доля отсроченной части годовой премии за 2015 год утверждена в размере 89% от всей отсроченной части годовой премии за 2015 г.</w:t>
      </w:r>
    </w:p>
    <w:p w14:paraId="4C9CF6A7" w14:textId="77777777"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hAnsi="Times New Roman"/>
          <w:bCs/>
          <w:sz w:val="24"/>
          <w:szCs w:val="24"/>
        </w:rPr>
        <w:t xml:space="preserve">     </w:t>
      </w:r>
      <w:r w:rsidR="00763680" w:rsidRPr="00EA2597">
        <w:rPr>
          <w:rFonts w:ascii="Times New Roman" w:hAnsi="Times New Roman" w:cs="Times New Roman"/>
          <w:bCs/>
          <w:sz w:val="24"/>
          <w:szCs w:val="24"/>
        </w:rPr>
        <w:t>Выплата Председателю Правления Банка и членам Правления Банка первой доли отсроченной части их годовой премии за отчетный 2015 год, оценка реализации рисков за который приходится на текущий период, с учетом корректировки будет осуществляться после соответствующего решения Наблюдательного совета Банка в марте 2017 года. Для корректировки отсроченных частей годовой премии применяется оценка реализации следующих видов рисков: кредитного, рыночного и риска ликвидности.</w:t>
      </w:r>
    </w:p>
    <w:p w14:paraId="2A5CAEA2" w14:textId="0ABEFA38" w:rsidR="00763680"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lastRenderedPageBreak/>
        <w:t xml:space="preserve">     </w:t>
      </w:r>
      <w:r w:rsidR="00763680" w:rsidRPr="00EA2597">
        <w:rPr>
          <w:rFonts w:ascii="Times New Roman" w:hAnsi="Times New Roman" w:cs="Times New Roman"/>
          <w:bCs/>
          <w:sz w:val="24"/>
          <w:szCs w:val="24"/>
        </w:rPr>
        <w:t>Сумма всех выплат (заработная плата, премии, компенсация расходов и другие выплаты), осуществленных Председателю Правления и членам Правления Банка в 2016 году, составила 92 369 ,6 тыс. рублей (в 2015 году</w:t>
      </w:r>
      <w:r w:rsidR="00C35E86">
        <w:rPr>
          <w:rFonts w:ascii="Times New Roman" w:hAnsi="Times New Roman" w:cs="Times New Roman"/>
          <w:bCs/>
          <w:sz w:val="24"/>
          <w:szCs w:val="24"/>
        </w:rPr>
        <w:t xml:space="preserve"> -</w:t>
      </w:r>
      <w:r w:rsidR="00763680" w:rsidRPr="00EA2597">
        <w:rPr>
          <w:rFonts w:ascii="Times New Roman" w:hAnsi="Times New Roman" w:cs="Times New Roman"/>
          <w:bCs/>
          <w:sz w:val="24"/>
          <w:szCs w:val="24"/>
        </w:rPr>
        <w:t xml:space="preserve"> 112 578,6 тыс. рублей). </w:t>
      </w:r>
    </w:p>
    <w:p w14:paraId="110AEB46" w14:textId="77777777" w:rsidR="00763680" w:rsidRDefault="00763680" w:rsidP="00C61C6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sz w:val="28"/>
          <w:szCs w:val="28"/>
          <w:lang w:eastAsia="ru-RU"/>
        </w:rPr>
      </w:pPr>
    </w:p>
    <w:p w14:paraId="6AF08809" w14:textId="77777777" w:rsidR="00C61C6C" w:rsidRPr="00C61C6C" w:rsidRDefault="00C61C6C" w:rsidP="00C61C6C">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i/>
          <w:sz w:val="24"/>
          <w:szCs w:val="24"/>
          <w:lang w:eastAsia="ru-RU"/>
        </w:rPr>
      </w:pPr>
      <w:r w:rsidRPr="00C61C6C">
        <w:rPr>
          <w:rFonts w:ascii="Times New Roman" w:eastAsia="Times New Roman" w:hAnsi="Times New Roman" w:cs="Times New Roman"/>
          <w:b/>
          <w:i/>
          <w:sz w:val="24"/>
          <w:szCs w:val="24"/>
          <w:lang w:eastAsia="ru-RU"/>
        </w:rPr>
        <w:t>О вознаграждении членов Наблюдательного совета</w:t>
      </w:r>
    </w:p>
    <w:p w14:paraId="289FB689" w14:textId="77777777" w:rsidR="00C61C6C" w:rsidRPr="00C61C6C" w:rsidRDefault="00C61C6C" w:rsidP="001E0717">
      <w:pPr>
        <w:widowControl w:val="0"/>
        <w:tabs>
          <w:tab w:val="left" w:pos="8820"/>
        </w:tabs>
        <w:overflowPunct w:val="0"/>
        <w:autoSpaceDE w:val="0"/>
        <w:autoSpaceDN w:val="0"/>
        <w:adjustRightInd w:val="0"/>
        <w:spacing w:after="0" w:line="240" w:lineRule="auto"/>
        <w:ind w:right="76"/>
        <w:jc w:val="both"/>
        <w:textAlignment w:val="baseline"/>
        <w:rPr>
          <w:rFonts w:ascii="Times New Roman" w:eastAsia="Times New Roman" w:hAnsi="Times New Roman" w:cs="Times New Roman"/>
          <w:sz w:val="24"/>
          <w:szCs w:val="24"/>
          <w:lang w:eastAsia="ru-RU"/>
        </w:rPr>
      </w:pPr>
      <w:r w:rsidRPr="00C61C6C">
        <w:rPr>
          <w:rFonts w:ascii="Times New Roman" w:eastAsia="Times New Roman" w:hAnsi="Times New Roman" w:cs="Times New Roman"/>
          <w:sz w:val="24"/>
          <w:szCs w:val="24"/>
          <w:lang w:eastAsia="ru-RU"/>
        </w:rPr>
        <w:tab/>
      </w:r>
    </w:p>
    <w:p w14:paraId="122A6397" w14:textId="77777777" w:rsidR="00C61C6C"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C61C6C" w:rsidRPr="00EA2597">
        <w:rPr>
          <w:rFonts w:ascii="Times New Roman" w:hAnsi="Times New Roman" w:cs="Times New Roman"/>
          <w:bCs/>
          <w:sz w:val="24"/>
          <w:szCs w:val="24"/>
        </w:rPr>
        <w:t xml:space="preserve">Решением ПАО Московская Биржа, единственным акционером НКЦ, от 13 мая 2016 года № 30 по вопросам, отнесенным к компетенции Общего собрания акционеров, было принято  решение выплатить членам Наблюдательного совета НКЦ, избранным решением единственного акционера 22 мая 2015 года (Решение №25), за исполнение ими своих функций вознаграждение в размере, рассчитанном в соответствии с положением о вознаграждении и компенсации расходов членов Наблюдательного совета НКЦ, утвержденном решением единственного акционера 22 мая 2015 года (Решение 25). Общий размер вознаграждения указанным членам Наблюдательного совета за исполнение ими своих функций составил 20 125 000 рублей. </w:t>
      </w:r>
    </w:p>
    <w:p w14:paraId="1FEE3741" w14:textId="77777777" w:rsidR="00C61C6C"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C61C6C" w:rsidRPr="00EA2597">
        <w:rPr>
          <w:rFonts w:ascii="Times New Roman" w:hAnsi="Times New Roman" w:cs="Times New Roman"/>
          <w:bCs/>
          <w:sz w:val="24"/>
          <w:szCs w:val="24"/>
        </w:rPr>
        <w:t xml:space="preserve">Положение о вознаграждении и компенсации расходов обеспечивает системный подход к определению размеров индивидуальных вознаграждений, определяет конкретные уровни вознаграждения для каждой из ролей членов Наблюдательного совета, устанавливает размер фиксированного вознаграждения для независимых членов и предусматривает условия, обеспечивающие надлежащую вовлеченность членов в деятельность Наблюдательного совета (вознаграждение может быть изменено в сторону уменьшения при систематической неявке на заседания). </w:t>
      </w:r>
    </w:p>
    <w:p w14:paraId="40E67CEC" w14:textId="77777777" w:rsidR="00C61C6C" w:rsidRPr="00EA2597" w:rsidRDefault="006A7B62" w:rsidP="00EA2597">
      <w:pPr>
        <w:spacing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C61C6C" w:rsidRPr="00EA2597">
        <w:rPr>
          <w:rFonts w:ascii="Times New Roman" w:hAnsi="Times New Roman" w:cs="Times New Roman"/>
          <w:bCs/>
          <w:sz w:val="24"/>
          <w:szCs w:val="24"/>
        </w:rPr>
        <w:t>Вознаграждение членов Наблюдательного совета НКЦ, избранных решением единственного акционера 13 мая 2016 года (Решение №30), будет выплачено после проведения годового Общего собрания акционеров НКЦ в 2017 году.</w:t>
      </w:r>
    </w:p>
    <w:p w14:paraId="6553534E" w14:textId="77777777" w:rsidR="00C61C6C" w:rsidRPr="00C61C6C" w:rsidRDefault="00C61C6C" w:rsidP="00C61C6C">
      <w:pPr>
        <w:widowControl w:val="0"/>
        <w:tabs>
          <w:tab w:val="left" w:pos="8820"/>
        </w:tabs>
        <w:overflowPunct w:val="0"/>
        <w:autoSpaceDE w:val="0"/>
        <w:autoSpaceDN w:val="0"/>
        <w:adjustRightInd w:val="0"/>
        <w:spacing w:after="0" w:line="240" w:lineRule="auto"/>
        <w:ind w:left="2977" w:right="76"/>
        <w:textAlignment w:val="baseline"/>
        <w:rPr>
          <w:rFonts w:ascii="Times New Roman" w:eastAsia="Times New Roman" w:hAnsi="Times New Roman" w:cs="Times New Roman"/>
          <w:b/>
          <w:sz w:val="28"/>
          <w:szCs w:val="28"/>
          <w:lang w:eastAsia="ru-RU"/>
        </w:rPr>
      </w:pPr>
    </w:p>
    <w:p w14:paraId="48AFD4EA" w14:textId="77777777" w:rsidR="00C61C6C" w:rsidRPr="00C61C6C" w:rsidRDefault="00C61C6C" w:rsidP="00C61C6C"/>
    <w:p w14:paraId="1C87FF55" w14:textId="77777777" w:rsidR="001E6F67" w:rsidRPr="00855D02" w:rsidRDefault="001E6F67" w:rsidP="001E6F67">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14:paraId="4D4F4A33" w14:textId="218C2B1D" w:rsidR="001E6F67"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1</w:t>
      </w:r>
      <w:r w:rsidR="00C96F61">
        <w:rPr>
          <w:rFonts w:ascii="Times New Roman" w:eastAsia="Times New Roman" w:hAnsi="Times New Roman" w:cs="Times New Roman"/>
          <w:b/>
          <w:sz w:val="28"/>
          <w:szCs w:val="28"/>
          <w:lang w:eastAsia="ru-RU"/>
        </w:rPr>
        <w:t>3</w:t>
      </w:r>
      <w:r w:rsidRPr="0002361F">
        <w:rPr>
          <w:rFonts w:ascii="Times New Roman" w:eastAsia="Times New Roman" w:hAnsi="Times New Roman" w:cs="Times New Roman"/>
          <w:b/>
          <w:sz w:val="28"/>
          <w:szCs w:val="28"/>
          <w:lang w:eastAsia="ru-RU"/>
        </w:rPr>
        <w:t>. О дивидендах по акциям</w:t>
      </w:r>
    </w:p>
    <w:p w14:paraId="75DE5A72" w14:textId="77777777" w:rsidR="001E6F67"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42FAEF64" w14:textId="77777777" w:rsidR="00D84DB6" w:rsidRPr="00D84DB6" w:rsidRDefault="00D84DB6" w:rsidP="00D84DB6">
      <w:pPr>
        <w:spacing w:after="0" w:line="240" w:lineRule="auto"/>
        <w:jc w:val="both"/>
        <w:rPr>
          <w:rFonts w:ascii="Times New Roman" w:hAnsi="Times New Roman" w:cs="Times New Roman"/>
          <w:sz w:val="24"/>
          <w:szCs w:val="24"/>
          <w:lang w:eastAsia="ru-RU"/>
        </w:rPr>
      </w:pPr>
    </w:p>
    <w:p w14:paraId="2FBEAD5D" w14:textId="77777777" w:rsidR="00D84DB6" w:rsidRPr="00EA2597" w:rsidRDefault="00E60F65"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D84DB6" w:rsidRPr="00EA2597">
        <w:rPr>
          <w:rFonts w:ascii="Times New Roman" w:hAnsi="Times New Roman" w:cs="Times New Roman"/>
          <w:bCs/>
          <w:sz w:val="24"/>
          <w:szCs w:val="24"/>
        </w:rPr>
        <w:t>ПАО Московская Биржа, единственный акционер НКЦ, 15 января 2016 года приняло следующее решение (№29) о выплате (объявлении) дивидендов:</w:t>
      </w:r>
    </w:p>
    <w:p w14:paraId="410DA10D" w14:textId="77777777" w:rsidR="00D84DB6" w:rsidRPr="00E60F65" w:rsidRDefault="00E60F65" w:rsidP="00441380">
      <w:pPr>
        <w:pStyle w:val="a3"/>
        <w:numPr>
          <w:ilvl w:val="0"/>
          <w:numId w:val="58"/>
        </w:numPr>
        <w:spacing w:after="0" w:line="240" w:lineRule="auto"/>
        <w:jc w:val="both"/>
        <w:rPr>
          <w:rFonts w:ascii="Times New Roman" w:hAnsi="Times New Roman"/>
          <w:spacing w:val="-3"/>
          <w:sz w:val="24"/>
          <w:szCs w:val="24"/>
          <w:lang w:eastAsia="x-none"/>
        </w:rPr>
      </w:pPr>
      <w:r>
        <w:rPr>
          <w:rFonts w:ascii="Times New Roman" w:hAnsi="Times New Roman"/>
          <w:spacing w:val="-3"/>
          <w:sz w:val="24"/>
          <w:szCs w:val="24"/>
          <w:lang w:eastAsia="x-none"/>
        </w:rPr>
        <w:t>в</w:t>
      </w:r>
      <w:r w:rsidR="00D84DB6" w:rsidRPr="00E60F65">
        <w:rPr>
          <w:rFonts w:ascii="Times New Roman" w:hAnsi="Times New Roman"/>
          <w:spacing w:val="-3"/>
          <w:sz w:val="24"/>
          <w:szCs w:val="24"/>
          <w:lang w:eastAsia="x-none"/>
        </w:rPr>
        <w:t>ыплатить дивиденды по размещенным акциям Банка НКЦ (АО) за счет части нераспределенной прибыли Банка НКЦ (АО) прошлых лет в размере 4 999 999 800 руб. 00 коп;</w:t>
      </w:r>
    </w:p>
    <w:p w14:paraId="42E84883" w14:textId="77777777" w:rsidR="00D84DB6" w:rsidRPr="00E60F65" w:rsidRDefault="00E60F65" w:rsidP="00441380">
      <w:pPr>
        <w:pStyle w:val="a3"/>
        <w:numPr>
          <w:ilvl w:val="0"/>
          <w:numId w:val="58"/>
        </w:numPr>
        <w:spacing w:after="0" w:line="240" w:lineRule="auto"/>
        <w:jc w:val="both"/>
        <w:rPr>
          <w:rFonts w:ascii="Times New Roman" w:hAnsi="Times New Roman"/>
          <w:spacing w:val="-3"/>
          <w:sz w:val="24"/>
          <w:szCs w:val="24"/>
          <w:lang w:eastAsia="x-none"/>
        </w:rPr>
      </w:pPr>
      <w:r>
        <w:rPr>
          <w:rFonts w:ascii="Times New Roman" w:hAnsi="Times New Roman"/>
          <w:spacing w:val="-3"/>
          <w:sz w:val="24"/>
          <w:szCs w:val="24"/>
          <w:lang w:eastAsia="x-none"/>
        </w:rPr>
        <w:t>о</w:t>
      </w:r>
      <w:r w:rsidR="00D84DB6" w:rsidRPr="00E60F65">
        <w:rPr>
          <w:rFonts w:ascii="Times New Roman" w:hAnsi="Times New Roman"/>
          <w:spacing w:val="-3"/>
          <w:sz w:val="24"/>
          <w:szCs w:val="24"/>
          <w:lang w:eastAsia="x-none"/>
        </w:rPr>
        <w:t>пределить размер дивиденда по акциям в размере 299 руб. 94 коп. на одну обыкновенную именную акцию;</w:t>
      </w:r>
    </w:p>
    <w:p w14:paraId="6432ACCB" w14:textId="77777777" w:rsidR="00D84DB6" w:rsidRPr="00E60F65" w:rsidRDefault="00E60F65" w:rsidP="00441380">
      <w:pPr>
        <w:pStyle w:val="a3"/>
        <w:numPr>
          <w:ilvl w:val="0"/>
          <w:numId w:val="58"/>
        </w:numPr>
        <w:spacing w:after="120" w:line="240" w:lineRule="auto"/>
        <w:jc w:val="both"/>
        <w:rPr>
          <w:rFonts w:ascii="Times New Roman" w:hAnsi="Times New Roman"/>
          <w:spacing w:val="-3"/>
          <w:sz w:val="24"/>
          <w:szCs w:val="24"/>
          <w:lang w:eastAsia="x-none"/>
        </w:rPr>
      </w:pPr>
      <w:r>
        <w:rPr>
          <w:rFonts w:ascii="Times New Roman" w:hAnsi="Times New Roman"/>
          <w:spacing w:val="-3"/>
          <w:sz w:val="24"/>
          <w:szCs w:val="24"/>
          <w:lang w:eastAsia="x-none"/>
        </w:rPr>
        <w:t>у</w:t>
      </w:r>
      <w:r w:rsidR="00D84DB6" w:rsidRPr="00E60F65">
        <w:rPr>
          <w:rFonts w:ascii="Times New Roman" w:hAnsi="Times New Roman"/>
          <w:spacing w:val="-3"/>
          <w:sz w:val="24"/>
          <w:szCs w:val="24"/>
          <w:lang w:eastAsia="x-none"/>
        </w:rPr>
        <w:t xml:space="preserve">становить датой, на которую определяются лица, имеющие право на получение дивидендов, 27 января 2016 года. </w:t>
      </w:r>
    </w:p>
    <w:p w14:paraId="071BD479" w14:textId="77777777" w:rsidR="00D84DB6" w:rsidRPr="00EA2597" w:rsidRDefault="00E60F65"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lang w:eastAsia="x-none"/>
        </w:rPr>
        <w:t xml:space="preserve">     </w:t>
      </w:r>
      <w:r w:rsidR="005409C2">
        <w:rPr>
          <w:rFonts w:ascii="Times New Roman" w:hAnsi="Times New Roman" w:cs="Times New Roman"/>
          <w:spacing w:val="-3"/>
          <w:sz w:val="24"/>
          <w:szCs w:val="24"/>
          <w:lang w:eastAsia="x-none"/>
        </w:rPr>
        <w:t xml:space="preserve"> </w:t>
      </w:r>
      <w:r w:rsidR="00D84DB6" w:rsidRPr="00EA2597">
        <w:rPr>
          <w:rFonts w:ascii="Times New Roman" w:hAnsi="Times New Roman" w:cs="Times New Roman"/>
          <w:bCs/>
          <w:sz w:val="24"/>
          <w:szCs w:val="24"/>
        </w:rPr>
        <w:t xml:space="preserve">Решением также было определено, что дивиденды выплачиваются в денежной форме в сроки, установленные законодательством Российской Федерации. </w:t>
      </w:r>
    </w:p>
    <w:p w14:paraId="51B2C893" w14:textId="77777777" w:rsidR="00D84DB6" w:rsidRPr="00EA2597" w:rsidRDefault="00D84DB6"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Выплата дивидендов была осуществлена в феврале 2016 года.</w:t>
      </w:r>
    </w:p>
    <w:p w14:paraId="52C58618" w14:textId="77777777" w:rsidR="00D84DB6" w:rsidRPr="00D84DB6" w:rsidRDefault="00D84DB6" w:rsidP="000D1D1B">
      <w:pPr>
        <w:spacing w:after="0" w:line="240" w:lineRule="auto"/>
        <w:jc w:val="both"/>
        <w:rPr>
          <w:rFonts w:ascii="Times New Roman" w:hAnsi="Times New Roman" w:cs="Times New Roman"/>
          <w:sz w:val="24"/>
          <w:szCs w:val="24"/>
          <w:lang w:eastAsia="ru-RU"/>
        </w:rPr>
      </w:pPr>
    </w:p>
    <w:p w14:paraId="7EB626A0" w14:textId="77777777" w:rsidR="00D84DB6" w:rsidRPr="00D84DB6" w:rsidRDefault="005409C2" w:rsidP="000D1D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sidR="00D84DB6" w:rsidRPr="00D84DB6">
        <w:rPr>
          <w:rFonts w:ascii="Times New Roman" w:hAnsi="Times New Roman" w:cs="Times New Roman"/>
          <w:sz w:val="24"/>
          <w:szCs w:val="24"/>
          <w:lang w:eastAsia="ru-RU"/>
        </w:rPr>
        <w:t xml:space="preserve">ПАО Московская Биржа, единственный акционер НКЦ, в рамках рассмотрения вопросов годового Общего собрания акционеров </w:t>
      </w:r>
      <w:r w:rsidR="00D84DB6" w:rsidRPr="00D84DB6">
        <w:rPr>
          <w:rFonts w:ascii="Times New Roman" w:hAnsi="Times New Roman" w:cs="Times New Roman"/>
          <w:sz w:val="24"/>
          <w:szCs w:val="24"/>
        </w:rPr>
        <w:t>13 мая 2016 года приняло следующее решение (№30) о распределении чистой прибыли НКЦ и выплате (объявлении) дивидендов:</w:t>
      </w:r>
    </w:p>
    <w:p w14:paraId="2CF4B526" w14:textId="77777777" w:rsidR="00D84DB6" w:rsidRPr="005409C2" w:rsidRDefault="005409C2" w:rsidP="00441380">
      <w:pPr>
        <w:pStyle w:val="a3"/>
        <w:numPr>
          <w:ilvl w:val="0"/>
          <w:numId w:val="59"/>
        </w:numPr>
        <w:spacing w:after="0" w:line="240" w:lineRule="auto"/>
        <w:jc w:val="both"/>
        <w:rPr>
          <w:rFonts w:ascii="Times New Roman" w:hAnsi="Times New Roman"/>
          <w:sz w:val="24"/>
          <w:szCs w:val="24"/>
        </w:rPr>
      </w:pPr>
      <w:r>
        <w:rPr>
          <w:rFonts w:ascii="Times New Roman" w:hAnsi="Times New Roman"/>
          <w:spacing w:val="-3"/>
          <w:sz w:val="24"/>
          <w:szCs w:val="24"/>
          <w:lang w:eastAsia="x-none"/>
        </w:rPr>
        <w:t>р</w:t>
      </w:r>
      <w:r w:rsidR="00D84DB6" w:rsidRPr="005409C2">
        <w:rPr>
          <w:rFonts w:ascii="Times New Roman" w:hAnsi="Times New Roman"/>
          <w:spacing w:val="-3"/>
          <w:sz w:val="24"/>
          <w:szCs w:val="24"/>
          <w:lang w:eastAsia="x-none"/>
        </w:rPr>
        <w:t>аспределить чистую прибыль Банка «Национальный Клиринговый Центр» (Акционерное общество) в размере 22 646 434 589 руб. 74 коп., полученную по результатам 2015 отчетного года, следующим образом:</w:t>
      </w:r>
    </w:p>
    <w:p w14:paraId="42D6315F" w14:textId="556D6820" w:rsidR="00D84DB6" w:rsidRPr="003D5AD2" w:rsidRDefault="005409C2" w:rsidP="00441380">
      <w:pPr>
        <w:pStyle w:val="a3"/>
        <w:numPr>
          <w:ilvl w:val="0"/>
          <w:numId w:val="72"/>
        </w:numPr>
        <w:spacing w:after="0" w:line="240" w:lineRule="auto"/>
        <w:jc w:val="both"/>
        <w:rPr>
          <w:rFonts w:ascii="Times New Roman" w:hAnsi="Times New Roman"/>
          <w:sz w:val="24"/>
          <w:szCs w:val="24"/>
        </w:rPr>
      </w:pPr>
      <w:r w:rsidRPr="003D5AD2">
        <w:rPr>
          <w:rFonts w:ascii="Times New Roman" w:hAnsi="Times New Roman"/>
          <w:sz w:val="24"/>
          <w:szCs w:val="24"/>
        </w:rPr>
        <w:t>н</w:t>
      </w:r>
      <w:r w:rsidR="00D84DB6" w:rsidRPr="003D5AD2">
        <w:rPr>
          <w:rFonts w:ascii="Times New Roman" w:hAnsi="Times New Roman"/>
          <w:sz w:val="24"/>
          <w:szCs w:val="24"/>
        </w:rPr>
        <w:t>аправить на выплату дивидендов - 5 799 993 100 рублей 00 коп.</w:t>
      </w:r>
      <w:r w:rsidR="003D5AD2">
        <w:rPr>
          <w:rFonts w:ascii="Times New Roman" w:hAnsi="Times New Roman"/>
          <w:sz w:val="24"/>
          <w:szCs w:val="24"/>
        </w:rPr>
        <w:t>;</w:t>
      </w:r>
    </w:p>
    <w:p w14:paraId="2E30D6B0" w14:textId="77777777" w:rsidR="00D84DB6" w:rsidRPr="003D5AD2" w:rsidRDefault="005409C2" w:rsidP="00441380">
      <w:pPr>
        <w:pStyle w:val="a3"/>
        <w:numPr>
          <w:ilvl w:val="0"/>
          <w:numId w:val="72"/>
        </w:numPr>
        <w:spacing w:after="0" w:line="240" w:lineRule="auto"/>
        <w:jc w:val="both"/>
        <w:rPr>
          <w:rFonts w:ascii="Times New Roman" w:hAnsi="Times New Roman"/>
          <w:sz w:val="24"/>
          <w:szCs w:val="24"/>
        </w:rPr>
      </w:pPr>
      <w:r w:rsidRPr="003D5AD2">
        <w:rPr>
          <w:rFonts w:ascii="Times New Roman" w:hAnsi="Times New Roman"/>
          <w:sz w:val="24"/>
          <w:szCs w:val="24"/>
        </w:rPr>
        <w:t>о</w:t>
      </w:r>
      <w:r w:rsidR="00D84DB6" w:rsidRPr="003D5AD2">
        <w:rPr>
          <w:rFonts w:ascii="Times New Roman" w:hAnsi="Times New Roman"/>
          <w:sz w:val="24"/>
          <w:szCs w:val="24"/>
        </w:rPr>
        <w:t>ставить в качестве нераспределенной прибыли - 16 846 441 489 рублей 74 коп.</w:t>
      </w:r>
    </w:p>
    <w:p w14:paraId="22A8FB3A" w14:textId="77777777" w:rsidR="00D84DB6" w:rsidRPr="005409C2" w:rsidRDefault="005409C2" w:rsidP="00441380">
      <w:pPr>
        <w:pStyle w:val="a3"/>
        <w:numPr>
          <w:ilvl w:val="0"/>
          <w:numId w:val="59"/>
        </w:numPr>
        <w:spacing w:after="0" w:line="240" w:lineRule="auto"/>
        <w:jc w:val="both"/>
        <w:rPr>
          <w:rFonts w:ascii="Times New Roman" w:hAnsi="Times New Roman"/>
          <w:sz w:val="24"/>
          <w:szCs w:val="24"/>
        </w:rPr>
      </w:pPr>
      <w:r>
        <w:rPr>
          <w:rFonts w:ascii="Times New Roman" w:hAnsi="Times New Roman"/>
          <w:sz w:val="24"/>
          <w:szCs w:val="24"/>
        </w:rPr>
        <w:t>о</w:t>
      </w:r>
      <w:r w:rsidR="00D84DB6" w:rsidRPr="005409C2">
        <w:rPr>
          <w:rFonts w:ascii="Times New Roman" w:hAnsi="Times New Roman"/>
          <w:sz w:val="24"/>
          <w:szCs w:val="24"/>
        </w:rPr>
        <w:t xml:space="preserve">пределить следующий размер дивиденда по акциям Банка «Национальный Клиринговый Центр» (Акционерное общество): 347 руб. 93 коп. на одну обыкновенную именную акцию Банка «Национальный Клиринговый Центр» (Акционерное общество) (до уплаты налога на доходы, полученные в качестве дивидендов). </w:t>
      </w:r>
    </w:p>
    <w:p w14:paraId="47BA9904" w14:textId="77777777" w:rsidR="00D84DB6" w:rsidRPr="005409C2" w:rsidRDefault="005409C2" w:rsidP="00441380">
      <w:pPr>
        <w:pStyle w:val="a3"/>
        <w:numPr>
          <w:ilvl w:val="0"/>
          <w:numId w:val="59"/>
        </w:numPr>
        <w:spacing w:after="120" w:line="240" w:lineRule="auto"/>
        <w:jc w:val="both"/>
        <w:rPr>
          <w:rFonts w:ascii="Times New Roman" w:hAnsi="Times New Roman"/>
          <w:sz w:val="24"/>
          <w:szCs w:val="24"/>
        </w:rPr>
      </w:pPr>
      <w:r>
        <w:rPr>
          <w:rFonts w:ascii="Times New Roman" w:hAnsi="Times New Roman"/>
          <w:sz w:val="24"/>
          <w:szCs w:val="24"/>
        </w:rPr>
        <w:t>у</w:t>
      </w:r>
      <w:r w:rsidR="00D84DB6" w:rsidRPr="005409C2">
        <w:rPr>
          <w:rFonts w:ascii="Times New Roman" w:hAnsi="Times New Roman"/>
          <w:sz w:val="24"/>
          <w:szCs w:val="24"/>
        </w:rPr>
        <w:t>становить датой, на которую определяются лица, имеющие право на получение дивидендов – 23 мая 2016 года.</w:t>
      </w:r>
    </w:p>
    <w:p w14:paraId="5C8D0A17" w14:textId="77777777" w:rsidR="00D84DB6" w:rsidRPr="00EA2597" w:rsidRDefault="005409C2"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lang w:eastAsia="x-none"/>
        </w:rPr>
        <w:t xml:space="preserve">     </w:t>
      </w:r>
      <w:r w:rsidR="00D84DB6" w:rsidRPr="00EA2597">
        <w:rPr>
          <w:rFonts w:ascii="Times New Roman" w:hAnsi="Times New Roman" w:cs="Times New Roman"/>
          <w:bCs/>
          <w:sz w:val="24"/>
          <w:szCs w:val="24"/>
        </w:rPr>
        <w:t xml:space="preserve">Решением также было определено, что дивиденды выплачиваются в денежной форме в сроки, установленные законодательством Российской Федерации. </w:t>
      </w:r>
    </w:p>
    <w:p w14:paraId="29C8F3D1" w14:textId="77777777" w:rsidR="00D84DB6" w:rsidRPr="00EA2597" w:rsidRDefault="00D84DB6"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Выплата дивидендов была осуществлена в мае 2016 года.</w:t>
      </w:r>
    </w:p>
    <w:p w14:paraId="1D3E5C24" w14:textId="77777777" w:rsidR="00D84DB6" w:rsidRPr="00D84DB6" w:rsidRDefault="00D84DB6" w:rsidP="000D1D1B">
      <w:pPr>
        <w:spacing w:after="0" w:line="240" w:lineRule="auto"/>
        <w:jc w:val="both"/>
        <w:rPr>
          <w:rFonts w:ascii="Times New Roman" w:hAnsi="Times New Roman" w:cs="Times New Roman"/>
          <w:sz w:val="24"/>
          <w:szCs w:val="24"/>
        </w:rPr>
      </w:pPr>
    </w:p>
    <w:p w14:paraId="7C6181EE" w14:textId="77777777" w:rsidR="00D84DB6" w:rsidRPr="00EA2597" w:rsidRDefault="00FA2C1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D84DB6" w:rsidRPr="00EA2597">
        <w:rPr>
          <w:rFonts w:ascii="Times New Roman" w:hAnsi="Times New Roman" w:cs="Times New Roman"/>
          <w:bCs/>
          <w:sz w:val="24"/>
          <w:szCs w:val="24"/>
        </w:rPr>
        <w:t>ПАО Московская Биржа, единственный акционер НКЦ, 8 июля 2016 года приняло следующее решение (№31) о выплате (объявлении) дивидендов:</w:t>
      </w:r>
    </w:p>
    <w:p w14:paraId="43C271C9" w14:textId="77777777" w:rsidR="00D84DB6" w:rsidRPr="00FA2C1B" w:rsidRDefault="00FA2C1B" w:rsidP="00441380">
      <w:pPr>
        <w:pStyle w:val="a3"/>
        <w:numPr>
          <w:ilvl w:val="0"/>
          <w:numId w:val="60"/>
        </w:numPr>
        <w:spacing w:after="0" w:line="240" w:lineRule="auto"/>
        <w:jc w:val="both"/>
        <w:rPr>
          <w:rFonts w:ascii="Times New Roman" w:hAnsi="Times New Roman"/>
          <w:sz w:val="24"/>
          <w:szCs w:val="24"/>
        </w:rPr>
      </w:pPr>
      <w:r>
        <w:rPr>
          <w:rFonts w:ascii="Times New Roman" w:hAnsi="Times New Roman"/>
          <w:sz w:val="24"/>
          <w:szCs w:val="24"/>
        </w:rPr>
        <w:t>н</w:t>
      </w:r>
      <w:r w:rsidR="00D84DB6" w:rsidRPr="00FA2C1B">
        <w:rPr>
          <w:rFonts w:ascii="Times New Roman" w:hAnsi="Times New Roman"/>
          <w:sz w:val="24"/>
          <w:szCs w:val="24"/>
        </w:rPr>
        <w:t>аправить на выплату дивидендов нераспределенную прибыль Банка «Национальный Клиринговый Центр» (Акционерное общество) прошлых лет в размере 5 799 993 100 рублей 00 коп.</w:t>
      </w:r>
      <w:r>
        <w:rPr>
          <w:rFonts w:ascii="Times New Roman" w:hAnsi="Times New Roman"/>
          <w:sz w:val="24"/>
          <w:szCs w:val="24"/>
        </w:rPr>
        <w:t>;</w:t>
      </w:r>
    </w:p>
    <w:p w14:paraId="1593FC45" w14:textId="77777777" w:rsidR="00D84DB6" w:rsidRPr="00FA2C1B" w:rsidRDefault="00FA2C1B" w:rsidP="00441380">
      <w:pPr>
        <w:pStyle w:val="a3"/>
        <w:numPr>
          <w:ilvl w:val="0"/>
          <w:numId w:val="60"/>
        </w:numPr>
        <w:spacing w:after="0" w:line="240" w:lineRule="auto"/>
        <w:jc w:val="both"/>
        <w:rPr>
          <w:rFonts w:ascii="Times New Roman" w:hAnsi="Times New Roman"/>
          <w:sz w:val="24"/>
          <w:szCs w:val="24"/>
        </w:rPr>
      </w:pPr>
      <w:r>
        <w:rPr>
          <w:rFonts w:ascii="Times New Roman" w:hAnsi="Times New Roman"/>
          <w:sz w:val="24"/>
          <w:szCs w:val="24"/>
        </w:rPr>
        <w:t>о</w:t>
      </w:r>
      <w:r w:rsidR="00D84DB6" w:rsidRPr="00FA2C1B">
        <w:rPr>
          <w:rFonts w:ascii="Times New Roman" w:hAnsi="Times New Roman"/>
          <w:sz w:val="24"/>
          <w:szCs w:val="24"/>
        </w:rPr>
        <w:t>пределить следующий размер дивиденда по акциям Банка «Национальный Клиринговый Центр» (Акционерное общество): 347 руб. 93 коп. на одну обыкновенную именную акцию Банка «Национальный Клиринговый Центр» (Акционерное общество) (до уплаты налога на доходы, полученные в качестве дивидендов)</w:t>
      </w:r>
      <w:r>
        <w:rPr>
          <w:rFonts w:ascii="Times New Roman" w:hAnsi="Times New Roman"/>
          <w:sz w:val="24"/>
          <w:szCs w:val="24"/>
        </w:rPr>
        <w:t>;</w:t>
      </w:r>
    </w:p>
    <w:p w14:paraId="6941AB25" w14:textId="77777777" w:rsidR="00D84DB6" w:rsidRPr="00FA2C1B" w:rsidRDefault="00FA2C1B" w:rsidP="00441380">
      <w:pPr>
        <w:pStyle w:val="a3"/>
        <w:numPr>
          <w:ilvl w:val="0"/>
          <w:numId w:val="60"/>
        </w:numPr>
        <w:spacing w:after="0" w:line="240" w:lineRule="auto"/>
        <w:jc w:val="both"/>
        <w:rPr>
          <w:rFonts w:ascii="Times New Roman" w:hAnsi="Times New Roman"/>
          <w:sz w:val="24"/>
          <w:szCs w:val="24"/>
        </w:rPr>
      </w:pPr>
      <w:r>
        <w:rPr>
          <w:rFonts w:ascii="Times New Roman" w:hAnsi="Times New Roman"/>
          <w:sz w:val="24"/>
          <w:szCs w:val="24"/>
        </w:rPr>
        <w:t>у</w:t>
      </w:r>
      <w:r w:rsidR="00D84DB6" w:rsidRPr="00FA2C1B">
        <w:rPr>
          <w:rFonts w:ascii="Times New Roman" w:hAnsi="Times New Roman"/>
          <w:sz w:val="24"/>
          <w:szCs w:val="24"/>
        </w:rPr>
        <w:t>становить датой, на которую определяются лица, имеющие право на получение дивидендов – 18 июля 2016 года.</w:t>
      </w:r>
    </w:p>
    <w:p w14:paraId="174FA09B" w14:textId="77777777" w:rsidR="00D84DB6" w:rsidRPr="00EA2597" w:rsidRDefault="000D1D1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lang w:eastAsia="x-none"/>
        </w:rPr>
        <w:t xml:space="preserve">     </w:t>
      </w:r>
      <w:r w:rsidR="00D84DB6" w:rsidRPr="00EA2597">
        <w:rPr>
          <w:rFonts w:ascii="Times New Roman" w:hAnsi="Times New Roman" w:cs="Times New Roman"/>
          <w:bCs/>
          <w:sz w:val="24"/>
          <w:szCs w:val="24"/>
        </w:rPr>
        <w:t xml:space="preserve">Решением также было определено, что дивиденды выплачиваются в денежной форме в сроки, установленные законодательством Российской Федерации. </w:t>
      </w:r>
    </w:p>
    <w:p w14:paraId="64D11EF1" w14:textId="77777777" w:rsidR="00D84DB6" w:rsidRPr="00EA2597" w:rsidRDefault="00D84DB6"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Выплата дивидендов была осуществлена в июле 2016 года.</w:t>
      </w:r>
    </w:p>
    <w:p w14:paraId="459CEC13" w14:textId="77777777" w:rsidR="00D84DB6" w:rsidRPr="00D84DB6" w:rsidRDefault="00D84DB6" w:rsidP="000D1D1B">
      <w:pPr>
        <w:spacing w:after="0" w:line="240" w:lineRule="auto"/>
        <w:jc w:val="both"/>
        <w:rPr>
          <w:rFonts w:ascii="Times New Roman" w:hAnsi="Times New Roman" w:cs="Times New Roman"/>
          <w:spacing w:val="-3"/>
          <w:sz w:val="24"/>
          <w:szCs w:val="24"/>
          <w:lang w:eastAsia="x-none"/>
        </w:rPr>
      </w:pPr>
    </w:p>
    <w:p w14:paraId="30197DA7" w14:textId="77777777" w:rsidR="00D84DB6" w:rsidRPr="00EA2597" w:rsidRDefault="000D1D1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ru-RU"/>
        </w:rPr>
        <w:t xml:space="preserve">     </w:t>
      </w:r>
      <w:r w:rsidR="00D84DB6" w:rsidRPr="00EA2597">
        <w:rPr>
          <w:rFonts w:ascii="Times New Roman" w:hAnsi="Times New Roman" w:cs="Times New Roman"/>
          <w:bCs/>
          <w:sz w:val="24"/>
          <w:szCs w:val="24"/>
        </w:rPr>
        <w:t>ПАО Московская Биржа, единственный акционер НКЦ, 16 сентября 2016 года приняло следующее решение (№32) о выплате (объявлении) дивидендов:</w:t>
      </w:r>
    </w:p>
    <w:p w14:paraId="5CF646F5" w14:textId="77777777" w:rsidR="00D84DB6" w:rsidRPr="000D1D1B" w:rsidRDefault="000D1D1B" w:rsidP="00441380">
      <w:pPr>
        <w:pStyle w:val="a3"/>
        <w:numPr>
          <w:ilvl w:val="0"/>
          <w:numId w:val="61"/>
        </w:numPr>
        <w:spacing w:before="120" w:after="0" w:line="240" w:lineRule="auto"/>
        <w:jc w:val="both"/>
        <w:rPr>
          <w:rFonts w:ascii="Times New Roman" w:hAnsi="Times New Roman"/>
          <w:sz w:val="24"/>
          <w:szCs w:val="24"/>
        </w:rPr>
      </w:pPr>
      <w:r>
        <w:rPr>
          <w:rFonts w:ascii="Times New Roman" w:hAnsi="Times New Roman"/>
          <w:sz w:val="24"/>
          <w:szCs w:val="24"/>
        </w:rPr>
        <w:t>н</w:t>
      </w:r>
      <w:r w:rsidR="00D84DB6" w:rsidRPr="000D1D1B">
        <w:rPr>
          <w:rFonts w:ascii="Times New Roman" w:hAnsi="Times New Roman"/>
          <w:sz w:val="24"/>
          <w:szCs w:val="24"/>
        </w:rPr>
        <w:t>аправить на выплату дивидендов нераспределенную прибыль прошлых лет Банка «Национальный Клиринговый Центр» (Акционерное общество) в размере 5 799 993 100 рублей 00 коп.</w:t>
      </w:r>
      <w:r>
        <w:rPr>
          <w:rFonts w:ascii="Times New Roman" w:hAnsi="Times New Roman"/>
          <w:sz w:val="24"/>
          <w:szCs w:val="24"/>
        </w:rPr>
        <w:t>;</w:t>
      </w:r>
    </w:p>
    <w:p w14:paraId="6F0D164B" w14:textId="77777777" w:rsidR="00D84DB6" w:rsidRPr="000D1D1B" w:rsidRDefault="000D1D1B" w:rsidP="00441380">
      <w:pPr>
        <w:pStyle w:val="a3"/>
        <w:numPr>
          <w:ilvl w:val="0"/>
          <w:numId w:val="61"/>
        </w:numPr>
        <w:spacing w:before="120" w:after="0" w:line="240" w:lineRule="auto"/>
        <w:jc w:val="both"/>
        <w:rPr>
          <w:rFonts w:ascii="Times New Roman" w:hAnsi="Times New Roman"/>
          <w:sz w:val="24"/>
          <w:szCs w:val="24"/>
        </w:rPr>
      </w:pPr>
      <w:r>
        <w:rPr>
          <w:rFonts w:ascii="Times New Roman" w:hAnsi="Times New Roman"/>
          <w:sz w:val="24"/>
          <w:szCs w:val="24"/>
        </w:rPr>
        <w:t>о</w:t>
      </w:r>
      <w:r w:rsidR="00D84DB6" w:rsidRPr="000D1D1B">
        <w:rPr>
          <w:rFonts w:ascii="Times New Roman" w:hAnsi="Times New Roman"/>
          <w:sz w:val="24"/>
          <w:szCs w:val="24"/>
        </w:rPr>
        <w:t>пределить следующий размер дивиденда по акциям Банка «Национальный Клиринговый Центр» (Акционерное общество): 347 руб. 93 коп. на одну обыкновенную именную акцию Банка «Национальный Клиринговый Центр» (Акционерное общество) (до уплаты налога на доходы, полученные в качестве дивидендов)</w:t>
      </w:r>
      <w:r>
        <w:rPr>
          <w:rFonts w:ascii="Times New Roman" w:hAnsi="Times New Roman"/>
          <w:sz w:val="24"/>
          <w:szCs w:val="24"/>
        </w:rPr>
        <w:t>;</w:t>
      </w:r>
      <w:r w:rsidR="00D84DB6" w:rsidRPr="000D1D1B">
        <w:rPr>
          <w:rFonts w:ascii="Times New Roman" w:hAnsi="Times New Roman"/>
          <w:sz w:val="24"/>
          <w:szCs w:val="24"/>
        </w:rPr>
        <w:t xml:space="preserve"> </w:t>
      </w:r>
    </w:p>
    <w:p w14:paraId="641D2DA9" w14:textId="77777777" w:rsidR="00D84DB6" w:rsidRPr="000D1D1B" w:rsidRDefault="000D1D1B" w:rsidP="00441380">
      <w:pPr>
        <w:pStyle w:val="a3"/>
        <w:numPr>
          <w:ilvl w:val="0"/>
          <w:numId w:val="61"/>
        </w:numPr>
        <w:spacing w:before="120" w:after="120" w:line="240" w:lineRule="auto"/>
        <w:jc w:val="both"/>
        <w:rPr>
          <w:rFonts w:ascii="Times New Roman" w:hAnsi="Times New Roman"/>
          <w:sz w:val="24"/>
          <w:szCs w:val="24"/>
        </w:rPr>
      </w:pPr>
      <w:r>
        <w:rPr>
          <w:rFonts w:ascii="Times New Roman" w:hAnsi="Times New Roman"/>
          <w:sz w:val="24"/>
          <w:szCs w:val="24"/>
        </w:rPr>
        <w:t>у</w:t>
      </w:r>
      <w:r w:rsidR="00D84DB6" w:rsidRPr="000D1D1B">
        <w:rPr>
          <w:rFonts w:ascii="Times New Roman" w:hAnsi="Times New Roman"/>
          <w:sz w:val="24"/>
          <w:szCs w:val="24"/>
        </w:rPr>
        <w:t>становить датой, на которую определяются лица, имеющие право на получение дивидендов – 26 сентября 2016 года.</w:t>
      </w:r>
    </w:p>
    <w:p w14:paraId="4E6D9452" w14:textId="77777777" w:rsidR="00D84DB6" w:rsidRPr="00EA2597" w:rsidRDefault="000D1D1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lang w:eastAsia="x-none"/>
        </w:rPr>
        <w:lastRenderedPageBreak/>
        <w:t xml:space="preserve">     </w:t>
      </w:r>
      <w:r w:rsidR="00D84DB6" w:rsidRPr="00EA2597">
        <w:rPr>
          <w:rFonts w:ascii="Times New Roman" w:hAnsi="Times New Roman" w:cs="Times New Roman"/>
          <w:bCs/>
          <w:sz w:val="24"/>
          <w:szCs w:val="24"/>
        </w:rPr>
        <w:t xml:space="preserve">Решением также было определено, что дивиденды выплачиваются в денежной форме в сроки, установленные законодательством Российской Федерации. </w:t>
      </w:r>
    </w:p>
    <w:p w14:paraId="5CDFE527" w14:textId="77777777" w:rsidR="00D84DB6" w:rsidRPr="00EA2597" w:rsidRDefault="00D84DB6"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Выплата дивидендов была осуществлена в сентябре 2016 года.</w:t>
      </w:r>
    </w:p>
    <w:p w14:paraId="1467016E" w14:textId="77777777" w:rsidR="00D84DB6" w:rsidRPr="00D84DB6" w:rsidRDefault="00D84DB6" w:rsidP="000D1D1B">
      <w:pPr>
        <w:spacing w:after="0" w:line="240" w:lineRule="auto"/>
        <w:jc w:val="both"/>
        <w:rPr>
          <w:rFonts w:ascii="Times New Roman" w:hAnsi="Times New Roman" w:cs="Times New Roman"/>
          <w:sz w:val="24"/>
          <w:szCs w:val="24"/>
        </w:rPr>
      </w:pPr>
    </w:p>
    <w:p w14:paraId="4EAEA0E4" w14:textId="77777777" w:rsidR="00D84DB6" w:rsidRPr="00D84DB6" w:rsidRDefault="000D1D1B" w:rsidP="000D1D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D84DB6" w:rsidRPr="00D84DB6">
        <w:rPr>
          <w:rFonts w:ascii="Times New Roman" w:hAnsi="Times New Roman" w:cs="Times New Roman"/>
          <w:sz w:val="24"/>
          <w:szCs w:val="24"/>
          <w:lang w:eastAsia="ru-RU"/>
        </w:rPr>
        <w:t xml:space="preserve">ПАО Московская Биржа, единственный акционер НКЦ, </w:t>
      </w:r>
      <w:r w:rsidR="00D84DB6" w:rsidRPr="00D84DB6">
        <w:rPr>
          <w:rFonts w:ascii="Times New Roman" w:hAnsi="Times New Roman" w:cs="Times New Roman"/>
          <w:sz w:val="24"/>
          <w:szCs w:val="24"/>
        </w:rPr>
        <w:t>1 декабря 2016 года приняло следующее решение (№33) о выплате (объявлении) дивидендов:</w:t>
      </w:r>
    </w:p>
    <w:p w14:paraId="1C5F330E" w14:textId="77777777" w:rsidR="00D84DB6" w:rsidRPr="000D1D1B" w:rsidRDefault="000D1D1B" w:rsidP="00441380">
      <w:pPr>
        <w:pStyle w:val="a3"/>
        <w:numPr>
          <w:ilvl w:val="0"/>
          <w:numId w:val="62"/>
        </w:numPr>
        <w:tabs>
          <w:tab w:val="left" w:pos="284"/>
        </w:tabs>
        <w:spacing w:after="0" w:line="240" w:lineRule="auto"/>
        <w:jc w:val="both"/>
        <w:rPr>
          <w:rFonts w:ascii="Times New Roman" w:hAnsi="Times New Roman"/>
          <w:sz w:val="24"/>
          <w:szCs w:val="24"/>
        </w:rPr>
      </w:pPr>
      <w:r>
        <w:rPr>
          <w:rFonts w:ascii="Times New Roman" w:hAnsi="Times New Roman"/>
          <w:sz w:val="24"/>
          <w:szCs w:val="24"/>
        </w:rPr>
        <w:t>н</w:t>
      </w:r>
      <w:r w:rsidR="00D84DB6" w:rsidRPr="000D1D1B">
        <w:rPr>
          <w:rFonts w:ascii="Times New Roman" w:hAnsi="Times New Roman"/>
          <w:sz w:val="24"/>
          <w:szCs w:val="24"/>
        </w:rPr>
        <w:t>аправить на выплату дивидендов нераспределенную прибыль Банка «Национальный Клиринговый Центр» (Акционерное общество) прошлых лет в размере 2 999 933 200 рублей 00 коп.</w:t>
      </w:r>
      <w:r>
        <w:rPr>
          <w:rFonts w:ascii="Times New Roman" w:hAnsi="Times New Roman"/>
          <w:sz w:val="24"/>
          <w:szCs w:val="24"/>
        </w:rPr>
        <w:t>;</w:t>
      </w:r>
    </w:p>
    <w:p w14:paraId="0B366CF7" w14:textId="77777777" w:rsidR="00D84DB6" w:rsidRPr="000D1D1B" w:rsidRDefault="000D1D1B" w:rsidP="00441380">
      <w:pPr>
        <w:pStyle w:val="a3"/>
        <w:numPr>
          <w:ilvl w:val="0"/>
          <w:numId w:val="62"/>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D84DB6" w:rsidRPr="000D1D1B">
        <w:rPr>
          <w:rFonts w:ascii="Times New Roman" w:hAnsi="Times New Roman"/>
          <w:sz w:val="24"/>
          <w:szCs w:val="24"/>
        </w:rPr>
        <w:t>пределить следующий размер дивиденда по акциям Банка «Национальный Клиринговый Центр» (Акционерное общество): 179 руб. 96 коп. на одну обыкновенную именную акцию Банка «Национальный Клиринговый Центр» (Акционерное общество) (до уплаты налога на доходы, полученные в качестве дивидендов)</w:t>
      </w:r>
      <w:r>
        <w:rPr>
          <w:rFonts w:ascii="Times New Roman" w:hAnsi="Times New Roman"/>
          <w:sz w:val="24"/>
          <w:szCs w:val="24"/>
        </w:rPr>
        <w:t>;</w:t>
      </w:r>
      <w:r w:rsidR="00D84DB6" w:rsidRPr="000D1D1B">
        <w:rPr>
          <w:rFonts w:ascii="Times New Roman" w:hAnsi="Times New Roman"/>
          <w:sz w:val="24"/>
          <w:szCs w:val="24"/>
        </w:rPr>
        <w:t xml:space="preserve"> </w:t>
      </w:r>
    </w:p>
    <w:p w14:paraId="41FF0125" w14:textId="77777777" w:rsidR="00D84DB6" w:rsidRPr="000D1D1B" w:rsidRDefault="000D1D1B" w:rsidP="00441380">
      <w:pPr>
        <w:pStyle w:val="a3"/>
        <w:numPr>
          <w:ilvl w:val="0"/>
          <w:numId w:val="62"/>
        </w:numPr>
        <w:tabs>
          <w:tab w:val="left" w:pos="284"/>
        </w:tabs>
        <w:spacing w:after="0" w:line="240" w:lineRule="auto"/>
        <w:jc w:val="both"/>
        <w:rPr>
          <w:rFonts w:ascii="Times New Roman" w:hAnsi="Times New Roman"/>
          <w:sz w:val="24"/>
          <w:szCs w:val="24"/>
        </w:rPr>
      </w:pPr>
      <w:r>
        <w:rPr>
          <w:rFonts w:ascii="Times New Roman" w:hAnsi="Times New Roman"/>
          <w:sz w:val="24"/>
          <w:szCs w:val="24"/>
        </w:rPr>
        <w:t>у</w:t>
      </w:r>
      <w:r w:rsidR="00D84DB6" w:rsidRPr="000D1D1B">
        <w:rPr>
          <w:rFonts w:ascii="Times New Roman" w:hAnsi="Times New Roman"/>
          <w:sz w:val="24"/>
          <w:szCs w:val="24"/>
        </w:rPr>
        <w:t>становить датой, на которую определяются лица, имеющие право на получение дивидендов - 14 декабря 2016 года.</w:t>
      </w:r>
    </w:p>
    <w:p w14:paraId="6EDBB1DE" w14:textId="77777777" w:rsidR="00D84DB6" w:rsidRPr="00EA2597" w:rsidRDefault="000D1D1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lang w:eastAsia="x-none"/>
        </w:rPr>
        <w:t xml:space="preserve">      </w:t>
      </w:r>
      <w:r w:rsidR="00D84DB6" w:rsidRPr="00EA2597">
        <w:rPr>
          <w:rFonts w:ascii="Times New Roman" w:hAnsi="Times New Roman" w:cs="Times New Roman"/>
          <w:bCs/>
          <w:sz w:val="24"/>
          <w:szCs w:val="24"/>
        </w:rPr>
        <w:t>Решением также было определено, что дивиденды выплачиваются в денежной форме в сроки, установленные законодательством Российской Федерации. Выплата дивидендов была осуществлена в декабре 2016 года.</w:t>
      </w:r>
    </w:p>
    <w:p w14:paraId="7D439226" w14:textId="77777777" w:rsidR="006B4C6E" w:rsidRDefault="006B4C6E"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244AA96D" w14:textId="77777777" w:rsidR="006B4C6E" w:rsidRDefault="006B4C6E"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61406A8A" w14:textId="77777777" w:rsidR="003D5AD2" w:rsidRDefault="003D5AD2"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7F4424F1" w14:textId="77777777" w:rsidR="003D5AD2" w:rsidRDefault="003D5AD2"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744A3892" w14:textId="77777777" w:rsidR="003D5AD2" w:rsidRDefault="003D5AD2"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5E691F2A" w14:textId="77777777" w:rsidR="003D5AD2" w:rsidRDefault="003D5AD2"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01DD7E48" w14:textId="77777777" w:rsidR="003D5AD2" w:rsidRDefault="003D5AD2"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14:paraId="5F528A8B" w14:textId="633A5C93" w:rsidR="001E6F67" w:rsidRPr="0002361F" w:rsidRDefault="001E6F67" w:rsidP="0002361F">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r w:rsidRPr="0002361F">
        <w:rPr>
          <w:rFonts w:ascii="Times New Roman" w:eastAsia="Times New Roman" w:hAnsi="Times New Roman" w:cs="Times New Roman"/>
          <w:b/>
          <w:sz w:val="28"/>
          <w:szCs w:val="28"/>
          <w:lang w:eastAsia="ru-RU"/>
        </w:rPr>
        <w:t>1</w:t>
      </w:r>
      <w:r w:rsidR="00C96F61">
        <w:rPr>
          <w:rFonts w:ascii="Times New Roman" w:eastAsia="Times New Roman" w:hAnsi="Times New Roman" w:cs="Times New Roman"/>
          <w:b/>
          <w:sz w:val="28"/>
          <w:szCs w:val="28"/>
          <w:lang w:eastAsia="ru-RU"/>
        </w:rPr>
        <w:t>4</w:t>
      </w:r>
      <w:r w:rsidRPr="0002361F">
        <w:rPr>
          <w:rFonts w:ascii="Times New Roman" w:eastAsia="Times New Roman" w:hAnsi="Times New Roman" w:cs="Times New Roman"/>
          <w:b/>
          <w:sz w:val="28"/>
          <w:szCs w:val="28"/>
          <w:lang w:eastAsia="ru-RU"/>
        </w:rPr>
        <w:t>. О соблюдении Кодекса корпоративного управления</w:t>
      </w:r>
    </w:p>
    <w:p w14:paraId="7C99EF6D" w14:textId="77777777" w:rsidR="009D1954" w:rsidRDefault="009D1954" w:rsidP="000D1D1B">
      <w:pPr>
        <w:spacing w:line="240" w:lineRule="auto"/>
        <w:ind w:firstLine="539"/>
        <w:jc w:val="both"/>
        <w:rPr>
          <w:sz w:val="24"/>
          <w:szCs w:val="24"/>
        </w:rPr>
      </w:pPr>
    </w:p>
    <w:p w14:paraId="38832F3F"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В отчетный период НКЦ уделял значительное внимание повышению уровня корпоративного управления, рассматривая его как один из важнейших инструментов, способствующих достижению поставленных перед Банком стратегических задач. </w:t>
      </w:r>
    </w:p>
    <w:p w14:paraId="1BB8471A" w14:textId="7B4D8B8E"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3E13A4">
        <w:rPr>
          <w:rFonts w:ascii="Times New Roman" w:hAnsi="Times New Roman" w:cs="Times New Roman"/>
          <w:bCs/>
          <w:sz w:val="24"/>
          <w:szCs w:val="24"/>
        </w:rPr>
        <w:t>В этой работе Банк</w:t>
      </w:r>
      <w:r w:rsidR="009D1954" w:rsidRPr="00EA2597">
        <w:rPr>
          <w:rFonts w:ascii="Times New Roman" w:hAnsi="Times New Roman" w:cs="Times New Roman"/>
          <w:bCs/>
          <w:sz w:val="24"/>
          <w:szCs w:val="24"/>
        </w:rPr>
        <w:t xml:space="preserve"> стремится следовать лучшим практикам и стандартам корпоративного управления, признавая, что позитивная динамика на данном направлении является непременным условием для достижения успехов в финансово-хозяйственной деятельности, обеспечения внедрения новых проектов и развития деятельности в целом. </w:t>
      </w:r>
    </w:p>
    <w:p w14:paraId="078C614D" w14:textId="77777777" w:rsidR="009D1954" w:rsidRPr="0002361F" w:rsidRDefault="002D5B9B"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Принимаемые меры по развитию системы корпоративного управления НКЦ были основаны на рекомендациях Кодекса корпоративного управления, одобренного Банком России 21.03.2014, рекомендациях Банка России и Базельского комитета по банковскому надзору, признанных в международной практике принципах корпоративного управления.</w:t>
      </w:r>
      <w:r w:rsidR="009D1954" w:rsidRPr="0002361F">
        <w:rPr>
          <w:rFonts w:ascii="Times New Roman" w:hAnsi="Times New Roman" w:cs="Times New Roman"/>
          <w:sz w:val="24"/>
          <w:szCs w:val="24"/>
        </w:rPr>
        <w:t xml:space="preserve"> </w:t>
      </w:r>
    </w:p>
    <w:p w14:paraId="2F7D8AEF"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В НКЦ утверждены и соблюдаются Принципы корпоративного управления (далее – Принципы), основной целью которых является описание действующих в НКЦ правил и системы корпоративного управления для повышения эффективности ведения бизнеса, увеличения уровня прозрачности, поддержания финансовой стабильности и привлекательности компании для ее стейкхолдеров.</w:t>
      </w:r>
    </w:p>
    <w:p w14:paraId="7E47C2FE"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9D1954" w:rsidRPr="00EA2597">
        <w:rPr>
          <w:rFonts w:ascii="Times New Roman" w:hAnsi="Times New Roman" w:cs="Times New Roman"/>
          <w:bCs/>
          <w:sz w:val="24"/>
          <w:szCs w:val="24"/>
        </w:rPr>
        <w:t xml:space="preserve">В соответствии с Принципами корпоративное управление призвано обеспечить Наблюдательному совету НКЦ и работникам </w:t>
      </w:r>
      <w:r w:rsidR="000D1D1B" w:rsidRPr="00EA2597">
        <w:rPr>
          <w:rFonts w:ascii="Times New Roman" w:hAnsi="Times New Roman" w:cs="Times New Roman"/>
          <w:bCs/>
          <w:sz w:val="24"/>
          <w:szCs w:val="24"/>
        </w:rPr>
        <w:t xml:space="preserve">Банка </w:t>
      </w:r>
      <w:r w:rsidR="009D1954" w:rsidRPr="00EA2597">
        <w:rPr>
          <w:rFonts w:ascii="Times New Roman" w:hAnsi="Times New Roman" w:cs="Times New Roman"/>
          <w:bCs/>
          <w:sz w:val="24"/>
          <w:szCs w:val="24"/>
        </w:rPr>
        <w:t>соответствующие стимулы для достижения целей, в которых заинтересованы НКЦ и акционер, а также должно способствовать осуществлению действенного контроля, поощряя тем самым более эффективное использование НКЦ своих ресурсов.</w:t>
      </w:r>
    </w:p>
    <w:p w14:paraId="2210981D"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Применение НКЦ Принципов продиктовано стремлением повысить для акционера, клиентов (пользователей услуг), работников, кредиторов, Банка России привлекательность НКЦ и основывается на следующих подходах:</w:t>
      </w:r>
    </w:p>
    <w:p w14:paraId="71A86487" w14:textId="77777777" w:rsidR="009D1954" w:rsidRPr="0002361F" w:rsidRDefault="002D5B9B" w:rsidP="001E0717">
      <w:pPr>
        <w:spacing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9D1954" w:rsidRPr="000D1D1B">
        <w:rPr>
          <w:rFonts w:ascii="Times New Roman" w:hAnsi="Times New Roman" w:cs="Times New Roman"/>
          <w:bCs/>
          <w:i/>
          <w:iCs/>
          <w:sz w:val="24"/>
          <w:szCs w:val="24"/>
        </w:rPr>
        <w:t>Подотчетность</w:t>
      </w:r>
      <w:r w:rsidR="009D1954" w:rsidRPr="000D1D1B">
        <w:rPr>
          <w:rFonts w:ascii="Times New Roman" w:hAnsi="Times New Roman" w:cs="Times New Roman"/>
          <w:i/>
          <w:sz w:val="24"/>
          <w:szCs w:val="24"/>
        </w:rPr>
        <w:t>.</w:t>
      </w:r>
      <w:r w:rsidR="009D1954" w:rsidRPr="0002361F">
        <w:rPr>
          <w:rFonts w:ascii="Times New Roman" w:hAnsi="Times New Roman" w:cs="Times New Roman"/>
          <w:sz w:val="24"/>
          <w:szCs w:val="24"/>
        </w:rPr>
        <w:t xml:space="preserve"> Наблюдательный совет и исполнительные органы НКЦ подотчетны единственному акционеру НКЦ.</w:t>
      </w:r>
    </w:p>
    <w:p w14:paraId="642580A2" w14:textId="77777777" w:rsidR="009D1954" w:rsidRPr="0002361F" w:rsidRDefault="002D5B9B" w:rsidP="001E0717">
      <w:pPr>
        <w:spacing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9D1954" w:rsidRPr="000D1D1B">
        <w:rPr>
          <w:rFonts w:ascii="Times New Roman" w:hAnsi="Times New Roman" w:cs="Times New Roman"/>
          <w:bCs/>
          <w:i/>
          <w:iCs/>
          <w:sz w:val="24"/>
          <w:szCs w:val="24"/>
        </w:rPr>
        <w:t>Справедливость</w:t>
      </w:r>
      <w:r w:rsidR="009D1954" w:rsidRPr="000D1D1B">
        <w:rPr>
          <w:rFonts w:ascii="Times New Roman" w:hAnsi="Times New Roman" w:cs="Times New Roman"/>
          <w:i/>
          <w:iCs/>
          <w:sz w:val="24"/>
          <w:szCs w:val="24"/>
        </w:rPr>
        <w:t>.</w:t>
      </w:r>
      <w:r w:rsidR="009D1954" w:rsidRPr="0002361F">
        <w:rPr>
          <w:rFonts w:ascii="Times New Roman" w:hAnsi="Times New Roman" w:cs="Times New Roman"/>
          <w:iCs/>
          <w:sz w:val="24"/>
          <w:szCs w:val="24"/>
        </w:rPr>
        <w:t xml:space="preserve"> </w:t>
      </w:r>
      <w:r w:rsidR="009D1954" w:rsidRPr="0002361F">
        <w:rPr>
          <w:rFonts w:ascii="Times New Roman" w:hAnsi="Times New Roman" w:cs="Times New Roman"/>
          <w:sz w:val="24"/>
          <w:szCs w:val="24"/>
        </w:rPr>
        <w:t>Органы управления НКЦ осуществляют свою деятельность беспристрастно на законных основаниях.</w:t>
      </w:r>
    </w:p>
    <w:p w14:paraId="0DC4AEC8" w14:textId="77777777" w:rsidR="009D1954" w:rsidRPr="0002361F" w:rsidRDefault="002D5B9B" w:rsidP="001E0717">
      <w:pPr>
        <w:spacing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9D1954" w:rsidRPr="000D1D1B">
        <w:rPr>
          <w:rFonts w:ascii="Times New Roman" w:hAnsi="Times New Roman" w:cs="Times New Roman"/>
          <w:bCs/>
          <w:i/>
          <w:iCs/>
          <w:sz w:val="24"/>
          <w:szCs w:val="24"/>
        </w:rPr>
        <w:t>Прозрачность</w:t>
      </w:r>
      <w:r w:rsidR="009D1954" w:rsidRPr="000D1D1B">
        <w:rPr>
          <w:rFonts w:ascii="Times New Roman" w:hAnsi="Times New Roman" w:cs="Times New Roman"/>
          <w:i/>
          <w:iCs/>
          <w:sz w:val="24"/>
          <w:szCs w:val="24"/>
        </w:rPr>
        <w:t>.</w:t>
      </w:r>
      <w:r w:rsidR="009D1954" w:rsidRPr="0002361F">
        <w:rPr>
          <w:rFonts w:ascii="Times New Roman" w:hAnsi="Times New Roman" w:cs="Times New Roman"/>
          <w:iCs/>
          <w:sz w:val="24"/>
          <w:szCs w:val="24"/>
        </w:rPr>
        <w:t xml:space="preserve"> </w:t>
      </w:r>
      <w:r w:rsidR="009D1954" w:rsidRPr="0002361F">
        <w:rPr>
          <w:rFonts w:ascii="Times New Roman" w:hAnsi="Times New Roman" w:cs="Times New Roman"/>
          <w:sz w:val="24"/>
          <w:szCs w:val="24"/>
        </w:rPr>
        <w:t>Органы управления НКЦ обеспечивают своевременное и достаточное раскрытие достоверной информации, касающейся деятельности НКЦ, в том числе о его финансовом положении, результатах деятельности, органах управления. Органы управления НКЦ обеспечивают удобный доступ к данной информации заинтересованным сторонам. Акционеру НКЦ обеспечен доступ к информации в соответствии с действующим законодательством Российской Федерации.</w:t>
      </w:r>
    </w:p>
    <w:p w14:paraId="4D71DFA9" w14:textId="77777777" w:rsidR="009D1954" w:rsidRPr="0002361F" w:rsidRDefault="002D5B9B" w:rsidP="001E0717">
      <w:pPr>
        <w:spacing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9D1954" w:rsidRPr="000D1D1B">
        <w:rPr>
          <w:rFonts w:ascii="Times New Roman" w:hAnsi="Times New Roman" w:cs="Times New Roman"/>
          <w:bCs/>
          <w:i/>
          <w:iCs/>
          <w:sz w:val="24"/>
          <w:szCs w:val="24"/>
        </w:rPr>
        <w:t>Ответственность</w:t>
      </w:r>
      <w:r w:rsidR="009D1954" w:rsidRPr="000D1D1B">
        <w:rPr>
          <w:rFonts w:ascii="Times New Roman" w:hAnsi="Times New Roman" w:cs="Times New Roman"/>
          <w:i/>
          <w:iCs/>
          <w:sz w:val="24"/>
          <w:szCs w:val="24"/>
        </w:rPr>
        <w:t>.</w:t>
      </w:r>
      <w:r w:rsidR="009D1954" w:rsidRPr="0002361F">
        <w:rPr>
          <w:rFonts w:ascii="Times New Roman" w:hAnsi="Times New Roman" w:cs="Times New Roman"/>
          <w:iCs/>
          <w:sz w:val="24"/>
          <w:szCs w:val="24"/>
        </w:rPr>
        <w:t xml:space="preserve"> </w:t>
      </w:r>
      <w:r w:rsidR="009D1954" w:rsidRPr="0002361F">
        <w:rPr>
          <w:rFonts w:ascii="Times New Roman" w:hAnsi="Times New Roman" w:cs="Times New Roman"/>
          <w:sz w:val="24"/>
          <w:szCs w:val="24"/>
        </w:rPr>
        <w:t>Органы управления НКЦ признают и обеспечивают предусмотренные законодательством Российской Федерации права заинтересованных сторон.</w:t>
      </w:r>
    </w:p>
    <w:p w14:paraId="249E284B" w14:textId="77777777" w:rsidR="009D1954" w:rsidRPr="0002361F" w:rsidRDefault="002D5B9B" w:rsidP="001E0717">
      <w:pPr>
        <w:spacing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9D1954" w:rsidRPr="000D1D1B">
        <w:rPr>
          <w:rFonts w:ascii="Times New Roman" w:hAnsi="Times New Roman" w:cs="Times New Roman"/>
          <w:bCs/>
          <w:i/>
          <w:iCs/>
          <w:sz w:val="24"/>
          <w:szCs w:val="24"/>
        </w:rPr>
        <w:t>Стремление к дальнейшему развитию</w:t>
      </w:r>
      <w:r w:rsidR="009D1954" w:rsidRPr="000D1D1B">
        <w:rPr>
          <w:rFonts w:ascii="Times New Roman" w:hAnsi="Times New Roman" w:cs="Times New Roman"/>
          <w:i/>
          <w:iCs/>
          <w:sz w:val="24"/>
          <w:szCs w:val="24"/>
        </w:rPr>
        <w:t>.</w:t>
      </w:r>
      <w:r w:rsidR="009D1954" w:rsidRPr="0002361F">
        <w:rPr>
          <w:rFonts w:ascii="Times New Roman" w:hAnsi="Times New Roman" w:cs="Times New Roman"/>
          <w:iCs/>
          <w:sz w:val="24"/>
          <w:szCs w:val="24"/>
        </w:rPr>
        <w:t xml:space="preserve"> </w:t>
      </w:r>
      <w:r w:rsidR="009D1954" w:rsidRPr="0002361F">
        <w:rPr>
          <w:rFonts w:ascii="Times New Roman" w:hAnsi="Times New Roman" w:cs="Times New Roman"/>
          <w:sz w:val="24"/>
          <w:szCs w:val="24"/>
        </w:rPr>
        <w:t>Органы управления НКЦ признают необходимость постоянного совершенствования системы корпоративного управления НКЦ с учетом ее развития и влияния внешних факторов, а также необходимость постоянного контроля за соблюдением прав и интересов единственного акционера и иных</w:t>
      </w:r>
      <w:r w:rsidR="000D1D1B">
        <w:rPr>
          <w:rFonts w:ascii="Times New Roman" w:hAnsi="Times New Roman" w:cs="Times New Roman"/>
          <w:sz w:val="24"/>
          <w:szCs w:val="24"/>
        </w:rPr>
        <w:t xml:space="preserve"> </w:t>
      </w:r>
      <w:r w:rsidR="009D1954" w:rsidRPr="0002361F">
        <w:rPr>
          <w:rFonts w:ascii="Times New Roman" w:hAnsi="Times New Roman" w:cs="Times New Roman"/>
          <w:sz w:val="24"/>
          <w:szCs w:val="24"/>
        </w:rPr>
        <w:t>заинтересованных сторон.</w:t>
      </w:r>
    </w:p>
    <w:p w14:paraId="627C8D2D" w14:textId="77777777" w:rsidR="009D1954" w:rsidRPr="0002361F" w:rsidRDefault="002D5B9B"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Практика работы Наблюдательного совета показывает высокий уровень вовлеченности его членов в управление деятельностью НКЦ и эффективный контроль за деятельностью Правления и Председателя Правления Банка.</w:t>
      </w:r>
      <w:r w:rsidR="009D1954" w:rsidRPr="0002361F">
        <w:rPr>
          <w:rFonts w:ascii="Times New Roman" w:hAnsi="Times New Roman" w:cs="Times New Roman"/>
          <w:sz w:val="24"/>
          <w:szCs w:val="24"/>
        </w:rPr>
        <w:t xml:space="preserve"> </w:t>
      </w:r>
    </w:p>
    <w:p w14:paraId="5F40DF92"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Все члены Наблюдательного совета обладают высшим образованием, необходимыми знаниями, навыками и компетенцией для решения долгосрочных стратегических задач развития НКЦ и имеют значительный опыт работы в коллегиальных органах управления. Одновременно все члены Наблюдательного совета соответствуют необходимой квалификации и требованиям к деловой репутации, установленным действующим законодательством Российской Федерации. Члены Наблюдательного совета в своей деятельности подотчетны акционеру НКЦ. </w:t>
      </w:r>
    </w:p>
    <w:p w14:paraId="56CDD747"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Для обеспечения принятия качественных и своевременных решений в области назначений и вознаграждений в составе Наблюдательного совета НКЦ образован и функционирует Комитет по назначениям и вознаграждениям. Основной целью такого Комитета является обеспечение эффективной работы Наблюдательного совета НКЦ при решении вопросов, необходимых для обеспечения соответствия системы оплаты труда НКЦ характеру и масштабу совершаемых НКЦ операций, результатам его деятельности, уровню и сочетанию принимаемых рисков. Комитет проводит подготовку предложений в области назначений и вознаграждений членов Наблюдательного совета, членов исполнительных органов НКЦ. Члены Комитета по назначениям и вознаграждениям не </w:t>
      </w:r>
      <w:r w:rsidR="009D1954" w:rsidRPr="00EA2597">
        <w:rPr>
          <w:rFonts w:ascii="Times New Roman" w:hAnsi="Times New Roman" w:cs="Times New Roman"/>
          <w:bCs/>
          <w:sz w:val="24"/>
          <w:szCs w:val="24"/>
        </w:rPr>
        <w:lastRenderedPageBreak/>
        <w:t>являются членами исполнительных органов НКЦ, большинство членов Комитета обладают достаточным опытом или квалификацией, позволяющими им принимать обоснованные решения.</w:t>
      </w:r>
    </w:p>
    <w:p w14:paraId="31C8A692" w14:textId="508A9210"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В целях исполнения требований Федерального закона «О клиринге, клиринговой деятельности и центральном контрагенте» для усиления контроля </w:t>
      </w:r>
      <w:r w:rsidR="003E13A4">
        <w:rPr>
          <w:rFonts w:ascii="Times New Roman" w:hAnsi="Times New Roman" w:cs="Times New Roman"/>
          <w:bCs/>
          <w:sz w:val="24"/>
          <w:szCs w:val="24"/>
        </w:rPr>
        <w:t>над системой управления рисками</w:t>
      </w:r>
      <w:r w:rsidR="009D1954" w:rsidRPr="00EA2597">
        <w:rPr>
          <w:rFonts w:ascii="Times New Roman" w:hAnsi="Times New Roman" w:cs="Times New Roman"/>
          <w:bCs/>
          <w:sz w:val="24"/>
          <w:szCs w:val="24"/>
        </w:rPr>
        <w:t xml:space="preserve"> при Наблюдательном совете НКЦ функционирует Комитет по рискам. Основной задачей Комитета является участие в совершенствовании системы управления рисками Банка как клиринговой организации, осуществляющей функции центрального контрагента, в целях повышения финансовой устойчивости Банка и обеспечения непрерывности клиринговой деятельности. Не менее половины членов состава Комитета по рискам составляют представители участников клиринга.</w:t>
      </w:r>
    </w:p>
    <w:p w14:paraId="2F0AEDBC" w14:textId="0266738F" w:rsidR="009D1954" w:rsidRPr="0002361F"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1954" w:rsidRPr="0002361F">
        <w:rPr>
          <w:rFonts w:ascii="Times New Roman" w:hAnsi="Times New Roman" w:cs="Times New Roman"/>
          <w:bCs/>
          <w:sz w:val="24"/>
          <w:szCs w:val="24"/>
        </w:rPr>
        <w:t>С целью совершенствовани</w:t>
      </w:r>
      <w:r w:rsidR="003E13A4">
        <w:rPr>
          <w:rFonts w:ascii="Times New Roman" w:hAnsi="Times New Roman" w:cs="Times New Roman"/>
          <w:bCs/>
          <w:sz w:val="24"/>
          <w:szCs w:val="24"/>
        </w:rPr>
        <w:t>я работы Наблюдательного совета</w:t>
      </w:r>
      <w:r w:rsidR="009D1954" w:rsidRPr="0002361F">
        <w:rPr>
          <w:rFonts w:ascii="Times New Roman" w:hAnsi="Times New Roman" w:cs="Times New Roman"/>
          <w:bCs/>
          <w:sz w:val="24"/>
          <w:szCs w:val="24"/>
        </w:rPr>
        <w:t xml:space="preserve"> как с организационной, так и с содержательной стороны в 2016 году были проведены оценка компетенций членов совета и самооценка качества работы Наблюдательного совета.</w:t>
      </w:r>
      <w:r w:rsidR="003E13A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E13A4">
        <w:rPr>
          <w:rFonts w:ascii="Times New Roman" w:hAnsi="Times New Roman" w:cs="Times New Roman"/>
          <w:bCs/>
          <w:sz w:val="24"/>
          <w:szCs w:val="24"/>
        </w:rPr>
        <w:t>Проведенная о</w:t>
      </w:r>
      <w:r w:rsidR="009D1954" w:rsidRPr="0002361F">
        <w:rPr>
          <w:rFonts w:ascii="Times New Roman" w:hAnsi="Times New Roman" w:cs="Times New Roman"/>
          <w:bCs/>
          <w:sz w:val="24"/>
          <w:szCs w:val="24"/>
        </w:rPr>
        <w:t>ценка  показала достаточный уровень знаний членов Наблюдательного совета во всех основных сферах деятельности Банка и выявила зоны для дальнейшего развития.</w:t>
      </w:r>
    </w:p>
    <w:p w14:paraId="514F0C8E" w14:textId="77777777" w:rsidR="009D1954" w:rsidRPr="0002361F"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1954" w:rsidRPr="0002361F">
        <w:rPr>
          <w:rFonts w:ascii="Times New Roman" w:hAnsi="Times New Roman" w:cs="Times New Roman"/>
          <w:bCs/>
          <w:sz w:val="24"/>
          <w:szCs w:val="24"/>
        </w:rPr>
        <w:t>Самооценка качества работы Наблюдательного совета также дала положительный результат, показавший отсутствие значимых препятствий для эффективной работы данного органа управления. В ходе проведения оценки была собрана значимая обратная связь для совершенствования работы Наблюдательного совета</w:t>
      </w:r>
      <w:r w:rsidR="009D1954" w:rsidRPr="0002361F" w:rsidDel="00325A2A">
        <w:rPr>
          <w:rFonts w:ascii="Times New Roman" w:hAnsi="Times New Roman" w:cs="Times New Roman"/>
          <w:bCs/>
          <w:sz w:val="24"/>
          <w:szCs w:val="24"/>
        </w:rPr>
        <w:t xml:space="preserve"> </w:t>
      </w:r>
      <w:r w:rsidR="009D1954" w:rsidRPr="0002361F">
        <w:rPr>
          <w:rFonts w:ascii="Times New Roman" w:hAnsi="Times New Roman" w:cs="Times New Roman"/>
          <w:bCs/>
          <w:sz w:val="24"/>
          <w:szCs w:val="24"/>
        </w:rPr>
        <w:t>и подготовки его заседаний, на основании которой был подготовлен план мероприятий на 2017 год.</w:t>
      </w:r>
    </w:p>
    <w:p w14:paraId="60A17375" w14:textId="77777777" w:rsidR="009D1954" w:rsidRPr="0002361F"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1954" w:rsidRPr="0002361F">
        <w:rPr>
          <w:rFonts w:ascii="Times New Roman" w:hAnsi="Times New Roman" w:cs="Times New Roman"/>
          <w:bCs/>
          <w:sz w:val="24"/>
          <w:szCs w:val="24"/>
        </w:rPr>
        <w:t>Для повышения эффективности и контроля за состоянием корпоративного управления Банком в 2016 году была проведена оценка состояния корпоративного управления с привлечением членов Наблюдательного совета к участию в такой оценке. Проведенная оценка корпоративного управления за 2016 год продемонстрировала улучшение состояния корпоративного управления по ряду вопросов, в том числе, в части утверждения стратегии развития Банка, организации деятельности и выплаты вознаграждений членам Наблюдательного совета.</w:t>
      </w:r>
    </w:p>
    <w:p w14:paraId="2CD74179"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Практика корпоративного управления в НКЦ обеспечивает Правлению и его Председателю возможность разумно, добросовестно, исключительно в интересах Банка осуществлять эффективное руководство текущей деятельностью, а также подотчетность данных органов Наблюдательному совету и Общему собранию акционеров (единственному акционеру). Правление и Председатель Правления организуют выполнение решений Общего собрания акционеров (единственного акционера) и Наблюдательного совета. </w:t>
      </w:r>
    </w:p>
    <w:p w14:paraId="58F77CFF"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Одним из ключевых принципов корпоративного управления НКЦ является своевременное раскрытие достоверной информации о НКЦ в соответствии с требованиями законодательства Российской Федерации и внутренними документами НКЦ. Раскрытие информации осуществляется в соответствии с Положением об информационной политике НКЦ, утвержденным Наблюдательным советом и основанным на принципах регулярности и оперативности предоставления информации, ее доступности для заинтересованных сторон, достоверности и полноты ее содержания. </w:t>
      </w:r>
    </w:p>
    <w:p w14:paraId="29832BC3" w14:textId="77777777" w:rsidR="009D1954" w:rsidRPr="00EA2597" w:rsidRDefault="002D5B9B" w:rsidP="00EA2597">
      <w:pPr>
        <w:spacing w:line="240" w:lineRule="auto"/>
        <w:ind w:firstLine="567"/>
        <w:jc w:val="both"/>
        <w:rPr>
          <w:rFonts w:ascii="Times New Roman" w:hAnsi="Times New Roman" w:cs="Times New Roman"/>
          <w:bCs/>
          <w:sz w:val="24"/>
          <w:szCs w:val="24"/>
        </w:rPr>
      </w:pPr>
      <w:r w:rsidRPr="00EA2597">
        <w:rPr>
          <w:rFonts w:ascii="Times New Roman" w:hAnsi="Times New Roman" w:cs="Times New Roman"/>
          <w:bCs/>
          <w:sz w:val="24"/>
          <w:szCs w:val="24"/>
        </w:rPr>
        <w:t xml:space="preserve">     </w:t>
      </w:r>
      <w:r w:rsidR="009D1954" w:rsidRPr="00EA2597">
        <w:rPr>
          <w:rFonts w:ascii="Times New Roman" w:hAnsi="Times New Roman" w:cs="Times New Roman"/>
          <w:bCs/>
          <w:sz w:val="24"/>
          <w:szCs w:val="24"/>
        </w:rPr>
        <w:t xml:space="preserve">В соответствии с требованиями законодательства НКЦ раскрывает информацию при осуществлении функций кредитной организации, а также клиринговой организации и центрального контрагента. НКЦ раскрывает бухгалтерскую (финансовую) отчетность в соответствии с российскими и международными стандартами, также раскрывает дополнительную информацию о своей деятельности, которая может являться существенной </w:t>
      </w:r>
      <w:r w:rsidR="009D1954" w:rsidRPr="00EA2597">
        <w:rPr>
          <w:rFonts w:ascii="Times New Roman" w:hAnsi="Times New Roman" w:cs="Times New Roman"/>
          <w:bCs/>
          <w:sz w:val="24"/>
          <w:szCs w:val="24"/>
        </w:rPr>
        <w:lastRenderedPageBreak/>
        <w:t xml:space="preserve">для акционера и иных заинтересованных лиц, с соблюдением разумного баланса между открытостью Банка и защитой его коммерческих интересов. Для раскрытия информации НКЦ использует наиболее удобные для адресатов средства и способы. Официальный сайт НКЦ является основным каналом раскрытия информации НКЦ, поэтому на сайте НКЦ размещается информация, достаточная для формирования объективного представления о существенных аспектах деятельности НКЦ (www.nkcbank.ru). НКЦ раскрывает информацию также через средства массовой информации, существенные события или действия НКЦ, как правило, сопровождаются выпуском пресс-релизов. </w:t>
      </w:r>
    </w:p>
    <w:p w14:paraId="2832AB9D"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С целью защиты прав и законных интересов акционера и для целей осуществления эффективного контроля за финансово-хозяйственной деятельностью в НКЦ функционирует Ревизионная комиссия, которая избирается на годовом Общем собрании акционеров. Ревизионная комиссия подотчетна Общему собранию акционеров и действует независимо от других органов управления Банка.</w:t>
      </w:r>
    </w:p>
    <w:p w14:paraId="3AEE5C5C" w14:textId="77777777"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Для проверки и подтверждения достоверности финансовой отчетности НКЦ на договорной основе ежегодно привлекает профессиональную аудиторскую организацию, не связанную имущественными интересами с НКЦ или его единственным акционером.</w:t>
      </w:r>
    </w:p>
    <w:p w14:paraId="655A0358" w14:textId="77777777" w:rsidR="009D1954" w:rsidRPr="0002361F" w:rsidRDefault="002D5B9B" w:rsidP="00EA25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В отчетн</w:t>
      </w:r>
      <w:r w:rsidR="000D1D1B" w:rsidRPr="00EA2597">
        <w:rPr>
          <w:rFonts w:ascii="Times New Roman" w:hAnsi="Times New Roman" w:cs="Times New Roman"/>
          <w:bCs/>
          <w:sz w:val="24"/>
          <w:szCs w:val="24"/>
        </w:rPr>
        <w:t xml:space="preserve">ый </w:t>
      </w:r>
      <w:r w:rsidR="009D1954" w:rsidRPr="00EA2597">
        <w:rPr>
          <w:rFonts w:ascii="Times New Roman" w:hAnsi="Times New Roman" w:cs="Times New Roman"/>
          <w:bCs/>
          <w:sz w:val="24"/>
          <w:szCs w:val="24"/>
        </w:rPr>
        <w:t>период был актуализирован Кодекс деловой этики, которым закреплены принципы взаимодействия работников НКЦ, включая членов исполнительных органов, с клиентами, партнерами, средствами массовой информации, государственными и политическими организациями, иные правила внешних коммуникаций. Отдельное внимание уделено описанию ситуаций, которые могут расцениваться как конфликт интересов или привести к конфликту интересов, а также действий, которые рекомендуется предпринимать для его предотвращения.</w:t>
      </w:r>
    </w:p>
    <w:p w14:paraId="493F4393" w14:textId="2C71D894" w:rsidR="009D1954" w:rsidRPr="00EA2597" w:rsidRDefault="002D5B9B" w:rsidP="00EA2597">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9D1954" w:rsidRPr="00EA2597">
        <w:rPr>
          <w:rFonts w:ascii="Times New Roman" w:hAnsi="Times New Roman" w:cs="Times New Roman"/>
          <w:bCs/>
          <w:sz w:val="24"/>
          <w:szCs w:val="24"/>
        </w:rPr>
        <w:t xml:space="preserve">Также в НКЦ утвержден </w:t>
      </w:r>
      <w:r w:rsidR="003E13A4">
        <w:rPr>
          <w:rFonts w:ascii="Times New Roman" w:hAnsi="Times New Roman" w:cs="Times New Roman"/>
          <w:bCs/>
          <w:sz w:val="24"/>
          <w:szCs w:val="24"/>
        </w:rPr>
        <w:t>п</w:t>
      </w:r>
      <w:r w:rsidR="009D1954" w:rsidRPr="00EA2597">
        <w:rPr>
          <w:rFonts w:ascii="Times New Roman" w:hAnsi="Times New Roman" w:cs="Times New Roman"/>
          <w:bCs/>
          <w:sz w:val="24"/>
          <w:szCs w:val="24"/>
        </w:rPr>
        <w:t>орядок предотвращения конфликта интересов, отражающий основания возникновения конфликта интересов, меры, направленные на их предотвращение и порядок урегулирования конфликта интересов</w:t>
      </w:r>
      <w:r w:rsidR="003E13A4">
        <w:rPr>
          <w:rFonts w:ascii="Times New Roman" w:hAnsi="Times New Roman" w:cs="Times New Roman"/>
          <w:bCs/>
          <w:sz w:val="24"/>
          <w:szCs w:val="24"/>
        </w:rPr>
        <w:t>, а также</w:t>
      </w:r>
      <w:r w:rsidR="009D1954" w:rsidRPr="00EA2597">
        <w:rPr>
          <w:rFonts w:ascii="Times New Roman" w:hAnsi="Times New Roman" w:cs="Times New Roman"/>
          <w:bCs/>
          <w:sz w:val="24"/>
          <w:szCs w:val="24"/>
        </w:rPr>
        <w:t xml:space="preserve">  </w:t>
      </w:r>
      <w:r w:rsidR="003E13A4">
        <w:rPr>
          <w:rFonts w:ascii="Times New Roman" w:hAnsi="Times New Roman" w:cs="Times New Roman"/>
          <w:bCs/>
          <w:sz w:val="24"/>
          <w:szCs w:val="24"/>
        </w:rPr>
        <w:t>а</w:t>
      </w:r>
      <w:r w:rsidR="009D1954" w:rsidRPr="00EA2597">
        <w:rPr>
          <w:rFonts w:ascii="Times New Roman" w:hAnsi="Times New Roman" w:cs="Times New Roman"/>
          <w:bCs/>
          <w:sz w:val="24"/>
          <w:szCs w:val="24"/>
        </w:rPr>
        <w:t>нтикоррупционная политика, устанавливающая принципы, которыми руководствуется Банк в своей деятельности в рамках соблюдения требований антикоррупционного законодательства, и ситуации, содержащие признаки коррупционного риска</w:t>
      </w:r>
      <w:r w:rsidR="003E13A4">
        <w:rPr>
          <w:rFonts w:ascii="Times New Roman" w:hAnsi="Times New Roman" w:cs="Times New Roman"/>
          <w:bCs/>
          <w:sz w:val="24"/>
          <w:szCs w:val="24"/>
        </w:rPr>
        <w:t xml:space="preserve"> и</w:t>
      </w:r>
      <w:r w:rsidR="009D1954" w:rsidRPr="00EA2597">
        <w:rPr>
          <w:rFonts w:ascii="Times New Roman" w:hAnsi="Times New Roman" w:cs="Times New Roman"/>
          <w:bCs/>
          <w:sz w:val="24"/>
          <w:szCs w:val="24"/>
        </w:rPr>
        <w:t xml:space="preserve"> меры, направленные на их предупреждение и противодействие коррупции в деятельности Банка.</w:t>
      </w:r>
    </w:p>
    <w:sectPr w:rsidR="009D1954" w:rsidRPr="00EA2597" w:rsidSect="00D85C20">
      <w:footerReference w:type="default" r:id="rId4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80CA9" w14:textId="77777777" w:rsidR="00A9593D" w:rsidRDefault="00A9593D" w:rsidP="00C61C6C">
      <w:pPr>
        <w:spacing w:after="0" w:line="240" w:lineRule="auto"/>
      </w:pPr>
      <w:r>
        <w:separator/>
      </w:r>
    </w:p>
  </w:endnote>
  <w:endnote w:type="continuationSeparator" w:id="0">
    <w:p w14:paraId="31844CCD" w14:textId="77777777" w:rsidR="00A9593D" w:rsidRDefault="00A9593D" w:rsidP="00C6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903"/>
      <w:docPartObj>
        <w:docPartGallery w:val="Page Numbers (Bottom of Page)"/>
        <w:docPartUnique/>
      </w:docPartObj>
    </w:sdtPr>
    <w:sdtContent>
      <w:p w14:paraId="2FC15E68" w14:textId="77777777" w:rsidR="0068193E" w:rsidRDefault="0068193E">
        <w:pPr>
          <w:pStyle w:val="af8"/>
          <w:jc w:val="center"/>
        </w:pPr>
        <w:r>
          <w:fldChar w:fldCharType="begin"/>
        </w:r>
        <w:r>
          <w:instrText>PAGE   \* MERGEFORMAT</w:instrText>
        </w:r>
        <w:r>
          <w:fldChar w:fldCharType="separate"/>
        </w:r>
        <w:r w:rsidR="00E01D56">
          <w:rPr>
            <w:noProof/>
          </w:rPr>
          <w:t>87</w:t>
        </w:r>
        <w:r>
          <w:fldChar w:fldCharType="end"/>
        </w:r>
      </w:p>
    </w:sdtContent>
  </w:sdt>
  <w:p w14:paraId="284F77A7" w14:textId="77777777" w:rsidR="0068193E" w:rsidRDefault="006819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F81D" w14:textId="77777777" w:rsidR="00A9593D" w:rsidRDefault="00A9593D" w:rsidP="00C61C6C">
      <w:pPr>
        <w:spacing w:after="0" w:line="240" w:lineRule="auto"/>
      </w:pPr>
      <w:r>
        <w:separator/>
      </w:r>
    </w:p>
  </w:footnote>
  <w:footnote w:type="continuationSeparator" w:id="0">
    <w:p w14:paraId="059AEE25" w14:textId="77777777" w:rsidR="00A9593D" w:rsidRDefault="00A9593D" w:rsidP="00C61C6C">
      <w:pPr>
        <w:spacing w:after="0" w:line="240" w:lineRule="auto"/>
      </w:pPr>
      <w:r>
        <w:continuationSeparator/>
      </w:r>
    </w:p>
  </w:footnote>
  <w:footnote w:id="1">
    <w:p w14:paraId="1E8FEAE9" w14:textId="77777777" w:rsidR="0068193E" w:rsidRPr="00B330EF" w:rsidRDefault="0068193E" w:rsidP="00425F8B">
      <w:pPr>
        <w:pStyle w:val="af1"/>
      </w:pPr>
      <w:r>
        <w:rPr>
          <w:rStyle w:val="af3"/>
        </w:rPr>
        <w:footnoteRef/>
      </w:r>
      <w:r>
        <w:t xml:space="preserve"> </w:t>
      </w:r>
      <w:r w:rsidRPr="00994520">
        <w:rPr>
          <w:rFonts w:ascii="Times New Roman" w:hAnsi="Times New Roman"/>
          <w:sz w:val="16"/>
          <w:szCs w:val="16"/>
        </w:rPr>
        <w:t>Инструкци</w:t>
      </w:r>
      <w:r>
        <w:rPr>
          <w:rFonts w:ascii="Times New Roman" w:hAnsi="Times New Roman"/>
          <w:sz w:val="16"/>
          <w:szCs w:val="16"/>
        </w:rPr>
        <w:t>я</w:t>
      </w:r>
      <w:r w:rsidRPr="00994520">
        <w:rPr>
          <w:rFonts w:ascii="Times New Roman" w:hAnsi="Times New Roman"/>
          <w:sz w:val="16"/>
          <w:szCs w:val="16"/>
        </w:rPr>
        <w:t xml:space="preserve">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(далее – Инструкция </w:t>
      </w:r>
      <w:r>
        <w:rPr>
          <w:rFonts w:ascii="Times New Roman" w:hAnsi="Times New Roman"/>
          <w:sz w:val="16"/>
          <w:szCs w:val="16"/>
        </w:rPr>
        <w:t>№</w:t>
      </w:r>
      <w:r w:rsidRPr="00994520">
        <w:rPr>
          <w:rFonts w:ascii="Times New Roman" w:hAnsi="Times New Roman"/>
          <w:sz w:val="16"/>
          <w:szCs w:val="16"/>
        </w:rPr>
        <w:t>154-И)</w:t>
      </w:r>
      <w:r w:rsidRPr="00477DB0">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ED0"/>
    <w:multiLevelType w:val="hybridMultilevel"/>
    <w:tmpl w:val="2F32E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005D5"/>
    <w:multiLevelType w:val="hybridMultilevel"/>
    <w:tmpl w:val="E12016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631316B"/>
    <w:multiLevelType w:val="hybridMultilevel"/>
    <w:tmpl w:val="3170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229C"/>
    <w:multiLevelType w:val="hybridMultilevel"/>
    <w:tmpl w:val="F0020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D403E"/>
    <w:multiLevelType w:val="hybridMultilevel"/>
    <w:tmpl w:val="9C7E2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F8A53FF"/>
    <w:multiLevelType w:val="hybridMultilevel"/>
    <w:tmpl w:val="52B2F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FD92090"/>
    <w:multiLevelType w:val="hybridMultilevel"/>
    <w:tmpl w:val="DC30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87041"/>
    <w:multiLevelType w:val="hybridMultilevel"/>
    <w:tmpl w:val="773CA2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E50263"/>
    <w:multiLevelType w:val="hybridMultilevel"/>
    <w:tmpl w:val="171ABC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68F1E2A"/>
    <w:multiLevelType w:val="hybridMultilevel"/>
    <w:tmpl w:val="C8A86B6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7F37694"/>
    <w:multiLevelType w:val="hybridMultilevel"/>
    <w:tmpl w:val="BDE448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A9D1D05"/>
    <w:multiLevelType w:val="hybridMultilevel"/>
    <w:tmpl w:val="E118E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AE273DF"/>
    <w:multiLevelType w:val="hybridMultilevel"/>
    <w:tmpl w:val="2BF26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F054B6C"/>
    <w:multiLevelType w:val="hybridMultilevel"/>
    <w:tmpl w:val="67C0B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2654CF"/>
    <w:multiLevelType w:val="hybridMultilevel"/>
    <w:tmpl w:val="BF0CC5C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23204CB3"/>
    <w:multiLevelType w:val="hybridMultilevel"/>
    <w:tmpl w:val="4E5467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4B27D41"/>
    <w:multiLevelType w:val="hybridMultilevel"/>
    <w:tmpl w:val="D3C8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7B6464"/>
    <w:multiLevelType w:val="hybridMultilevel"/>
    <w:tmpl w:val="C8A27A0C"/>
    <w:lvl w:ilvl="0" w:tplc="F7A2A910">
      <w:start w:val="1"/>
      <w:numFmt w:val="upperRoman"/>
      <w:lvlText w:val="%1."/>
      <w:lvlJc w:val="right"/>
      <w:pPr>
        <w:ind w:left="360"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B3401"/>
    <w:multiLevelType w:val="hybridMultilevel"/>
    <w:tmpl w:val="B1662D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6F24396"/>
    <w:multiLevelType w:val="hybridMultilevel"/>
    <w:tmpl w:val="4296D1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7702D15"/>
    <w:multiLevelType w:val="hybridMultilevel"/>
    <w:tmpl w:val="5A3AF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AF26FF"/>
    <w:multiLevelType w:val="singleLevel"/>
    <w:tmpl w:val="8EA25806"/>
    <w:styleLink w:val="15"/>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7D609A7"/>
    <w:multiLevelType w:val="hybridMultilevel"/>
    <w:tmpl w:val="01B0163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28841695"/>
    <w:multiLevelType w:val="hybridMultilevel"/>
    <w:tmpl w:val="34E0C8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2C6D1DD7"/>
    <w:multiLevelType w:val="hybridMultilevel"/>
    <w:tmpl w:val="26D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BF5CCB"/>
    <w:multiLevelType w:val="hybridMultilevel"/>
    <w:tmpl w:val="51848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CFE4329"/>
    <w:multiLevelType w:val="hybridMultilevel"/>
    <w:tmpl w:val="596C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4C2A34"/>
    <w:multiLevelType w:val="hybridMultilevel"/>
    <w:tmpl w:val="80A0DD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328F4972"/>
    <w:multiLevelType w:val="hybridMultilevel"/>
    <w:tmpl w:val="BF9C3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6C5E06"/>
    <w:multiLevelType w:val="hybridMultilevel"/>
    <w:tmpl w:val="CE1ED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52457F7"/>
    <w:multiLevelType w:val="hybridMultilevel"/>
    <w:tmpl w:val="CB005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5703896"/>
    <w:multiLevelType w:val="hybridMultilevel"/>
    <w:tmpl w:val="8410FB86"/>
    <w:lvl w:ilvl="0" w:tplc="04190005">
      <w:start w:val="1"/>
      <w:numFmt w:val="bullet"/>
      <w:lvlText w:val=""/>
      <w:lvlJc w:val="left"/>
      <w:pPr>
        <w:ind w:left="2436" w:hanging="360"/>
      </w:pPr>
      <w:rPr>
        <w:rFonts w:ascii="Wingdings" w:hAnsi="Wingdings" w:hint="default"/>
      </w:rPr>
    </w:lvl>
    <w:lvl w:ilvl="1" w:tplc="04190003" w:tentative="1">
      <w:start w:val="1"/>
      <w:numFmt w:val="bullet"/>
      <w:lvlText w:val="o"/>
      <w:lvlJc w:val="left"/>
      <w:pPr>
        <w:ind w:left="3156" w:hanging="360"/>
      </w:pPr>
      <w:rPr>
        <w:rFonts w:ascii="Courier New" w:hAnsi="Courier New" w:cs="Courier New" w:hint="default"/>
      </w:rPr>
    </w:lvl>
    <w:lvl w:ilvl="2" w:tplc="04190005" w:tentative="1">
      <w:start w:val="1"/>
      <w:numFmt w:val="bullet"/>
      <w:lvlText w:val=""/>
      <w:lvlJc w:val="left"/>
      <w:pPr>
        <w:ind w:left="3876" w:hanging="360"/>
      </w:pPr>
      <w:rPr>
        <w:rFonts w:ascii="Wingdings" w:hAnsi="Wingdings" w:hint="default"/>
      </w:rPr>
    </w:lvl>
    <w:lvl w:ilvl="3" w:tplc="04190001" w:tentative="1">
      <w:start w:val="1"/>
      <w:numFmt w:val="bullet"/>
      <w:lvlText w:val=""/>
      <w:lvlJc w:val="left"/>
      <w:pPr>
        <w:ind w:left="4596" w:hanging="360"/>
      </w:pPr>
      <w:rPr>
        <w:rFonts w:ascii="Symbol" w:hAnsi="Symbol" w:hint="default"/>
      </w:rPr>
    </w:lvl>
    <w:lvl w:ilvl="4" w:tplc="04190003" w:tentative="1">
      <w:start w:val="1"/>
      <w:numFmt w:val="bullet"/>
      <w:lvlText w:val="o"/>
      <w:lvlJc w:val="left"/>
      <w:pPr>
        <w:ind w:left="5316" w:hanging="360"/>
      </w:pPr>
      <w:rPr>
        <w:rFonts w:ascii="Courier New" w:hAnsi="Courier New" w:cs="Courier New" w:hint="default"/>
      </w:rPr>
    </w:lvl>
    <w:lvl w:ilvl="5" w:tplc="04190005" w:tentative="1">
      <w:start w:val="1"/>
      <w:numFmt w:val="bullet"/>
      <w:lvlText w:val=""/>
      <w:lvlJc w:val="left"/>
      <w:pPr>
        <w:ind w:left="6036" w:hanging="360"/>
      </w:pPr>
      <w:rPr>
        <w:rFonts w:ascii="Wingdings" w:hAnsi="Wingdings" w:hint="default"/>
      </w:rPr>
    </w:lvl>
    <w:lvl w:ilvl="6" w:tplc="04190001" w:tentative="1">
      <w:start w:val="1"/>
      <w:numFmt w:val="bullet"/>
      <w:lvlText w:val=""/>
      <w:lvlJc w:val="left"/>
      <w:pPr>
        <w:ind w:left="6756" w:hanging="360"/>
      </w:pPr>
      <w:rPr>
        <w:rFonts w:ascii="Symbol" w:hAnsi="Symbol" w:hint="default"/>
      </w:rPr>
    </w:lvl>
    <w:lvl w:ilvl="7" w:tplc="04190003" w:tentative="1">
      <w:start w:val="1"/>
      <w:numFmt w:val="bullet"/>
      <w:lvlText w:val="o"/>
      <w:lvlJc w:val="left"/>
      <w:pPr>
        <w:ind w:left="7476" w:hanging="360"/>
      </w:pPr>
      <w:rPr>
        <w:rFonts w:ascii="Courier New" w:hAnsi="Courier New" w:cs="Courier New" w:hint="default"/>
      </w:rPr>
    </w:lvl>
    <w:lvl w:ilvl="8" w:tplc="04190005" w:tentative="1">
      <w:start w:val="1"/>
      <w:numFmt w:val="bullet"/>
      <w:lvlText w:val=""/>
      <w:lvlJc w:val="left"/>
      <w:pPr>
        <w:ind w:left="8196" w:hanging="360"/>
      </w:pPr>
      <w:rPr>
        <w:rFonts w:ascii="Wingdings" w:hAnsi="Wingdings" w:hint="default"/>
      </w:rPr>
    </w:lvl>
  </w:abstractNum>
  <w:abstractNum w:abstractNumId="32" w15:restartNumberingAfterBreak="0">
    <w:nsid w:val="374F0506"/>
    <w:multiLevelType w:val="hybridMultilevel"/>
    <w:tmpl w:val="B9685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3E5F9E"/>
    <w:multiLevelType w:val="hybridMultilevel"/>
    <w:tmpl w:val="16AA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E72D56"/>
    <w:multiLevelType w:val="hybridMultilevel"/>
    <w:tmpl w:val="FB548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C7F13E2"/>
    <w:multiLevelType w:val="hybridMultilevel"/>
    <w:tmpl w:val="E952A6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D8D15DA"/>
    <w:multiLevelType w:val="multilevel"/>
    <w:tmpl w:val="1B96C19E"/>
    <w:lvl w:ilvl="0">
      <w:start w:val="1"/>
      <w:numFmt w:val="decimal"/>
      <w:lvlText w:val="%1."/>
      <w:lvlJc w:val="left"/>
      <w:pPr>
        <w:ind w:left="927"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3E370FD3"/>
    <w:multiLevelType w:val="hybridMultilevel"/>
    <w:tmpl w:val="7212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B94177"/>
    <w:multiLevelType w:val="hybridMultilevel"/>
    <w:tmpl w:val="8086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5F14AE"/>
    <w:multiLevelType w:val="hybridMultilevel"/>
    <w:tmpl w:val="DDB04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FB48E8"/>
    <w:multiLevelType w:val="hybridMultilevel"/>
    <w:tmpl w:val="818C4EB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9C425A"/>
    <w:multiLevelType w:val="hybridMultilevel"/>
    <w:tmpl w:val="7B840AB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4DDA70D9"/>
    <w:multiLevelType w:val="hybridMultilevel"/>
    <w:tmpl w:val="F9A86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380DB3"/>
    <w:multiLevelType w:val="hybridMultilevel"/>
    <w:tmpl w:val="6F20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5A1869"/>
    <w:multiLevelType w:val="hybridMultilevel"/>
    <w:tmpl w:val="42E4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67D2B"/>
    <w:multiLevelType w:val="multilevel"/>
    <w:tmpl w:val="4334A87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51EE5B3B"/>
    <w:multiLevelType w:val="hybridMultilevel"/>
    <w:tmpl w:val="5A16810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535709A4"/>
    <w:multiLevelType w:val="hybridMultilevel"/>
    <w:tmpl w:val="312A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62639C8"/>
    <w:multiLevelType w:val="hybridMultilevel"/>
    <w:tmpl w:val="F3A6A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587E2B7F"/>
    <w:multiLevelType w:val="hybridMultilevel"/>
    <w:tmpl w:val="B1D27310"/>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C635F2"/>
    <w:multiLevelType w:val="hybridMultilevel"/>
    <w:tmpl w:val="7FF8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653AFB"/>
    <w:multiLevelType w:val="hybridMultilevel"/>
    <w:tmpl w:val="39D4C46C"/>
    <w:lvl w:ilvl="0" w:tplc="8AEC04FA">
      <w:start w:val="9"/>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2" w15:restartNumberingAfterBreak="0">
    <w:nsid w:val="5DED17F8"/>
    <w:multiLevelType w:val="hybridMultilevel"/>
    <w:tmpl w:val="68944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F67CF1"/>
    <w:multiLevelType w:val="hybridMultilevel"/>
    <w:tmpl w:val="F384B8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5FD2401E"/>
    <w:multiLevelType w:val="hybridMultilevel"/>
    <w:tmpl w:val="12BADF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621E5FCD"/>
    <w:multiLevelType w:val="hybridMultilevel"/>
    <w:tmpl w:val="1032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2A1038F"/>
    <w:multiLevelType w:val="hybridMultilevel"/>
    <w:tmpl w:val="45067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3102AAB"/>
    <w:multiLevelType w:val="hybridMultilevel"/>
    <w:tmpl w:val="1ABC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A62FB7"/>
    <w:multiLevelType w:val="hybridMultilevel"/>
    <w:tmpl w:val="6FEC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E276D6"/>
    <w:multiLevelType w:val="hybridMultilevel"/>
    <w:tmpl w:val="97DC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63A1751"/>
    <w:multiLevelType w:val="hybridMultilevel"/>
    <w:tmpl w:val="47DE8E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681F3343"/>
    <w:multiLevelType w:val="hybridMultilevel"/>
    <w:tmpl w:val="A8F0AED2"/>
    <w:lvl w:ilvl="0" w:tplc="078CE38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AE21C29"/>
    <w:multiLevelType w:val="hybridMultilevel"/>
    <w:tmpl w:val="27DA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63548D"/>
    <w:multiLevelType w:val="hybridMultilevel"/>
    <w:tmpl w:val="B798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616C7B"/>
    <w:multiLevelType w:val="hybridMultilevel"/>
    <w:tmpl w:val="D3F2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D666E7"/>
    <w:multiLevelType w:val="hybridMultilevel"/>
    <w:tmpl w:val="7EB43B6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76EF1148"/>
    <w:multiLevelType w:val="hybridMultilevel"/>
    <w:tmpl w:val="5758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B003BA"/>
    <w:multiLevelType w:val="hybridMultilevel"/>
    <w:tmpl w:val="95B00F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4022B9E6">
      <w:start w:val="3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BCD3199"/>
    <w:multiLevelType w:val="hybridMultilevel"/>
    <w:tmpl w:val="DE18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DBD0EF7"/>
    <w:multiLevelType w:val="hybridMultilevel"/>
    <w:tmpl w:val="01EAC04A"/>
    <w:lvl w:ilvl="0" w:tplc="107481A4">
      <w:start w:val="1"/>
      <w:numFmt w:val="decimal"/>
      <w:lvlText w:val="%1."/>
      <w:lvlJc w:val="left"/>
      <w:pPr>
        <w:ind w:left="10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23"/>
  </w:num>
  <w:num w:numId="3">
    <w:abstractNumId w:val="8"/>
  </w:num>
  <w:num w:numId="4">
    <w:abstractNumId w:val="18"/>
  </w:num>
  <w:num w:numId="5">
    <w:abstractNumId w:val="53"/>
  </w:num>
  <w:num w:numId="6">
    <w:abstractNumId w:val="21"/>
    <w:lvlOverride w:ilvl="0">
      <w:lvl w:ilvl="0">
        <w:start w:val="1"/>
        <w:numFmt w:val="bullet"/>
        <w:pStyle w:val="Pointmark"/>
        <w:lvlText w:val="伀Ŋ儀Ŋ漀(桰＀좖6ÿ"/>
        <w:lvlJc w:val="left"/>
        <w:pPr>
          <w:tabs>
            <w:tab w:val="num" w:pos="360"/>
          </w:tabs>
          <w:ind w:left="360" w:hanging="360"/>
        </w:pPr>
      </w:lvl>
    </w:lvlOverride>
  </w:num>
  <w:num w:numId="7">
    <w:abstractNumId w:val="47"/>
  </w:num>
  <w:num w:numId="8">
    <w:abstractNumId w:val="42"/>
  </w:num>
  <w:num w:numId="9">
    <w:abstractNumId w:val="21"/>
  </w:num>
  <w:num w:numId="10">
    <w:abstractNumId w:val="37"/>
  </w:num>
  <w:num w:numId="11">
    <w:abstractNumId w:val="56"/>
  </w:num>
  <w:num w:numId="12">
    <w:abstractNumId w:val="11"/>
  </w:num>
  <w:num w:numId="13">
    <w:abstractNumId w:val="4"/>
  </w:num>
  <w:num w:numId="14">
    <w:abstractNumId w:val="16"/>
  </w:num>
  <w:num w:numId="15">
    <w:abstractNumId w:val="25"/>
  </w:num>
  <w:num w:numId="16">
    <w:abstractNumId w:val="52"/>
  </w:num>
  <w:num w:numId="17">
    <w:abstractNumId w:val="57"/>
  </w:num>
  <w:num w:numId="18">
    <w:abstractNumId w:val="62"/>
  </w:num>
  <w:num w:numId="19">
    <w:abstractNumId w:val="63"/>
  </w:num>
  <w:num w:numId="20">
    <w:abstractNumId w:val="36"/>
  </w:num>
  <w:num w:numId="21">
    <w:abstractNumId w:val="20"/>
  </w:num>
  <w:num w:numId="22">
    <w:abstractNumId w:val="7"/>
  </w:num>
  <w:num w:numId="23">
    <w:abstractNumId w:val="24"/>
  </w:num>
  <w:num w:numId="24">
    <w:abstractNumId w:val="17"/>
  </w:num>
  <w:num w:numId="25">
    <w:abstractNumId w:val="34"/>
  </w:num>
  <w:num w:numId="26">
    <w:abstractNumId w:val="27"/>
  </w:num>
  <w:num w:numId="27">
    <w:abstractNumId w:val="14"/>
  </w:num>
  <w:num w:numId="28">
    <w:abstractNumId w:val="48"/>
  </w:num>
  <w:num w:numId="29">
    <w:abstractNumId w:val="44"/>
  </w:num>
  <w:num w:numId="30">
    <w:abstractNumId w:val="13"/>
  </w:num>
  <w:num w:numId="31">
    <w:abstractNumId w:val="26"/>
  </w:num>
  <w:num w:numId="32">
    <w:abstractNumId w:val="68"/>
  </w:num>
  <w:num w:numId="33">
    <w:abstractNumId w:val="66"/>
  </w:num>
  <w:num w:numId="34">
    <w:abstractNumId w:val="2"/>
  </w:num>
  <w:num w:numId="35">
    <w:abstractNumId w:val="69"/>
  </w:num>
  <w:num w:numId="36">
    <w:abstractNumId w:val="46"/>
  </w:num>
  <w:num w:numId="37">
    <w:abstractNumId w:val="67"/>
  </w:num>
  <w:num w:numId="38">
    <w:abstractNumId w:val="10"/>
  </w:num>
  <w:num w:numId="39">
    <w:abstractNumId w:val="38"/>
  </w:num>
  <w:num w:numId="40">
    <w:abstractNumId w:val="30"/>
  </w:num>
  <w:num w:numId="41">
    <w:abstractNumId w:val="55"/>
  </w:num>
  <w:num w:numId="42">
    <w:abstractNumId w:val="49"/>
  </w:num>
  <w:num w:numId="43">
    <w:abstractNumId w:val="40"/>
  </w:num>
  <w:num w:numId="44">
    <w:abstractNumId w:val="19"/>
  </w:num>
  <w:num w:numId="45">
    <w:abstractNumId w:val="29"/>
  </w:num>
  <w:num w:numId="46">
    <w:abstractNumId w:val="54"/>
  </w:num>
  <w:num w:numId="47">
    <w:abstractNumId w:val="22"/>
  </w:num>
  <w:num w:numId="48">
    <w:abstractNumId w:val="0"/>
  </w:num>
  <w:num w:numId="49">
    <w:abstractNumId w:val="33"/>
  </w:num>
  <w:num w:numId="50">
    <w:abstractNumId w:val="59"/>
  </w:num>
  <w:num w:numId="51">
    <w:abstractNumId w:val="43"/>
  </w:num>
  <w:num w:numId="52">
    <w:abstractNumId w:val="35"/>
  </w:num>
  <w:num w:numId="53">
    <w:abstractNumId w:val="1"/>
  </w:num>
  <w:num w:numId="54">
    <w:abstractNumId w:val="28"/>
  </w:num>
  <w:num w:numId="55">
    <w:abstractNumId w:val="51"/>
  </w:num>
  <w:num w:numId="56">
    <w:abstractNumId w:val="41"/>
  </w:num>
  <w:num w:numId="57">
    <w:abstractNumId w:val="3"/>
  </w:num>
  <w:num w:numId="58">
    <w:abstractNumId w:val="50"/>
  </w:num>
  <w:num w:numId="59">
    <w:abstractNumId w:val="58"/>
  </w:num>
  <w:num w:numId="60">
    <w:abstractNumId w:val="60"/>
  </w:num>
  <w:num w:numId="61">
    <w:abstractNumId w:val="6"/>
  </w:num>
  <w:num w:numId="62">
    <w:abstractNumId w:val="12"/>
  </w:num>
  <w:num w:numId="63">
    <w:abstractNumId w:val="32"/>
  </w:num>
  <w:num w:numId="64">
    <w:abstractNumId w:val="64"/>
  </w:num>
  <w:num w:numId="65">
    <w:abstractNumId w:val="61"/>
  </w:num>
  <w:num w:numId="66">
    <w:abstractNumId w:val="15"/>
  </w:num>
  <w:num w:numId="67">
    <w:abstractNumId w:val="47"/>
  </w:num>
  <w:num w:numId="68">
    <w:abstractNumId w:val="5"/>
  </w:num>
  <w:num w:numId="69">
    <w:abstractNumId w:val="39"/>
  </w:num>
  <w:num w:numId="70">
    <w:abstractNumId w:val="31"/>
  </w:num>
  <w:num w:numId="71">
    <w:abstractNumId w:val="45"/>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9D"/>
    <w:rsid w:val="00006FE7"/>
    <w:rsid w:val="00010BAA"/>
    <w:rsid w:val="00013D00"/>
    <w:rsid w:val="0001713A"/>
    <w:rsid w:val="0002361F"/>
    <w:rsid w:val="00023CF1"/>
    <w:rsid w:val="00026B7E"/>
    <w:rsid w:val="00031350"/>
    <w:rsid w:val="0006152A"/>
    <w:rsid w:val="000630B0"/>
    <w:rsid w:val="000637A4"/>
    <w:rsid w:val="0007420C"/>
    <w:rsid w:val="00074DFF"/>
    <w:rsid w:val="000771DF"/>
    <w:rsid w:val="00086799"/>
    <w:rsid w:val="00092469"/>
    <w:rsid w:val="0009284F"/>
    <w:rsid w:val="000955A0"/>
    <w:rsid w:val="000A1597"/>
    <w:rsid w:val="000A3698"/>
    <w:rsid w:val="000A5ECA"/>
    <w:rsid w:val="000B1CBF"/>
    <w:rsid w:val="000B4715"/>
    <w:rsid w:val="000C30EA"/>
    <w:rsid w:val="000C5243"/>
    <w:rsid w:val="000C66F7"/>
    <w:rsid w:val="000C6921"/>
    <w:rsid w:val="000D1D1B"/>
    <w:rsid w:val="000D46D8"/>
    <w:rsid w:val="000D4B08"/>
    <w:rsid w:val="000D533C"/>
    <w:rsid w:val="000D6794"/>
    <w:rsid w:val="000E4DB0"/>
    <w:rsid w:val="000E6EF9"/>
    <w:rsid w:val="000F78A6"/>
    <w:rsid w:val="00110A3F"/>
    <w:rsid w:val="00111A16"/>
    <w:rsid w:val="00124CB1"/>
    <w:rsid w:val="00125F67"/>
    <w:rsid w:val="001269C0"/>
    <w:rsid w:val="00132C64"/>
    <w:rsid w:val="00136C29"/>
    <w:rsid w:val="00143BC1"/>
    <w:rsid w:val="00152300"/>
    <w:rsid w:val="0016656F"/>
    <w:rsid w:val="0017342C"/>
    <w:rsid w:val="00174521"/>
    <w:rsid w:val="00181433"/>
    <w:rsid w:val="001819A8"/>
    <w:rsid w:val="001871CC"/>
    <w:rsid w:val="00187D86"/>
    <w:rsid w:val="001907F7"/>
    <w:rsid w:val="001A0DFC"/>
    <w:rsid w:val="001A5501"/>
    <w:rsid w:val="001A5531"/>
    <w:rsid w:val="001A6EE5"/>
    <w:rsid w:val="001B5233"/>
    <w:rsid w:val="001C1178"/>
    <w:rsid w:val="001C19EC"/>
    <w:rsid w:val="001C2243"/>
    <w:rsid w:val="001C69C0"/>
    <w:rsid w:val="001E0717"/>
    <w:rsid w:val="001E1983"/>
    <w:rsid w:val="001E6F67"/>
    <w:rsid w:val="001F744B"/>
    <w:rsid w:val="002019FD"/>
    <w:rsid w:val="00214077"/>
    <w:rsid w:val="002155C3"/>
    <w:rsid w:val="00217989"/>
    <w:rsid w:val="00221975"/>
    <w:rsid w:val="00222A44"/>
    <w:rsid w:val="00231C46"/>
    <w:rsid w:val="00231EE6"/>
    <w:rsid w:val="00235A0B"/>
    <w:rsid w:val="00241E86"/>
    <w:rsid w:val="00257FB8"/>
    <w:rsid w:val="002602C5"/>
    <w:rsid w:val="002602D9"/>
    <w:rsid w:val="002603DA"/>
    <w:rsid w:val="002613F6"/>
    <w:rsid w:val="00267C95"/>
    <w:rsid w:val="00271F47"/>
    <w:rsid w:val="00274CE9"/>
    <w:rsid w:val="0027781E"/>
    <w:rsid w:val="002906F3"/>
    <w:rsid w:val="00290B38"/>
    <w:rsid w:val="00290FDA"/>
    <w:rsid w:val="00292D03"/>
    <w:rsid w:val="002A3E6E"/>
    <w:rsid w:val="002A55AB"/>
    <w:rsid w:val="002B05F8"/>
    <w:rsid w:val="002B37CB"/>
    <w:rsid w:val="002B3B2D"/>
    <w:rsid w:val="002B78D8"/>
    <w:rsid w:val="002C0281"/>
    <w:rsid w:val="002C4839"/>
    <w:rsid w:val="002C4910"/>
    <w:rsid w:val="002D5B9B"/>
    <w:rsid w:val="002E281A"/>
    <w:rsid w:val="002E687B"/>
    <w:rsid w:val="002F53A9"/>
    <w:rsid w:val="002F7C4C"/>
    <w:rsid w:val="003103C5"/>
    <w:rsid w:val="003222A7"/>
    <w:rsid w:val="00325C5B"/>
    <w:rsid w:val="003300DA"/>
    <w:rsid w:val="00332250"/>
    <w:rsid w:val="00336554"/>
    <w:rsid w:val="00344DC8"/>
    <w:rsid w:val="00345DBC"/>
    <w:rsid w:val="003536CA"/>
    <w:rsid w:val="003660DA"/>
    <w:rsid w:val="003667DA"/>
    <w:rsid w:val="003703CB"/>
    <w:rsid w:val="00371120"/>
    <w:rsid w:val="00373D89"/>
    <w:rsid w:val="0038003A"/>
    <w:rsid w:val="00392312"/>
    <w:rsid w:val="003976A7"/>
    <w:rsid w:val="003A4FE5"/>
    <w:rsid w:val="003A57B1"/>
    <w:rsid w:val="003A5A50"/>
    <w:rsid w:val="003A7793"/>
    <w:rsid w:val="003B0680"/>
    <w:rsid w:val="003B2260"/>
    <w:rsid w:val="003B672C"/>
    <w:rsid w:val="003B76C8"/>
    <w:rsid w:val="003C3652"/>
    <w:rsid w:val="003D3736"/>
    <w:rsid w:val="003D5AD2"/>
    <w:rsid w:val="003E13A4"/>
    <w:rsid w:val="003F14D9"/>
    <w:rsid w:val="003F3F51"/>
    <w:rsid w:val="00405016"/>
    <w:rsid w:val="00406850"/>
    <w:rsid w:val="00407BB3"/>
    <w:rsid w:val="00425F8B"/>
    <w:rsid w:val="00441380"/>
    <w:rsid w:val="00442F0A"/>
    <w:rsid w:val="0044392E"/>
    <w:rsid w:val="0045065C"/>
    <w:rsid w:val="00455B5E"/>
    <w:rsid w:val="00457C0B"/>
    <w:rsid w:val="00460913"/>
    <w:rsid w:val="0046212C"/>
    <w:rsid w:val="0046503D"/>
    <w:rsid w:val="00475125"/>
    <w:rsid w:val="00476480"/>
    <w:rsid w:val="00477092"/>
    <w:rsid w:val="00487820"/>
    <w:rsid w:val="00491D3D"/>
    <w:rsid w:val="00491DED"/>
    <w:rsid w:val="0049349B"/>
    <w:rsid w:val="004B2456"/>
    <w:rsid w:val="004B6500"/>
    <w:rsid w:val="004C21B0"/>
    <w:rsid w:val="004C24D3"/>
    <w:rsid w:val="004C7D19"/>
    <w:rsid w:val="004D0053"/>
    <w:rsid w:val="004D1436"/>
    <w:rsid w:val="004D3C34"/>
    <w:rsid w:val="004D716B"/>
    <w:rsid w:val="004E2ED7"/>
    <w:rsid w:val="004F1DE3"/>
    <w:rsid w:val="004F7206"/>
    <w:rsid w:val="004F76D2"/>
    <w:rsid w:val="004F7ED3"/>
    <w:rsid w:val="005042C3"/>
    <w:rsid w:val="005065C4"/>
    <w:rsid w:val="00521EB4"/>
    <w:rsid w:val="00534431"/>
    <w:rsid w:val="00535429"/>
    <w:rsid w:val="005409C2"/>
    <w:rsid w:val="00544AE9"/>
    <w:rsid w:val="00547683"/>
    <w:rsid w:val="00552064"/>
    <w:rsid w:val="00556521"/>
    <w:rsid w:val="00570B88"/>
    <w:rsid w:val="005718A8"/>
    <w:rsid w:val="00572F5B"/>
    <w:rsid w:val="0057713A"/>
    <w:rsid w:val="0058213E"/>
    <w:rsid w:val="0058301A"/>
    <w:rsid w:val="00585CE1"/>
    <w:rsid w:val="0059000D"/>
    <w:rsid w:val="00594C7E"/>
    <w:rsid w:val="005B4499"/>
    <w:rsid w:val="005B45E7"/>
    <w:rsid w:val="005B6C3A"/>
    <w:rsid w:val="005D3118"/>
    <w:rsid w:val="005F5637"/>
    <w:rsid w:val="00600634"/>
    <w:rsid w:val="00601CCB"/>
    <w:rsid w:val="00602DED"/>
    <w:rsid w:val="00606BA2"/>
    <w:rsid w:val="0062411A"/>
    <w:rsid w:val="006245FF"/>
    <w:rsid w:val="006274CF"/>
    <w:rsid w:val="00631204"/>
    <w:rsid w:val="00633C55"/>
    <w:rsid w:val="006358E5"/>
    <w:rsid w:val="00637E50"/>
    <w:rsid w:val="00640000"/>
    <w:rsid w:val="00640296"/>
    <w:rsid w:val="0064527F"/>
    <w:rsid w:val="00646F52"/>
    <w:rsid w:val="00650993"/>
    <w:rsid w:val="0065320F"/>
    <w:rsid w:val="006548FE"/>
    <w:rsid w:val="006627B7"/>
    <w:rsid w:val="0068193E"/>
    <w:rsid w:val="00685940"/>
    <w:rsid w:val="00685C76"/>
    <w:rsid w:val="00697D81"/>
    <w:rsid w:val="006A2634"/>
    <w:rsid w:val="006A54F4"/>
    <w:rsid w:val="006A7B62"/>
    <w:rsid w:val="006B1980"/>
    <w:rsid w:val="006B4C6E"/>
    <w:rsid w:val="006D1BD3"/>
    <w:rsid w:val="006D6799"/>
    <w:rsid w:val="006D686F"/>
    <w:rsid w:val="006E05F8"/>
    <w:rsid w:val="006E24C8"/>
    <w:rsid w:val="006F2ABE"/>
    <w:rsid w:val="006F65F1"/>
    <w:rsid w:val="007107F4"/>
    <w:rsid w:val="00710D39"/>
    <w:rsid w:val="00723F53"/>
    <w:rsid w:val="00726DCF"/>
    <w:rsid w:val="00727957"/>
    <w:rsid w:val="0073275A"/>
    <w:rsid w:val="0073322E"/>
    <w:rsid w:val="00733DD8"/>
    <w:rsid w:val="007405AD"/>
    <w:rsid w:val="00740E97"/>
    <w:rsid w:val="00744CCD"/>
    <w:rsid w:val="00763680"/>
    <w:rsid w:val="0076441B"/>
    <w:rsid w:val="00767A7A"/>
    <w:rsid w:val="00771576"/>
    <w:rsid w:val="007767E4"/>
    <w:rsid w:val="007801F8"/>
    <w:rsid w:val="0078181E"/>
    <w:rsid w:val="0078406D"/>
    <w:rsid w:val="00787AC2"/>
    <w:rsid w:val="007948D9"/>
    <w:rsid w:val="007A03EE"/>
    <w:rsid w:val="007A2264"/>
    <w:rsid w:val="007A33BD"/>
    <w:rsid w:val="007A4FD5"/>
    <w:rsid w:val="007B5E36"/>
    <w:rsid w:val="007B7E33"/>
    <w:rsid w:val="007C1DB8"/>
    <w:rsid w:val="007D091D"/>
    <w:rsid w:val="00803EC9"/>
    <w:rsid w:val="00810D1C"/>
    <w:rsid w:val="00814DAB"/>
    <w:rsid w:val="008260B4"/>
    <w:rsid w:val="00831098"/>
    <w:rsid w:val="0083490A"/>
    <w:rsid w:val="00841DC8"/>
    <w:rsid w:val="00845600"/>
    <w:rsid w:val="008635C6"/>
    <w:rsid w:val="00874E1F"/>
    <w:rsid w:val="00880AE3"/>
    <w:rsid w:val="00883827"/>
    <w:rsid w:val="00887C7F"/>
    <w:rsid w:val="008969BC"/>
    <w:rsid w:val="008A6421"/>
    <w:rsid w:val="008B2AB8"/>
    <w:rsid w:val="008B2F09"/>
    <w:rsid w:val="008B6B58"/>
    <w:rsid w:val="008C7383"/>
    <w:rsid w:val="008C7727"/>
    <w:rsid w:val="008D0029"/>
    <w:rsid w:val="008D5F88"/>
    <w:rsid w:val="008E7934"/>
    <w:rsid w:val="008F37EA"/>
    <w:rsid w:val="009006A0"/>
    <w:rsid w:val="00906A28"/>
    <w:rsid w:val="00912B98"/>
    <w:rsid w:val="0091323D"/>
    <w:rsid w:val="00916EF5"/>
    <w:rsid w:val="00927122"/>
    <w:rsid w:val="009274AB"/>
    <w:rsid w:val="0094395B"/>
    <w:rsid w:val="00947212"/>
    <w:rsid w:val="0094762E"/>
    <w:rsid w:val="0095172A"/>
    <w:rsid w:val="00960C1B"/>
    <w:rsid w:val="009706FF"/>
    <w:rsid w:val="009713AF"/>
    <w:rsid w:val="00975457"/>
    <w:rsid w:val="009766AC"/>
    <w:rsid w:val="00982F15"/>
    <w:rsid w:val="00983F83"/>
    <w:rsid w:val="00984531"/>
    <w:rsid w:val="009952EF"/>
    <w:rsid w:val="009B151C"/>
    <w:rsid w:val="009B3E64"/>
    <w:rsid w:val="009B6316"/>
    <w:rsid w:val="009B7733"/>
    <w:rsid w:val="009C0C0A"/>
    <w:rsid w:val="009C2923"/>
    <w:rsid w:val="009C578A"/>
    <w:rsid w:val="009D0792"/>
    <w:rsid w:val="009D1954"/>
    <w:rsid w:val="009D56B5"/>
    <w:rsid w:val="009D697F"/>
    <w:rsid w:val="009E13B1"/>
    <w:rsid w:val="009E6350"/>
    <w:rsid w:val="009F2DE4"/>
    <w:rsid w:val="00A10D24"/>
    <w:rsid w:val="00A17C2B"/>
    <w:rsid w:val="00A2089B"/>
    <w:rsid w:val="00A31C9C"/>
    <w:rsid w:val="00A40A60"/>
    <w:rsid w:val="00A45B51"/>
    <w:rsid w:val="00A50451"/>
    <w:rsid w:val="00A51611"/>
    <w:rsid w:val="00A53C73"/>
    <w:rsid w:val="00A53CEE"/>
    <w:rsid w:val="00A5774E"/>
    <w:rsid w:val="00A62AF6"/>
    <w:rsid w:val="00A653E8"/>
    <w:rsid w:val="00A768F8"/>
    <w:rsid w:val="00A8459F"/>
    <w:rsid w:val="00A93872"/>
    <w:rsid w:val="00A93E43"/>
    <w:rsid w:val="00A9593D"/>
    <w:rsid w:val="00AA2971"/>
    <w:rsid w:val="00AA6F83"/>
    <w:rsid w:val="00AA7BD2"/>
    <w:rsid w:val="00AB0060"/>
    <w:rsid w:val="00AB153B"/>
    <w:rsid w:val="00AC0F68"/>
    <w:rsid w:val="00AC5320"/>
    <w:rsid w:val="00AC79C1"/>
    <w:rsid w:val="00AE1508"/>
    <w:rsid w:val="00AE7178"/>
    <w:rsid w:val="00AF127D"/>
    <w:rsid w:val="00AF24E2"/>
    <w:rsid w:val="00AF5410"/>
    <w:rsid w:val="00AF7E14"/>
    <w:rsid w:val="00B041F6"/>
    <w:rsid w:val="00B05839"/>
    <w:rsid w:val="00B074B0"/>
    <w:rsid w:val="00B10EF7"/>
    <w:rsid w:val="00B13264"/>
    <w:rsid w:val="00B13BCB"/>
    <w:rsid w:val="00B175D7"/>
    <w:rsid w:val="00B227F1"/>
    <w:rsid w:val="00B242D0"/>
    <w:rsid w:val="00B25282"/>
    <w:rsid w:val="00B314F3"/>
    <w:rsid w:val="00B32A38"/>
    <w:rsid w:val="00B43C06"/>
    <w:rsid w:val="00B44CAF"/>
    <w:rsid w:val="00B6166E"/>
    <w:rsid w:val="00B64939"/>
    <w:rsid w:val="00B64F05"/>
    <w:rsid w:val="00B71FBF"/>
    <w:rsid w:val="00B73A1A"/>
    <w:rsid w:val="00B80853"/>
    <w:rsid w:val="00B9285D"/>
    <w:rsid w:val="00B94254"/>
    <w:rsid w:val="00BA175C"/>
    <w:rsid w:val="00BA3FBE"/>
    <w:rsid w:val="00BA519B"/>
    <w:rsid w:val="00BA6685"/>
    <w:rsid w:val="00BB2BB7"/>
    <w:rsid w:val="00BB5B24"/>
    <w:rsid w:val="00BB6F88"/>
    <w:rsid w:val="00BD0227"/>
    <w:rsid w:val="00BD07E1"/>
    <w:rsid w:val="00BD68B1"/>
    <w:rsid w:val="00BD7CB6"/>
    <w:rsid w:val="00BF1189"/>
    <w:rsid w:val="00BF1B01"/>
    <w:rsid w:val="00BF46D9"/>
    <w:rsid w:val="00BF7AB5"/>
    <w:rsid w:val="00C0270E"/>
    <w:rsid w:val="00C04906"/>
    <w:rsid w:val="00C04B9B"/>
    <w:rsid w:val="00C15D93"/>
    <w:rsid w:val="00C301D1"/>
    <w:rsid w:val="00C32597"/>
    <w:rsid w:val="00C35E86"/>
    <w:rsid w:val="00C41C7C"/>
    <w:rsid w:val="00C42206"/>
    <w:rsid w:val="00C454DA"/>
    <w:rsid w:val="00C513C6"/>
    <w:rsid w:val="00C51D90"/>
    <w:rsid w:val="00C54E46"/>
    <w:rsid w:val="00C61C6C"/>
    <w:rsid w:val="00C72303"/>
    <w:rsid w:val="00C726F7"/>
    <w:rsid w:val="00C7570D"/>
    <w:rsid w:val="00C76DF3"/>
    <w:rsid w:val="00C82B34"/>
    <w:rsid w:val="00C876AA"/>
    <w:rsid w:val="00C93830"/>
    <w:rsid w:val="00C94C92"/>
    <w:rsid w:val="00C952F4"/>
    <w:rsid w:val="00C96F61"/>
    <w:rsid w:val="00CB40DA"/>
    <w:rsid w:val="00CB6646"/>
    <w:rsid w:val="00CD08CC"/>
    <w:rsid w:val="00CD255F"/>
    <w:rsid w:val="00CD3058"/>
    <w:rsid w:val="00CD35F4"/>
    <w:rsid w:val="00CE1599"/>
    <w:rsid w:val="00CE3766"/>
    <w:rsid w:val="00D0137A"/>
    <w:rsid w:val="00D01E2A"/>
    <w:rsid w:val="00D020BC"/>
    <w:rsid w:val="00D03F46"/>
    <w:rsid w:val="00D0435F"/>
    <w:rsid w:val="00D0730B"/>
    <w:rsid w:val="00D079BB"/>
    <w:rsid w:val="00D20305"/>
    <w:rsid w:val="00D232BD"/>
    <w:rsid w:val="00D26C20"/>
    <w:rsid w:val="00D274CA"/>
    <w:rsid w:val="00D461FD"/>
    <w:rsid w:val="00D50571"/>
    <w:rsid w:val="00D50D9D"/>
    <w:rsid w:val="00D53AC1"/>
    <w:rsid w:val="00D57447"/>
    <w:rsid w:val="00D67B51"/>
    <w:rsid w:val="00D71AEF"/>
    <w:rsid w:val="00D723F0"/>
    <w:rsid w:val="00D734D2"/>
    <w:rsid w:val="00D73682"/>
    <w:rsid w:val="00D8384C"/>
    <w:rsid w:val="00D84DB6"/>
    <w:rsid w:val="00D85C20"/>
    <w:rsid w:val="00D87B09"/>
    <w:rsid w:val="00D913A0"/>
    <w:rsid w:val="00D916D0"/>
    <w:rsid w:val="00D96BD0"/>
    <w:rsid w:val="00DA72F9"/>
    <w:rsid w:val="00DB0A28"/>
    <w:rsid w:val="00DB28EA"/>
    <w:rsid w:val="00DC1FCE"/>
    <w:rsid w:val="00DC351A"/>
    <w:rsid w:val="00DD1F9B"/>
    <w:rsid w:val="00DD479B"/>
    <w:rsid w:val="00DF6EE5"/>
    <w:rsid w:val="00E01D56"/>
    <w:rsid w:val="00E22274"/>
    <w:rsid w:val="00E30369"/>
    <w:rsid w:val="00E36324"/>
    <w:rsid w:val="00E36E60"/>
    <w:rsid w:val="00E433E0"/>
    <w:rsid w:val="00E50A6C"/>
    <w:rsid w:val="00E56B9E"/>
    <w:rsid w:val="00E60F65"/>
    <w:rsid w:val="00E61A0B"/>
    <w:rsid w:val="00E6244F"/>
    <w:rsid w:val="00E631CB"/>
    <w:rsid w:val="00E64275"/>
    <w:rsid w:val="00E6712A"/>
    <w:rsid w:val="00E77552"/>
    <w:rsid w:val="00E80FE4"/>
    <w:rsid w:val="00EA229E"/>
    <w:rsid w:val="00EA243E"/>
    <w:rsid w:val="00EA2597"/>
    <w:rsid w:val="00EA35B6"/>
    <w:rsid w:val="00EB124D"/>
    <w:rsid w:val="00EB3B2F"/>
    <w:rsid w:val="00EB4B46"/>
    <w:rsid w:val="00EB69E7"/>
    <w:rsid w:val="00EB7765"/>
    <w:rsid w:val="00EF390D"/>
    <w:rsid w:val="00EF64F7"/>
    <w:rsid w:val="00F013D2"/>
    <w:rsid w:val="00F04554"/>
    <w:rsid w:val="00F17146"/>
    <w:rsid w:val="00F35352"/>
    <w:rsid w:val="00F43C37"/>
    <w:rsid w:val="00F56DEA"/>
    <w:rsid w:val="00F676A1"/>
    <w:rsid w:val="00F70539"/>
    <w:rsid w:val="00F73763"/>
    <w:rsid w:val="00F7508B"/>
    <w:rsid w:val="00F7509E"/>
    <w:rsid w:val="00F75FC9"/>
    <w:rsid w:val="00F76507"/>
    <w:rsid w:val="00F77FED"/>
    <w:rsid w:val="00F84394"/>
    <w:rsid w:val="00F925DD"/>
    <w:rsid w:val="00F96452"/>
    <w:rsid w:val="00FA0207"/>
    <w:rsid w:val="00FA2C1B"/>
    <w:rsid w:val="00FA36E6"/>
    <w:rsid w:val="00FB074F"/>
    <w:rsid w:val="00FB14AB"/>
    <w:rsid w:val="00FB5FAB"/>
    <w:rsid w:val="00FD12E0"/>
    <w:rsid w:val="00FE1A88"/>
    <w:rsid w:val="00FE4A4C"/>
    <w:rsid w:val="00FE67B9"/>
    <w:rsid w:val="00FF4F28"/>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D26B"/>
  <w15:docId w15:val="{CB586AD1-DDEE-4E32-B312-FE38EA29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9D"/>
    <w:pPr>
      <w:spacing w:after="200" w:line="276" w:lineRule="auto"/>
    </w:pPr>
  </w:style>
  <w:style w:type="paragraph" w:styleId="1">
    <w:name w:val="heading 1"/>
    <w:basedOn w:val="a"/>
    <w:next w:val="a"/>
    <w:link w:val="10"/>
    <w:uiPriority w:val="9"/>
    <w:qFormat/>
    <w:rsid w:val="00010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0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EF7"/>
    <w:pPr>
      <w:ind w:left="720"/>
      <w:contextualSpacing/>
    </w:pPr>
    <w:rPr>
      <w:rFonts w:ascii="Calibri" w:eastAsia="Calibri" w:hAnsi="Calibri" w:cs="Times New Roman"/>
    </w:rPr>
  </w:style>
  <w:style w:type="paragraph" w:styleId="a4">
    <w:name w:val="Balloon Text"/>
    <w:basedOn w:val="a"/>
    <w:link w:val="a5"/>
    <w:uiPriority w:val="99"/>
    <w:semiHidden/>
    <w:unhideWhenUsed/>
    <w:rsid w:val="00B10E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0EF7"/>
    <w:rPr>
      <w:rFonts w:ascii="Segoe UI" w:hAnsi="Segoe UI" w:cs="Segoe UI"/>
      <w:sz w:val="18"/>
      <w:szCs w:val="18"/>
    </w:rPr>
  </w:style>
  <w:style w:type="paragraph" w:customStyle="1" w:styleId="Pointmark">
    <w:name w:val="Point (mark)"/>
    <w:next w:val="a6"/>
    <w:link w:val="Pointmark0"/>
    <w:qFormat/>
    <w:rsid w:val="00143BC1"/>
    <w:pPr>
      <w:numPr>
        <w:numId w:val="6"/>
      </w:numPr>
      <w:spacing w:before="60" w:after="0" w:line="240" w:lineRule="auto"/>
      <w:jc w:val="both"/>
    </w:pPr>
    <w:rPr>
      <w:rFonts w:ascii="Times New Roman" w:eastAsia="Times New Roman" w:hAnsi="Times New Roman" w:cs="Arial"/>
      <w:sz w:val="24"/>
      <w:szCs w:val="20"/>
    </w:rPr>
  </w:style>
  <w:style w:type="numbering" w:customStyle="1" w:styleId="15">
    <w:name w:val="Стиль15"/>
    <w:uiPriority w:val="99"/>
    <w:rsid w:val="00143BC1"/>
    <w:pPr>
      <w:numPr>
        <w:numId w:val="9"/>
      </w:numPr>
    </w:pPr>
  </w:style>
  <w:style w:type="paragraph" w:customStyle="1" w:styleId="a7">
    <w:name w:val="текст обычный"/>
    <w:basedOn w:val="Pointmark"/>
    <w:link w:val="a8"/>
    <w:qFormat/>
    <w:rsid w:val="00143BC1"/>
    <w:pPr>
      <w:numPr>
        <w:numId w:val="0"/>
      </w:numPr>
    </w:pPr>
  </w:style>
  <w:style w:type="character" w:customStyle="1" w:styleId="Pointmark0">
    <w:name w:val="Point (mark) Знак"/>
    <w:basedOn w:val="a0"/>
    <w:link w:val="Pointmark"/>
    <w:rsid w:val="00143BC1"/>
    <w:rPr>
      <w:rFonts w:ascii="Times New Roman" w:eastAsia="Times New Roman" w:hAnsi="Times New Roman" w:cs="Arial"/>
      <w:sz w:val="24"/>
      <w:szCs w:val="20"/>
    </w:rPr>
  </w:style>
  <w:style w:type="character" w:customStyle="1" w:styleId="a8">
    <w:name w:val="текст обычный Знак"/>
    <w:basedOn w:val="Pointmark0"/>
    <w:link w:val="a7"/>
    <w:rsid w:val="00143BC1"/>
    <w:rPr>
      <w:rFonts w:ascii="Times New Roman" w:eastAsia="Times New Roman" w:hAnsi="Times New Roman" w:cs="Arial"/>
      <w:sz w:val="24"/>
      <w:szCs w:val="20"/>
    </w:rPr>
  </w:style>
  <w:style w:type="paragraph" w:styleId="a9">
    <w:name w:val="No Spacing"/>
    <w:uiPriority w:val="1"/>
    <w:qFormat/>
    <w:rsid w:val="00143BC1"/>
    <w:pPr>
      <w:spacing w:after="0" w:line="240" w:lineRule="auto"/>
    </w:pPr>
  </w:style>
  <w:style w:type="paragraph" w:styleId="a6">
    <w:name w:val="Normal Indent"/>
    <w:basedOn w:val="a"/>
    <w:uiPriority w:val="99"/>
    <w:semiHidden/>
    <w:unhideWhenUsed/>
    <w:rsid w:val="00143BC1"/>
    <w:pPr>
      <w:ind w:left="708"/>
    </w:pPr>
  </w:style>
  <w:style w:type="character" w:styleId="aa">
    <w:name w:val="annotation reference"/>
    <w:basedOn w:val="a0"/>
    <w:uiPriority w:val="99"/>
    <w:semiHidden/>
    <w:unhideWhenUsed/>
    <w:rsid w:val="009C578A"/>
    <w:rPr>
      <w:sz w:val="16"/>
      <w:szCs w:val="16"/>
    </w:rPr>
  </w:style>
  <w:style w:type="paragraph" w:styleId="ab">
    <w:name w:val="annotation text"/>
    <w:basedOn w:val="a"/>
    <w:link w:val="ac"/>
    <w:uiPriority w:val="99"/>
    <w:semiHidden/>
    <w:unhideWhenUsed/>
    <w:rsid w:val="009C578A"/>
    <w:pPr>
      <w:spacing w:line="240" w:lineRule="auto"/>
    </w:pPr>
    <w:rPr>
      <w:sz w:val="20"/>
      <w:szCs w:val="20"/>
    </w:rPr>
  </w:style>
  <w:style w:type="character" w:customStyle="1" w:styleId="ac">
    <w:name w:val="Текст примечания Знак"/>
    <w:basedOn w:val="a0"/>
    <w:link w:val="ab"/>
    <w:uiPriority w:val="99"/>
    <w:semiHidden/>
    <w:rsid w:val="009C578A"/>
    <w:rPr>
      <w:sz w:val="20"/>
      <w:szCs w:val="20"/>
    </w:rPr>
  </w:style>
  <w:style w:type="paragraph" w:styleId="ad">
    <w:name w:val="annotation subject"/>
    <w:basedOn w:val="ab"/>
    <w:next w:val="ab"/>
    <w:link w:val="ae"/>
    <w:uiPriority w:val="99"/>
    <w:semiHidden/>
    <w:unhideWhenUsed/>
    <w:rsid w:val="009C578A"/>
    <w:rPr>
      <w:b/>
      <w:bCs/>
    </w:rPr>
  </w:style>
  <w:style w:type="character" w:customStyle="1" w:styleId="ae">
    <w:name w:val="Тема примечания Знак"/>
    <w:basedOn w:val="ac"/>
    <w:link w:val="ad"/>
    <w:uiPriority w:val="99"/>
    <w:semiHidden/>
    <w:rsid w:val="009C578A"/>
    <w:rPr>
      <w:b/>
      <w:bCs/>
      <w:sz w:val="20"/>
      <w:szCs w:val="20"/>
    </w:rPr>
  </w:style>
  <w:style w:type="character" w:customStyle="1" w:styleId="msoins0">
    <w:name w:val="msoins"/>
    <w:basedOn w:val="a0"/>
    <w:rsid w:val="002F53A9"/>
  </w:style>
  <w:style w:type="paragraph" w:customStyle="1" w:styleId="11">
    <w:name w:val="Обычный1"/>
    <w:rsid w:val="002F53A9"/>
    <w:pPr>
      <w:spacing w:after="0" w:line="240" w:lineRule="auto"/>
    </w:pPr>
    <w:rPr>
      <w:rFonts w:ascii="Times New Roman" w:eastAsia="Times New Roman" w:hAnsi="Times New Roman" w:cs="Times New Roman"/>
      <w:sz w:val="20"/>
      <w:szCs w:val="20"/>
      <w:lang w:eastAsia="ru-RU"/>
    </w:rPr>
  </w:style>
  <w:style w:type="table" w:styleId="af">
    <w:name w:val="Table Grid"/>
    <w:basedOn w:val="a1"/>
    <w:uiPriority w:val="59"/>
    <w:rsid w:val="002F53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F96452"/>
    <w:pPr>
      <w:spacing w:after="0" w:line="240" w:lineRule="auto"/>
    </w:pPr>
    <w:rPr>
      <w:rFonts w:ascii="Times New Roman" w:eastAsia="Times New Roman" w:hAnsi="Times New Roman" w:cs="Times New Roman"/>
      <w:sz w:val="20"/>
      <w:szCs w:val="20"/>
      <w:lang w:eastAsia="ru-RU"/>
    </w:rPr>
  </w:style>
  <w:style w:type="paragraph" w:styleId="af0">
    <w:name w:val="Normal (Web)"/>
    <w:basedOn w:val="a"/>
    <w:uiPriority w:val="99"/>
    <w:rsid w:val="00330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C61C6C"/>
    <w:pPr>
      <w:spacing w:after="0" w:line="240" w:lineRule="auto"/>
    </w:pPr>
    <w:rPr>
      <w:sz w:val="20"/>
      <w:szCs w:val="20"/>
    </w:rPr>
  </w:style>
  <w:style w:type="character" w:customStyle="1" w:styleId="af2">
    <w:name w:val="Текст сноски Знак"/>
    <w:basedOn w:val="a0"/>
    <w:link w:val="af1"/>
    <w:uiPriority w:val="99"/>
    <w:semiHidden/>
    <w:rsid w:val="00C61C6C"/>
    <w:rPr>
      <w:sz w:val="20"/>
      <w:szCs w:val="20"/>
    </w:rPr>
  </w:style>
  <w:style w:type="character" w:styleId="af3">
    <w:name w:val="footnote reference"/>
    <w:uiPriority w:val="99"/>
    <w:rsid w:val="00C61C6C"/>
    <w:rPr>
      <w:vertAlign w:val="superscript"/>
    </w:rPr>
  </w:style>
  <w:style w:type="character" w:customStyle="1" w:styleId="apple-converted-space">
    <w:name w:val="apple-converted-space"/>
    <w:basedOn w:val="a0"/>
    <w:rsid w:val="00406850"/>
  </w:style>
  <w:style w:type="paragraph" w:styleId="af4">
    <w:name w:val="Body Text"/>
    <w:basedOn w:val="a"/>
    <w:link w:val="af5"/>
    <w:rsid w:val="00425F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425F8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10BAA"/>
    <w:rPr>
      <w:rFonts w:asciiTheme="majorHAnsi" w:eastAsiaTheme="majorEastAsia" w:hAnsiTheme="majorHAnsi" w:cstheme="majorBidi"/>
      <w:color w:val="2E74B5" w:themeColor="accent1" w:themeShade="BF"/>
      <w:sz w:val="32"/>
      <w:szCs w:val="32"/>
    </w:rPr>
  </w:style>
  <w:style w:type="paragraph" w:styleId="af6">
    <w:name w:val="header"/>
    <w:basedOn w:val="a"/>
    <w:link w:val="af7"/>
    <w:uiPriority w:val="99"/>
    <w:unhideWhenUsed/>
    <w:rsid w:val="00726DC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26DCF"/>
  </w:style>
  <w:style w:type="paragraph" w:styleId="af8">
    <w:name w:val="footer"/>
    <w:basedOn w:val="a"/>
    <w:link w:val="af9"/>
    <w:uiPriority w:val="99"/>
    <w:unhideWhenUsed/>
    <w:rsid w:val="00726DC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26DCF"/>
  </w:style>
  <w:style w:type="paragraph" w:styleId="afa">
    <w:name w:val="Revision"/>
    <w:hidden/>
    <w:uiPriority w:val="99"/>
    <w:semiHidden/>
    <w:rsid w:val="00C0270E"/>
    <w:pPr>
      <w:spacing w:after="0" w:line="240" w:lineRule="auto"/>
    </w:pPr>
  </w:style>
  <w:style w:type="paragraph" w:customStyle="1" w:styleId="-11">
    <w:name w:val="Цветной список - Акцент 11"/>
    <w:basedOn w:val="a"/>
    <w:uiPriority w:val="34"/>
    <w:qFormat/>
    <w:rsid w:val="00257FB8"/>
    <w:pPr>
      <w:ind w:left="720"/>
      <w:contextualSpacing/>
    </w:pPr>
    <w:rPr>
      <w:rFonts w:ascii="Calibri" w:eastAsia="Calibri" w:hAnsi="Calibri" w:cs="Times New Roman"/>
    </w:rPr>
  </w:style>
  <w:style w:type="numbering" w:customStyle="1" w:styleId="151">
    <w:name w:val="Стиль151"/>
    <w:uiPriority w:val="99"/>
    <w:rsid w:val="00631204"/>
  </w:style>
  <w:style w:type="numbering" w:customStyle="1" w:styleId="152">
    <w:name w:val="Стиль152"/>
    <w:uiPriority w:val="99"/>
    <w:rsid w:val="002C4839"/>
  </w:style>
  <w:style w:type="character" w:customStyle="1" w:styleId="20">
    <w:name w:val="Заголовок 2 Знак"/>
    <w:basedOn w:val="a0"/>
    <w:link w:val="2"/>
    <w:uiPriority w:val="9"/>
    <w:rsid w:val="002602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9836">
      <w:bodyDiv w:val="1"/>
      <w:marLeft w:val="0"/>
      <w:marRight w:val="0"/>
      <w:marTop w:val="0"/>
      <w:marBottom w:val="0"/>
      <w:divBdr>
        <w:top w:val="none" w:sz="0" w:space="0" w:color="auto"/>
        <w:left w:val="none" w:sz="0" w:space="0" w:color="auto"/>
        <w:bottom w:val="none" w:sz="0" w:space="0" w:color="auto"/>
        <w:right w:val="none" w:sz="0" w:space="0" w:color="auto"/>
      </w:divBdr>
      <w:divsChild>
        <w:div w:id="2125367">
          <w:marLeft w:val="720"/>
          <w:marRight w:val="0"/>
          <w:marTop w:val="0"/>
          <w:marBottom w:val="0"/>
          <w:divBdr>
            <w:top w:val="none" w:sz="0" w:space="0" w:color="auto"/>
            <w:left w:val="none" w:sz="0" w:space="0" w:color="auto"/>
            <w:bottom w:val="none" w:sz="0" w:space="0" w:color="auto"/>
            <w:right w:val="none" w:sz="0" w:space="0" w:color="auto"/>
          </w:divBdr>
        </w:div>
        <w:div w:id="449393731">
          <w:marLeft w:val="0"/>
          <w:marRight w:val="0"/>
          <w:marTop w:val="0"/>
          <w:marBottom w:val="0"/>
          <w:divBdr>
            <w:top w:val="none" w:sz="0" w:space="0" w:color="auto"/>
            <w:left w:val="none" w:sz="0" w:space="0" w:color="auto"/>
            <w:bottom w:val="none" w:sz="0" w:space="0" w:color="auto"/>
            <w:right w:val="none" w:sz="0" w:space="0" w:color="auto"/>
          </w:divBdr>
        </w:div>
        <w:div w:id="565533087">
          <w:marLeft w:val="0"/>
          <w:marRight w:val="0"/>
          <w:marTop w:val="0"/>
          <w:marBottom w:val="0"/>
          <w:divBdr>
            <w:top w:val="none" w:sz="0" w:space="0" w:color="auto"/>
            <w:left w:val="none" w:sz="0" w:space="0" w:color="auto"/>
            <w:bottom w:val="none" w:sz="0" w:space="0" w:color="auto"/>
            <w:right w:val="none" w:sz="0" w:space="0" w:color="auto"/>
          </w:divBdr>
        </w:div>
        <w:div w:id="645085793">
          <w:marLeft w:val="0"/>
          <w:marRight w:val="0"/>
          <w:marTop w:val="0"/>
          <w:marBottom w:val="0"/>
          <w:divBdr>
            <w:top w:val="none" w:sz="0" w:space="0" w:color="auto"/>
            <w:left w:val="none" w:sz="0" w:space="0" w:color="auto"/>
            <w:bottom w:val="none" w:sz="0" w:space="0" w:color="auto"/>
            <w:right w:val="none" w:sz="0" w:space="0" w:color="auto"/>
          </w:divBdr>
        </w:div>
        <w:div w:id="646974442">
          <w:marLeft w:val="0"/>
          <w:marRight w:val="0"/>
          <w:marTop w:val="0"/>
          <w:marBottom w:val="0"/>
          <w:divBdr>
            <w:top w:val="none" w:sz="0" w:space="0" w:color="auto"/>
            <w:left w:val="none" w:sz="0" w:space="0" w:color="auto"/>
            <w:bottom w:val="none" w:sz="0" w:space="0" w:color="auto"/>
            <w:right w:val="none" w:sz="0" w:space="0" w:color="auto"/>
          </w:divBdr>
        </w:div>
        <w:div w:id="968171467">
          <w:marLeft w:val="0"/>
          <w:marRight w:val="0"/>
          <w:marTop w:val="0"/>
          <w:marBottom w:val="0"/>
          <w:divBdr>
            <w:top w:val="none" w:sz="0" w:space="0" w:color="auto"/>
            <w:left w:val="none" w:sz="0" w:space="0" w:color="auto"/>
            <w:bottom w:val="none" w:sz="0" w:space="0" w:color="auto"/>
            <w:right w:val="none" w:sz="0" w:space="0" w:color="auto"/>
          </w:divBdr>
        </w:div>
        <w:div w:id="1057046392">
          <w:marLeft w:val="0"/>
          <w:marRight w:val="0"/>
          <w:marTop w:val="0"/>
          <w:marBottom w:val="0"/>
          <w:divBdr>
            <w:top w:val="none" w:sz="0" w:space="0" w:color="auto"/>
            <w:left w:val="none" w:sz="0" w:space="0" w:color="auto"/>
            <w:bottom w:val="none" w:sz="0" w:space="0" w:color="auto"/>
            <w:right w:val="none" w:sz="0" w:space="0" w:color="auto"/>
          </w:divBdr>
        </w:div>
        <w:div w:id="1143962671">
          <w:marLeft w:val="0"/>
          <w:marRight w:val="0"/>
          <w:marTop w:val="0"/>
          <w:marBottom w:val="0"/>
          <w:divBdr>
            <w:top w:val="none" w:sz="0" w:space="0" w:color="auto"/>
            <w:left w:val="none" w:sz="0" w:space="0" w:color="auto"/>
            <w:bottom w:val="none" w:sz="0" w:space="0" w:color="auto"/>
            <w:right w:val="none" w:sz="0" w:space="0" w:color="auto"/>
          </w:divBdr>
        </w:div>
        <w:div w:id="1744374979">
          <w:marLeft w:val="0"/>
          <w:marRight w:val="0"/>
          <w:marTop w:val="0"/>
          <w:marBottom w:val="0"/>
          <w:divBdr>
            <w:top w:val="none" w:sz="0" w:space="0" w:color="auto"/>
            <w:left w:val="none" w:sz="0" w:space="0" w:color="auto"/>
            <w:bottom w:val="none" w:sz="0" w:space="0" w:color="auto"/>
            <w:right w:val="none" w:sz="0" w:space="0" w:color="auto"/>
          </w:divBdr>
        </w:div>
        <w:div w:id="1848789575">
          <w:marLeft w:val="0"/>
          <w:marRight w:val="0"/>
          <w:marTop w:val="0"/>
          <w:marBottom w:val="0"/>
          <w:divBdr>
            <w:top w:val="none" w:sz="0" w:space="0" w:color="auto"/>
            <w:left w:val="none" w:sz="0" w:space="0" w:color="auto"/>
            <w:bottom w:val="none" w:sz="0" w:space="0" w:color="auto"/>
            <w:right w:val="none" w:sz="0" w:space="0" w:color="auto"/>
          </w:divBdr>
        </w:div>
        <w:div w:id="1933077188">
          <w:marLeft w:val="720"/>
          <w:marRight w:val="0"/>
          <w:marTop w:val="0"/>
          <w:marBottom w:val="0"/>
          <w:divBdr>
            <w:top w:val="none" w:sz="0" w:space="0" w:color="auto"/>
            <w:left w:val="none" w:sz="0" w:space="0" w:color="auto"/>
            <w:bottom w:val="none" w:sz="0" w:space="0" w:color="auto"/>
            <w:right w:val="none" w:sz="0" w:space="0" w:color="auto"/>
          </w:divBdr>
        </w:div>
      </w:divsChild>
    </w:div>
    <w:div w:id="427236888">
      <w:bodyDiv w:val="1"/>
      <w:marLeft w:val="0"/>
      <w:marRight w:val="0"/>
      <w:marTop w:val="0"/>
      <w:marBottom w:val="0"/>
      <w:divBdr>
        <w:top w:val="none" w:sz="0" w:space="0" w:color="auto"/>
        <w:left w:val="none" w:sz="0" w:space="0" w:color="auto"/>
        <w:bottom w:val="none" w:sz="0" w:space="0" w:color="auto"/>
        <w:right w:val="none" w:sz="0" w:space="0" w:color="auto"/>
      </w:divBdr>
    </w:div>
    <w:div w:id="761026536">
      <w:bodyDiv w:val="1"/>
      <w:marLeft w:val="0"/>
      <w:marRight w:val="0"/>
      <w:marTop w:val="0"/>
      <w:marBottom w:val="0"/>
      <w:divBdr>
        <w:top w:val="none" w:sz="0" w:space="0" w:color="auto"/>
        <w:left w:val="none" w:sz="0" w:space="0" w:color="auto"/>
        <w:bottom w:val="none" w:sz="0" w:space="0" w:color="auto"/>
        <w:right w:val="none" w:sz="0" w:space="0" w:color="auto"/>
      </w:divBdr>
    </w:div>
    <w:div w:id="887376598">
      <w:bodyDiv w:val="1"/>
      <w:marLeft w:val="0"/>
      <w:marRight w:val="0"/>
      <w:marTop w:val="0"/>
      <w:marBottom w:val="0"/>
      <w:divBdr>
        <w:top w:val="none" w:sz="0" w:space="0" w:color="auto"/>
        <w:left w:val="none" w:sz="0" w:space="0" w:color="auto"/>
        <w:bottom w:val="none" w:sz="0" w:space="0" w:color="auto"/>
        <w:right w:val="none" w:sz="0" w:space="0" w:color="auto"/>
      </w:divBdr>
      <w:divsChild>
        <w:div w:id="42950033">
          <w:marLeft w:val="708"/>
          <w:marRight w:val="0"/>
          <w:marTop w:val="0"/>
          <w:marBottom w:val="0"/>
          <w:divBdr>
            <w:top w:val="none" w:sz="0" w:space="0" w:color="auto"/>
            <w:left w:val="none" w:sz="0" w:space="0" w:color="auto"/>
            <w:bottom w:val="none" w:sz="0" w:space="0" w:color="auto"/>
            <w:right w:val="none" w:sz="0" w:space="0" w:color="auto"/>
          </w:divBdr>
        </w:div>
        <w:div w:id="231504464">
          <w:marLeft w:val="708"/>
          <w:marRight w:val="0"/>
          <w:marTop w:val="0"/>
          <w:marBottom w:val="0"/>
          <w:divBdr>
            <w:top w:val="none" w:sz="0" w:space="0" w:color="auto"/>
            <w:left w:val="none" w:sz="0" w:space="0" w:color="auto"/>
            <w:bottom w:val="none" w:sz="0" w:space="0" w:color="auto"/>
            <w:right w:val="none" w:sz="0" w:space="0" w:color="auto"/>
          </w:divBdr>
        </w:div>
        <w:div w:id="1115441304">
          <w:marLeft w:val="708"/>
          <w:marRight w:val="0"/>
          <w:marTop w:val="0"/>
          <w:marBottom w:val="0"/>
          <w:divBdr>
            <w:top w:val="none" w:sz="0" w:space="0" w:color="auto"/>
            <w:left w:val="none" w:sz="0" w:space="0" w:color="auto"/>
            <w:bottom w:val="none" w:sz="0" w:space="0" w:color="auto"/>
            <w:right w:val="none" w:sz="0" w:space="0" w:color="auto"/>
          </w:divBdr>
        </w:div>
        <w:div w:id="1453816899">
          <w:marLeft w:val="720"/>
          <w:marRight w:val="0"/>
          <w:marTop w:val="0"/>
          <w:marBottom w:val="0"/>
          <w:divBdr>
            <w:top w:val="none" w:sz="0" w:space="0" w:color="auto"/>
            <w:left w:val="none" w:sz="0" w:space="0" w:color="auto"/>
            <w:bottom w:val="none" w:sz="0" w:space="0" w:color="auto"/>
            <w:right w:val="none" w:sz="0" w:space="0" w:color="auto"/>
          </w:divBdr>
        </w:div>
        <w:div w:id="1975258288">
          <w:marLeft w:val="708"/>
          <w:marRight w:val="0"/>
          <w:marTop w:val="0"/>
          <w:marBottom w:val="0"/>
          <w:divBdr>
            <w:top w:val="none" w:sz="0" w:space="0" w:color="auto"/>
            <w:left w:val="none" w:sz="0" w:space="0" w:color="auto"/>
            <w:bottom w:val="none" w:sz="0" w:space="0" w:color="auto"/>
            <w:right w:val="none" w:sz="0" w:space="0" w:color="auto"/>
          </w:divBdr>
        </w:div>
      </w:divsChild>
    </w:div>
    <w:div w:id="910847305">
      <w:bodyDiv w:val="1"/>
      <w:marLeft w:val="0"/>
      <w:marRight w:val="0"/>
      <w:marTop w:val="0"/>
      <w:marBottom w:val="0"/>
      <w:divBdr>
        <w:top w:val="none" w:sz="0" w:space="0" w:color="auto"/>
        <w:left w:val="none" w:sz="0" w:space="0" w:color="auto"/>
        <w:bottom w:val="none" w:sz="0" w:space="0" w:color="auto"/>
        <w:right w:val="none" w:sz="0" w:space="0" w:color="auto"/>
      </w:divBdr>
    </w:div>
    <w:div w:id="954099083">
      <w:bodyDiv w:val="1"/>
      <w:marLeft w:val="0"/>
      <w:marRight w:val="0"/>
      <w:marTop w:val="0"/>
      <w:marBottom w:val="0"/>
      <w:divBdr>
        <w:top w:val="none" w:sz="0" w:space="0" w:color="auto"/>
        <w:left w:val="none" w:sz="0" w:space="0" w:color="auto"/>
        <w:bottom w:val="none" w:sz="0" w:space="0" w:color="auto"/>
        <w:right w:val="none" w:sz="0" w:space="0" w:color="auto"/>
      </w:divBdr>
    </w:div>
    <w:div w:id="1443962447">
      <w:bodyDiv w:val="1"/>
      <w:marLeft w:val="0"/>
      <w:marRight w:val="0"/>
      <w:marTop w:val="0"/>
      <w:marBottom w:val="0"/>
      <w:divBdr>
        <w:top w:val="none" w:sz="0" w:space="0" w:color="auto"/>
        <w:left w:val="none" w:sz="0" w:space="0" w:color="auto"/>
        <w:bottom w:val="none" w:sz="0" w:space="0" w:color="auto"/>
        <w:right w:val="none" w:sz="0" w:space="0" w:color="auto"/>
      </w:divBdr>
    </w:div>
    <w:div w:id="17548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123credit.ru/biz/Depozit/tabid/346/Default.aspx" TargetMode="External"/><Relationship Id="rId26" Type="http://schemas.openxmlformats.org/officeDocument/2006/relationships/hyperlink" Target="http://www.nkcbank.ru/viewCatalog.do?menuKey=128"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fs.moex.com/files/714" TargetMode="External"/><Relationship Id="rId34" Type="http://schemas.openxmlformats.org/officeDocument/2006/relationships/image" Target="media/image13.png"/><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5.png"/><Relationship Id="rId25" Type="http://schemas.openxmlformats.org/officeDocument/2006/relationships/hyperlink" Target="http://www.moex.com/s37" TargetMode="External"/><Relationship Id="rId33" Type="http://schemas.openxmlformats.org/officeDocument/2006/relationships/image" Target="media/image12.png"/><Relationship Id="rId38" Type="http://schemas.openxmlformats.org/officeDocument/2006/relationships/chart" Target="charts/chart7.xm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8.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7.emf"/><Relationship Id="rId45"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kcbank.ru/viewCatalog.do?menuKey=18" TargetMode="External"/><Relationship Id="rId28" Type="http://schemas.openxmlformats.org/officeDocument/2006/relationships/chart" Target="charts/chart6.xml"/><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123credit.ru/biz/Procenty_po_depozitu/tabid/401/Default.aspx" TargetMode="External"/><Relationship Id="rId31" Type="http://schemas.openxmlformats.org/officeDocument/2006/relationships/image" Target="media/image10.png"/><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hyperlink" Target="http://www.nkcbank.ru/viewCatalog.do?menuKey=129" TargetMode="External"/><Relationship Id="rId27" Type="http://schemas.openxmlformats.org/officeDocument/2006/relationships/hyperlink" Target="http://moex.com/ru/derivatives/money/ruonia/"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chart" Target="charts/chart10.xml"/><Relationship Id="rId48"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elyaevaav\AppData\Local\Microsoft\Windows\Temporary%20Internet%20Files\Content.Outlook\7QIQBJRZ\&#1086;&#1073;&#1098;&#1077;&#1084;%20&#1090;&#1086;&#1088;&#1075;&#1086;&#1074;%20&#1080;%20&#1082;&#1086;&#1084;&#1080;&#1089;&#1089;&#1080;&#1103;%20&#1053;&#1050;&#1062;%20(03%2002%202017)%20(004).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user\Documents\&#1056;&#1072;&#1073;&#1086;&#1090;&#1072;%20&#1080;&#1079;%20&#1076;&#1086;&#1084;&#1072;\&#1054;&#1090;&#1095;&#1077;&#1090;&#1099;\&#1053;&#1050;&#1062;\4%20&#1082;&#1074;&#1072;&#1088;&#1090;&#1072;&#1083;%202016\&#1051;&#1080;&#1089;&#1090;%20Microsoft%20Office%20Excel.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OstrovskayaSV\Documents\&#1088;&#1072;&#1089;&#1095;&#1077;&#1090;&#1099;%20&#1076;&#1083;&#1103;%20&#1043;&#1054;%202016.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OstrovskayaSV\Documents\&#1088;&#1072;&#1089;&#1095;&#1077;&#1090;&#1099;%20&#1076;&#1083;&#1103;%20&#1043;&#1054;%202016.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OstrovskayaSV\Documents\&#1088;&#1072;&#1089;&#1095;&#1077;&#1090;&#1099;%20&#1076;&#1083;&#1103;%20&#1043;&#1054;%202016.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OstrovskayaSV\Documents\&#1088;&#1072;&#1089;&#1095;&#1077;&#1090;&#1099;%20&#1076;&#1083;&#1103;%20&#1043;&#1054;%20201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elyaevaav\AppData\Local\Microsoft\Windows\Temporary%20Internet%20Files\Content.Outlook\7QIQBJRZ\&#1086;&#1073;&#1098;&#1077;&#1084;%20&#1090;&#1086;&#1088;&#1075;&#1086;&#1074;%20&#1080;%20&#1082;&#1086;&#1084;&#1080;&#1089;&#1089;&#1080;&#1103;%20&#1053;&#1050;&#1062;%20(03%2002%202017)%20(004).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belyaevaav\AppData\Local\Microsoft\Windows\Temporary%20Internet%20Files\Content.Outlook\7QIQBJRZ\&#1086;&#1073;&#1098;&#1077;&#1084;%20&#1090;&#1086;&#1088;&#1075;&#1086;&#1074;%20&#1080;%20&#1082;&#1086;&#1084;&#1080;&#1089;&#1089;&#1080;&#1103;%20&#1053;&#1050;&#1062;%20(03%2002%202017)%20(004).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belyaevaav\AppData\Local\Microsoft\Windows\Temporary%20Internet%20Files\Content.Outlook\7QIQBJRZ\&#1086;&#1073;&#1098;&#1077;&#1084;%20&#1090;&#1086;&#1088;&#1075;&#1086;&#1074;%20&#1080;%20&#1082;&#1086;&#1084;&#1080;&#1089;&#1089;&#1080;&#1103;%20&#1053;&#1050;&#1062;%20(10%2002%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belyaevaav\AppData\Local\Microsoft\Windows\Temporary%20Internet%20Files\Content.Outlook\7QIQBJRZ\&#1086;&#1073;&#1098;&#1077;&#1084;%20&#1090;&#1086;&#1088;&#1075;&#1086;&#1074;%20&#1080;%20&#1082;&#1086;&#1084;&#1080;&#1089;&#1089;&#1080;&#1103;%20&#1053;&#1050;&#1062;%20(10%2002%20201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office.micex.com\public\files\&#1053;&#1050;&#1062;-&#1050;&#1072;&#1079;&#1085;&#1072;&#1095;&#1077;&#1081;&#1089;&#1090;&#1074;&#1086;\&#1044;&#1077;&#1092;&#1086;&#1083;&#1090;&#1099;\&#1057;&#1090;&#1072;&#1090;&#1080;&#1089;&#1090;&#1080;&#1082;&#1072;%20&#1076;&#1077;&#1092;&#1086;&#1083;&#1090;&#1086;&#1074;\&#1057;&#1090;&#1072;&#1090;&#1080;&#1089;&#1090;&#1080;&#1082;&#1072;%20&#1076;&#1077;&#1092;&#1086;&#1083;&#1090;&#1086;&#107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office.micex.com\Public\Files\&#1059;&#1087;&#1088;&#1072;&#1074;&#1083;&#1077;&#1085;&#1080;&#1077;_&#1082;&#1088;&#1077;&#1076;&#1080;&#1090;&#1085;&#1099;&#1093;_&#1088;&#1080;&#1089;&#1082;&#1086;&#1074;_&#1080;_&#1092;&#1080;&#1085;&#1072;&#1085;&#1089;&#1086;&#1074;&#1086;&#1081;_&#1089;&#1090;&#1072;&#1073;&#1080;&#1083;&#1100;&#1085;&#1086;&#1089;&#1090;&#1080;\&#1054;&#1090;&#1095;&#1077;&#1090;&#1099;\&#1043;&#1086;&#1076;&#1086;&#1074;&#1099;&#1077;_&#1086;&#1090;&#1095;&#1077;&#1090;&#1099;_&#1053;&#1050;&#1062;\&#1043;&#1086;&#1076;&#1086;&#1074;&#1086;&#1081;_&#1086;&#1090;&#1095;&#1077;&#1090;_2016\01.&#1048;&#1090;&#1086;&#1075;&#1080;_&#1075;&#1086;&#1076;&#1072;\00.Support\&#1043;&#1088;&#1072;&#1092;&#1080;&#1082;&#1080;%20&#1044;&#1052;&#1056;&#1080;&#1056;&#1054;.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office.micex.com\Public\Files\&#1059;&#1087;&#1088;&#1072;&#1074;&#1083;&#1077;&#1085;&#1080;&#1077;_&#1082;&#1088;&#1077;&#1076;&#1080;&#1090;&#1085;&#1099;&#1093;_&#1088;&#1080;&#1089;&#1082;&#1086;&#1074;_&#1080;_&#1092;&#1080;&#1085;&#1072;&#1085;&#1089;&#1086;&#1074;&#1086;&#1081;_&#1089;&#1090;&#1072;&#1073;&#1080;&#1083;&#1100;&#1085;&#1086;&#1089;&#1090;&#1080;\&#1054;&#1090;&#1095;&#1077;&#1090;&#1099;\&#1043;&#1086;&#1076;&#1086;&#1074;&#1099;&#1077;_&#1086;&#1090;&#1095;&#1077;&#1090;&#1099;_&#1053;&#1050;&#1062;\&#1043;&#1086;&#1076;&#1086;&#1074;&#1086;&#1081;_&#1086;&#1090;&#1095;&#1077;&#1090;_2016\01.&#1048;&#1090;&#1086;&#1075;&#1080;_&#1075;&#1086;&#1076;&#1072;\00.Support\&#1043;&#1088;&#1072;&#1092;&#1080;&#1082;&#1080;%20&#1044;&#1052;&#1056;&#1080;&#1056;&#1054;.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office.micex.com\Public\Files\&#1053;&#1050;&#1062;-&#1059;&#1050;&#1054;&#1080;&#1057;&#1058;&#1056;\&#1056;&#1040;&#1047;&#1053;&#1054;&#1045;\&#1043;&#1054;&#1044;&#1054;&#1042;&#1054;&#1049;%20&#1054;&#1058;&#1063;&#1045;&#1058;\&#1055;&#1047;%20&#1082;%20&#1043;&#1054;_2016_&#1041;&#1091;&#1082;&#1083;&#1077;&#1090;\&#1044;&#1072;&#1085;&#1085;&#1099;&#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a:t>
            </a:r>
            <a:r>
              <a:rPr lang="ru-RU" baseline="0">
                <a:solidFill>
                  <a:sysClr val="windowText" lastClr="000000"/>
                </a:solidFill>
                <a:latin typeface="Times New Roman" panose="02020603050405020304" pitchFamily="18" charset="0"/>
                <a:cs typeface="Times New Roman" panose="02020603050405020304" pitchFamily="18" charset="0"/>
              </a:rPr>
              <a:t> участников клиринга на рынках от общего количества всех участников клиринга, проц.</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1-A5F7-4C11-9362-41BF626B1DE0}"/>
              </c:ext>
            </c:extLst>
          </c:dPt>
          <c:dPt>
            <c:idx val="1"/>
            <c:invertIfNegative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3-A5F7-4C11-9362-41BF626B1DE0}"/>
              </c:ext>
            </c:extLst>
          </c:dPt>
          <c:dPt>
            <c:idx val="2"/>
            <c:invertIfNegative val="0"/>
            <c:bubble3D val="0"/>
            <c:spPr>
              <a:solidFill>
                <a:schemeClr val="accent3">
                  <a:lumMod val="75000"/>
                </a:schemeClr>
              </a:solidFill>
              <a:ln>
                <a:noFill/>
              </a:ln>
              <a:effectLst/>
              <a:sp3d/>
            </c:spPr>
            <c:extLst xmlns:c16r2="http://schemas.microsoft.com/office/drawing/2015/06/chart">
              <c:ext xmlns:c16="http://schemas.microsoft.com/office/drawing/2014/chart" uri="{C3380CC4-5D6E-409C-BE32-E72D297353CC}">
                <c16:uniqueId val="{00000005-A5F7-4C11-9362-41BF626B1DE0}"/>
              </c:ext>
            </c:extLst>
          </c:dPt>
          <c:dPt>
            <c:idx val="4"/>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7-A5F7-4C11-9362-41BF626B1DE0}"/>
              </c:ext>
            </c:extLst>
          </c:dPt>
          <c:dPt>
            <c:idx val="5"/>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9-A5F7-4C11-9362-41BF626B1DE0}"/>
              </c:ext>
            </c:extLst>
          </c:dPt>
          <c:dLbls>
            <c:dLbl>
              <c:idx val="0"/>
              <c:layout>
                <c:manualLayout>
                  <c:x val="1.3940139941442605E-2"/>
                  <c:y val="-0.36574074074074081"/>
                </c:manualLayout>
              </c:layout>
              <c:tx>
                <c:rich>
                  <a:bodyPr/>
                  <a:lstStyle/>
                  <a:p>
                    <a:fld id="{2A6B7D84-5DE0-46AB-9122-6D4EB88E455A}" type="VALUE">
                      <a:rPr lang="en-US"/>
                      <a:pPr/>
                      <a:t>[ЗНАЧЕНИЕ]</a:t>
                    </a:fld>
                    <a:endParaRPr lang="en-US"/>
                  </a:p>
                  <a:p>
                    <a:r>
                      <a:rPr lang="en-US"/>
                      <a:t>463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F7-4C11-9362-41BF626B1DE0}"/>
                </c:ext>
                <c:ext xmlns:c15="http://schemas.microsoft.com/office/drawing/2012/chart" uri="{CE6537A1-D6FC-4f65-9D91-7224C49458BB}">
                  <c15:dlblFieldTable/>
                  <c15:showDataLabelsRange val="0"/>
                </c:ext>
              </c:extLst>
            </c:dLbl>
            <c:dLbl>
              <c:idx val="1"/>
              <c:layout>
                <c:manualLayout>
                  <c:x val="1.3940139941442631E-2"/>
                  <c:y val="-0.32407407407407413"/>
                </c:manualLayout>
              </c:layout>
              <c:tx>
                <c:rich>
                  <a:bodyPr/>
                  <a:lstStyle/>
                  <a:p>
                    <a:fld id="{9B4D2947-61AC-4579-9D6E-2C34322FF390}" type="VALUE">
                      <a:rPr lang="en-US"/>
                      <a:pPr/>
                      <a:t>[ЗНАЧЕНИЕ]</a:t>
                    </a:fld>
                    <a:endParaRPr lang="en-US"/>
                  </a:p>
                  <a:p>
                    <a:r>
                      <a:rPr lang="en-US"/>
                      <a:t>387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5F7-4C11-9362-41BF626B1DE0}"/>
                </c:ext>
                <c:ext xmlns:c15="http://schemas.microsoft.com/office/drawing/2012/chart" uri="{CE6537A1-D6FC-4f65-9D91-7224C49458BB}">
                  <c15:dlblFieldTable/>
                  <c15:showDataLabelsRange val="0"/>
                </c:ext>
              </c:extLst>
            </c:dLbl>
            <c:dLbl>
              <c:idx val="2"/>
              <c:layout>
                <c:manualLayout>
                  <c:x val="8.3640839648655273E-3"/>
                  <c:y val="-0.16203703703703712"/>
                </c:manualLayout>
              </c:layout>
              <c:tx>
                <c:rich>
                  <a:bodyPr/>
                  <a:lstStyle/>
                  <a:p>
                    <a:fld id="{53A9CF36-A6EE-40EF-AFFA-0ACF7775D68A}" type="VALUE">
                      <a:rPr lang="en-US"/>
                      <a:pPr/>
                      <a:t>[ЗНАЧЕНИЕ]</a:t>
                    </a:fld>
                    <a:endParaRPr lang="en-US"/>
                  </a:p>
                  <a:p>
                    <a:r>
                      <a:rPr lang="en-US"/>
                      <a:t>113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5F7-4C11-9362-41BF626B1DE0}"/>
                </c:ext>
                <c:ext xmlns:c15="http://schemas.microsoft.com/office/drawing/2012/chart" uri="{CE6537A1-D6FC-4f65-9D91-7224C49458BB}">
                  <c15:dlblFieldTable/>
                  <c15:showDataLabelsRange val="0"/>
                </c:ext>
              </c:extLst>
            </c:dLbl>
            <c:dLbl>
              <c:idx val="3"/>
              <c:layout>
                <c:manualLayout>
                  <c:x val="5.5760559765770526E-3"/>
                  <c:y val="-9.2592592592592587E-2"/>
                </c:manualLayout>
              </c:layout>
              <c:tx>
                <c:rich>
                  <a:bodyPr/>
                  <a:lstStyle/>
                  <a:p>
                    <a:fld id="{88106890-F834-43E9-8B0C-A72B4409FC32}" type="VALUE">
                      <a:rPr lang="en-US"/>
                      <a:pPr/>
                      <a:t>[ЗНАЧЕНИЕ]</a:t>
                    </a:fld>
                    <a:endParaRPr lang="en-US"/>
                  </a:p>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5F7-4C11-9362-41BF626B1DE0}"/>
                </c:ext>
                <c:ext xmlns:c15="http://schemas.microsoft.com/office/drawing/2012/chart" uri="{CE6537A1-D6FC-4f65-9D91-7224C49458BB}">
                  <c15:dlblFieldTable/>
                  <c15:showDataLabelsRange val="0"/>
                </c:ext>
              </c:extLst>
            </c:dLbl>
            <c:dLbl>
              <c:idx val="4"/>
              <c:layout>
                <c:manualLayout>
                  <c:x val="8.3640839648655794E-3"/>
                  <c:y val="-0.11574074074074074"/>
                </c:manualLayout>
              </c:layout>
              <c:tx>
                <c:rich>
                  <a:bodyPr/>
                  <a:lstStyle/>
                  <a:p>
                    <a:fld id="{B382B33C-C2AD-4A6E-8EF7-0F4C4901E543}" type="VALUE">
                      <a:rPr lang="en-US"/>
                      <a:pPr/>
                      <a:t>[ЗНАЧЕНИЕ]</a:t>
                    </a:fld>
                    <a:endParaRPr lang="en-US"/>
                  </a:p>
                  <a:p>
                    <a:r>
                      <a:rPr lang="en-US"/>
                      <a:t>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5F7-4C11-9362-41BF626B1DE0}"/>
                </c:ext>
                <c:ext xmlns:c15="http://schemas.microsoft.com/office/drawing/2012/chart" uri="{CE6537A1-D6FC-4f65-9D91-7224C49458BB}">
                  <c15:dlblFieldTable/>
                  <c15:showDataLabelsRange val="0"/>
                </c:ext>
              </c:extLst>
            </c:dLbl>
            <c:dLbl>
              <c:idx val="5"/>
              <c:layout>
                <c:manualLayout>
                  <c:x val="8.3640839648655794E-3"/>
                  <c:y val="-8.7962962962962965E-2"/>
                </c:manualLayout>
              </c:layout>
              <c:tx>
                <c:rich>
                  <a:bodyPr/>
                  <a:lstStyle/>
                  <a:p>
                    <a:fld id="{BC5AE928-FF38-4BB6-A9E3-6AFFE15C1179}" type="VALUE">
                      <a:rPr lang="en-US"/>
                      <a:pPr/>
                      <a:t>[ЗНАЧЕНИЕ]</a:t>
                    </a:fld>
                    <a:endParaRPr lang="en-US"/>
                  </a:p>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5F7-4C11-9362-41BF626B1DE0}"/>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'итог 2015-2016'!$G$7:$L$7</c:f>
              <c:strCache>
                <c:ptCount val="6"/>
                <c:pt idx="0">
                  <c:v>ВР+ДМ</c:v>
                </c:pt>
                <c:pt idx="1">
                  <c:v>ФР</c:v>
                </c:pt>
                <c:pt idx="2">
                  <c:v>СР</c:v>
                </c:pt>
                <c:pt idx="3">
                  <c:v>СПФИ</c:v>
                </c:pt>
                <c:pt idx="4">
                  <c:v>ТР МЭБ</c:v>
                </c:pt>
                <c:pt idx="5">
                  <c:v>ТР НТБ</c:v>
                </c:pt>
              </c:strCache>
            </c:strRef>
          </c:cat>
          <c:val>
            <c:numRef>
              <c:f>'итог 2015-2016'!$G$9:$L$9</c:f>
              <c:numCache>
                <c:formatCode>0.00%</c:formatCode>
                <c:ptCount val="6"/>
                <c:pt idx="0">
                  <c:v>0.70687022900763363</c:v>
                </c:pt>
                <c:pt idx="1">
                  <c:v>0.59083969465648856</c:v>
                </c:pt>
                <c:pt idx="2">
                  <c:v>0.17251908396946564</c:v>
                </c:pt>
                <c:pt idx="3">
                  <c:v>5.6488549618320609E-2</c:v>
                </c:pt>
                <c:pt idx="4">
                  <c:v>0.12977099236641221</c:v>
                </c:pt>
                <c:pt idx="5">
                  <c:v>7.6335877862595417E-3</c:v>
                </c:pt>
              </c:numCache>
            </c:numRef>
          </c:val>
          <c:extLst xmlns:c16r2="http://schemas.microsoft.com/office/drawing/2015/06/chart">
            <c:ext xmlns:c16="http://schemas.microsoft.com/office/drawing/2014/chart" uri="{C3380CC4-5D6E-409C-BE32-E72D297353CC}">
              <c16:uniqueId val="{0000000B-A5F7-4C11-9362-41BF626B1DE0}"/>
            </c:ext>
          </c:extLst>
        </c:ser>
        <c:dLbls>
          <c:showLegendKey val="0"/>
          <c:showVal val="0"/>
          <c:showCatName val="0"/>
          <c:showSerName val="0"/>
          <c:showPercent val="0"/>
          <c:showBubbleSize val="0"/>
        </c:dLbls>
        <c:gapWidth val="150"/>
        <c:shape val="box"/>
        <c:axId val="657953928"/>
        <c:axId val="657953536"/>
        <c:axId val="0"/>
      </c:bar3DChart>
      <c:catAx>
        <c:axId val="657953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7953536"/>
        <c:crosses val="autoZero"/>
        <c:auto val="1"/>
        <c:lblAlgn val="ctr"/>
        <c:lblOffset val="100"/>
        <c:tickLblSkip val="1"/>
        <c:noMultiLvlLbl val="0"/>
      </c:catAx>
      <c:valAx>
        <c:axId val="65795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7953928"/>
        <c:crosses val="autoZero"/>
        <c:crossBetween val="between"/>
      </c:valAx>
      <c:spPr>
        <a:noFill/>
        <a:ln>
          <a:noFill/>
        </a:ln>
        <a:effectLst/>
      </c:spPr>
    </c:plotArea>
    <c:legend>
      <c:legendPos val="r"/>
      <c:layout>
        <c:manualLayout>
          <c:xMode val="edge"/>
          <c:yMode val="edge"/>
          <c:x val="0.83634728682841886"/>
          <c:y val="0.3766819787654988"/>
          <c:w val="0.1636527131715812"/>
          <c:h val="0.43002874697180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1"/>
              </a:solidFill>
            </c:spPr>
            <c:extLst xmlns:c16r2="http://schemas.microsoft.com/office/drawing/2015/06/chart">
              <c:ext xmlns:c16="http://schemas.microsoft.com/office/drawing/2014/chart" uri="{C3380CC4-5D6E-409C-BE32-E72D297353CC}">
                <c16:uniqueId val="{00000001-2510-4910-A2D7-4803AFF8A268}"/>
              </c:ext>
            </c:extLst>
          </c:dPt>
          <c:dPt>
            <c:idx val="1"/>
            <c:invertIfNegative val="0"/>
            <c:bubble3D val="0"/>
            <c:spPr>
              <a:solidFill>
                <a:schemeClr val="accent1"/>
              </a:solidFill>
            </c:spPr>
            <c:extLst xmlns:c16r2="http://schemas.microsoft.com/office/drawing/2015/06/chart">
              <c:ext xmlns:c16="http://schemas.microsoft.com/office/drawing/2014/chart" uri="{C3380CC4-5D6E-409C-BE32-E72D297353CC}">
                <c16:uniqueId val="{00000003-2510-4910-A2D7-4803AFF8A268}"/>
              </c:ext>
            </c:extLst>
          </c:dPt>
          <c:dPt>
            <c:idx val="2"/>
            <c:invertIfNegative val="0"/>
            <c:bubble3D val="0"/>
            <c:spPr>
              <a:solidFill>
                <a:schemeClr val="accent1"/>
              </a:solidFill>
            </c:spPr>
            <c:extLst xmlns:c16r2="http://schemas.microsoft.com/office/drawing/2015/06/chart">
              <c:ext xmlns:c16="http://schemas.microsoft.com/office/drawing/2014/chart" uri="{C3380CC4-5D6E-409C-BE32-E72D297353CC}">
                <c16:uniqueId val="{00000005-2510-4910-A2D7-4803AFF8A268}"/>
              </c:ext>
            </c:extLst>
          </c:dPt>
          <c:dPt>
            <c:idx val="3"/>
            <c:invertIfNegative val="0"/>
            <c:bubble3D val="0"/>
            <c:spPr>
              <a:solidFill>
                <a:schemeClr val="accent2"/>
              </a:solidFill>
            </c:spPr>
            <c:extLst xmlns:c16r2="http://schemas.microsoft.com/office/drawing/2015/06/chart">
              <c:ext xmlns:c16="http://schemas.microsoft.com/office/drawing/2014/chart" uri="{C3380CC4-5D6E-409C-BE32-E72D297353CC}">
                <c16:uniqueId val="{00000007-2510-4910-A2D7-4803AFF8A268}"/>
              </c:ext>
            </c:extLst>
          </c:dPt>
          <c:dLbls>
            <c:dLbl>
              <c:idx val="0"/>
              <c:layout>
                <c:manualLayout>
                  <c:x val="-7.0555555555555545E-3"/>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10-4910-A2D7-4803AFF8A268}"/>
                </c:ext>
                <c:ext xmlns:c15="http://schemas.microsoft.com/office/drawing/2012/chart" uri="{CE6537A1-D6FC-4f65-9D91-7224C49458BB}"/>
              </c:extLst>
            </c:dLbl>
            <c:dLbl>
              <c:idx val="1"/>
              <c:layout>
                <c:manualLayout>
                  <c:x val="0"/>
                  <c:y val="3.9197530864197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510-4910-A2D7-4803AFF8A268}"/>
                </c:ext>
                <c:ext xmlns:c15="http://schemas.microsoft.com/office/drawing/2012/chart" uri="{CE6537A1-D6FC-4f65-9D91-7224C49458BB}"/>
              </c:extLst>
            </c:dLbl>
            <c:dLbl>
              <c:idx val="2"/>
              <c:layout>
                <c:manualLayout>
                  <c:x val="4.7037037037037602E-3"/>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10-4910-A2D7-4803AFF8A268}"/>
                </c:ext>
                <c:ext xmlns:c15="http://schemas.microsoft.com/office/drawing/2012/chart" uri="{CE6537A1-D6FC-4f65-9D91-7224C49458BB}"/>
              </c:extLst>
            </c:dLbl>
            <c:dLbl>
              <c:idx val="3"/>
              <c:layout>
                <c:manualLayout>
                  <c:x val="0"/>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510-4910-A2D7-4803AFF8A26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Лист1!$AB$15:$AE$15</c:f>
              <c:strCache>
                <c:ptCount val="4"/>
                <c:pt idx="0">
                  <c:v>Q12016</c:v>
                </c:pt>
                <c:pt idx="1">
                  <c:v>Q22016</c:v>
                </c:pt>
                <c:pt idx="2">
                  <c:v>Q32016</c:v>
                </c:pt>
                <c:pt idx="3">
                  <c:v>Q4 2016</c:v>
                </c:pt>
              </c:strCache>
            </c:strRef>
          </c:cat>
          <c:val>
            <c:numRef>
              <c:f>Лист1!$AB$16:$AE$16</c:f>
              <c:numCache>
                <c:formatCode>#,##0</c:formatCode>
                <c:ptCount val="4"/>
                <c:pt idx="0">
                  <c:v>7872.22</c:v>
                </c:pt>
                <c:pt idx="1">
                  <c:v>5926.85</c:v>
                </c:pt>
                <c:pt idx="2">
                  <c:v>5686.73</c:v>
                </c:pt>
                <c:pt idx="3">
                  <c:v>10793.630000000001</c:v>
                </c:pt>
              </c:numCache>
            </c:numRef>
          </c:val>
          <c:extLst xmlns:c16r2="http://schemas.microsoft.com/office/drawing/2015/06/chart">
            <c:ext xmlns:c16="http://schemas.microsoft.com/office/drawing/2014/chart" uri="{C3380CC4-5D6E-409C-BE32-E72D297353CC}">
              <c16:uniqueId val="{00000008-2510-4910-A2D7-4803AFF8A268}"/>
            </c:ext>
          </c:extLst>
        </c:ser>
        <c:dLbls>
          <c:showLegendKey val="0"/>
          <c:showVal val="0"/>
          <c:showCatName val="0"/>
          <c:showSerName val="0"/>
          <c:showPercent val="0"/>
          <c:showBubbleSize val="0"/>
        </c:dLbls>
        <c:gapWidth val="41"/>
        <c:axId val="555902504"/>
        <c:axId val="483851368"/>
      </c:barChart>
      <c:catAx>
        <c:axId val="555902504"/>
        <c:scaling>
          <c:orientation val="minMax"/>
        </c:scaling>
        <c:delete val="0"/>
        <c:axPos val="b"/>
        <c:numFmt formatCode="General" sourceLinked="0"/>
        <c:majorTickMark val="out"/>
        <c:minorTickMark val="none"/>
        <c:tickLblPos val="low"/>
        <c:crossAx val="483851368"/>
        <c:crosses val="autoZero"/>
        <c:auto val="1"/>
        <c:lblAlgn val="ctr"/>
        <c:lblOffset val="100"/>
        <c:noMultiLvlLbl val="0"/>
      </c:catAx>
      <c:valAx>
        <c:axId val="483851368"/>
        <c:scaling>
          <c:orientation val="minMax"/>
        </c:scaling>
        <c:delete val="0"/>
        <c:axPos val="l"/>
        <c:majorGridlines>
          <c:spPr>
            <a:ln>
              <a:prstDash val="sysDot"/>
            </a:ln>
          </c:spPr>
        </c:majorGridlines>
        <c:numFmt formatCode="#,##0" sourceLinked="1"/>
        <c:majorTickMark val="out"/>
        <c:minorTickMark val="none"/>
        <c:tickLblPos val="nextTo"/>
        <c:crossAx val="555902504"/>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Собственные средства (капитал)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Собственные средства (капитал)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Лист1!$B$2:$K$2</c:f>
              <c:numCache>
                <c:formatCode>#,##0</c:formatCode>
                <c:ptCount val="10"/>
                <c:pt idx="0">
                  <c:v>715875</c:v>
                </c:pt>
                <c:pt idx="1">
                  <c:v>2131622</c:v>
                </c:pt>
                <c:pt idx="2">
                  <c:v>4251640</c:v>
                </c:pt>
                <c:pt idx="3">
                  <c:v>8126112</c:v>
                </c:pt>
                <c:pt idx="4">
                  <c:v>9999913</c:v>
                </c:pt>
                <c:pt idx="5">
                  <c:v>13501400</c:v>
                </c:pt>
                <c:pt idx="6">
                  <c:v>28839271</c:v>
                </c:pt>
                <c:pt idx="7">
                  <c:v>38542136</c:v>
                </c:pt>
                <c:pt idx="8">
                  <c:v>54130884</c:v>
                </c:pt>
                <c:pt idx="9">
                  <c:v>46515470</c:v>
                </c:pt>
              </c:numCache>
            </c:numRef>
          </c:val>
          <c:extLst xmlns:c16r2="http://schemas.microsoft.com/office/drawing/2015/06/chart">
            <c:ext xmlns:c16="http://schemas.microsoft.com/office/drawing/2014/chart" uri="{C3380CC4-5D6E-409C-BE32-E72D297353CC}">
              <c16:uniqueId val="{00000000-E455-47FD-B3EF-71571E9F9F68}"/>
            </c:ext>
          </c:extLst>
        </c:ser>
        <c:dLbls>
          <c:dLblPos val="outEnd"/>
          <c:showLegendKey val="0"/>
          <c:showVal val="1"/>
          <c:showCatName val="0"/>
          <c:showSerName val="0"/>
          <c:showPercent val="0"/>
          <c:showBubbleSize val="0"/>
        </c:dLbls>
        <c:gapWidth val="219"/>
        <c:overlap val="-27"/>
        <c:axId val="483852152"/>
        <c:axId val="483852544"/>
      </c:barChart>
      <c:catAx>
        <c:axId val="483852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3852544"/>
        <c:crosses val="autoZero"/>
        <c:auto val="1"/>
        <c:lblAlgn val="ctr"/>
        <c:lblOffset val="100"/>
        <c:noMultiLvlLbl val="0"/>
      </c:catAx>
      <c:valAx>
        <c:axId val="483852544"/>
        <c:scaling>
          <c:orientation val="minMax"/>
        </c:scaling>
        <c:delete val="1"/>
        <c:axPos val="l"/>
        <c:numFmt formatCode="#,##0" sourceLinked="1"/>
        <c:majorTickMark val="out"/>
        <c:minorTickMark val="none"/>
        <c:tickLblPos val="nextTo"/>
        <c:crossAx val="48385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Нераспределенная прибыль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1"/>
          <c:order val="0"/>
          <c:tx>
            <c:strRef>
              <c:f>Лист1!$A$3</c:f>
              <c:strCache>
                <c:ptCount val="1"/>
                <c:pt idx="0">
                  <c:v>Нераспределенная прибыль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Лист1!$B$3:$K$3</c:f>
              <c:numCache>
                <c:formatCode>#,##0</c:formatCode>
                <c:ptCount val="10"/>
                <c:pt idx="0">
                  <c:v>15258</c:v>
                </c:pt>
                <c:pt idx="1">
                  <c:v>373478</c:v>
                </c:pt>
                <c:pt idx="2">
                  <c:v>937956</c:v>
                </c:pt>
                <c:pt idx="3">
                  <c:v>1738448</c:v>
                </c:pt>
                <c:pt idx="4">
                  <c:v>3615799</c:v>
                </c:pt>
                <c:pt idx="5">
                  <c:v>7034380</c:v>
                </c:pt>
                <c:pt idx="6">
                  <c:v>13350109</c:v>
                </c:pt>
                <c:pt idx="7">
                  <c:v>20914899</c:v>
                </c:pt>
                <c:pt idx="8">
                  <c:v>43766172</c:v>
                </c:pt>
                <c:pt idx="9">
                  <c:v>39367617</c:v>
                </c:pt>
              </c:numCache>
            </c:numRef>
          </c:val>
          <c:extLst xmlns:c16r2="http://schemas.microsoft.com/office/drawing/2015/06/chart">
            <c:ext xmlns:c16="http://schemas.microsoft.com/office/drawing/2014/chart" uri="{C3380CC4-5D6E-409C-BE32-E72D297353CC}">
              <c16:uniqueId val="{00000000-F33A-4C53-BF40-3E9D94F9A5DF}"/>
            </c:ext>
          </c:extLst>
        </c:ser>
        <c:dLbls>
          <c:dLblPos val="outEnd"/>
          <c:showLegendKey val="0"/>
          <c:showVal val="1"/>
          <c:showCatName val="0"/>
          <c:showSerName val="0"/>
          <c:showPercent val="0"/>
          <c:showBubbleSize val="0"/>
        </c:dLbls>
        <c:gapWidth val="219"/>
        <c:overlap val="-27"/>
        <c:axId val="474720856"/>
        <c:axId val="864111208"/>
      </c:barChart>
      <c:catAx>
        <c:axId val="47472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4111208"/>
        <c:crosses val="autoZero"/>
        <c:auto val="1"/>
        <c:lblAlgn val="ctr"/>
        <c:lblOffset val="100"/>
        <c:noMultiLvlLbl val="0"/>
      </c:catAx>
      <c:valAx>
        <c:axId val="864111208"/>
        <c:scaling>
          <c:orientation val="minMax"/>
        </c:scaling>
        <c:delete val="1"/>
        <c:axPos val="l"/>
        <c:numFmt formatCode="#,##0" sourceLinked="1"/>
        <c:majorTickMark val="none"/>
        <c:minorTickMark val="none"/>
        <c:tickLblPos val="nextTo"/>
        <c:crossAx val="47472085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Уставный капитал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0"/>
          <c:tx>
            <c:strRef>
              <c:f>Лист1!$A$4</c:f>
              <c:strCache>
                <c:ptCount val="1"/>
                <c:pt idx="0">
                  <c:v>Уставный капитал</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Лист1!$B$4:$K$4</c:f>
              <c:numCache>
                <c:formatCode>#,##0</c:formatCode>
                <c:ptCount val="10"/>
                <c:pt idx="0">
                  <c:v>700000</c:v>
                </c:pt>
                <c:pt idx="1">
                  <c:v>1735000</c:v>
                </c:pt>
                <c:pt idx="2">
                  <c:v>1735000</c:v>
                </c:pt>
                <c:pt idx="3">
                  <c:v>4435000</c:v>
                </c:pt>
                <c:pt idx="4">
                  <c:v>6170000</c:v>
                </c:pt>
                <c:pt idx="5">
                  <c:v>6170000</c:v>
                </c:pt>
                <c:pt idx="6">
                  <c:v>15170000</c:v>
                </c:pt>
                <c:pt idx="7">
                  <c:v>16670000</c:v>
                </c:pt>
                <c:pt idx="8">
                  <c:v>16670000</c:v>
                </c:pt>
                <c:pt idx="9">
                  <c:v>16670000</c:v>
                </c:pt>
              </c:numCache>
            </c:numRef>
          </c:val>
          <c:extLst xmlns:c16r2="http://schemas.microsoft.com/office/drawing/2015/06/chart">
            <c:ext xmlns:c16="http://schemas.microsoft.com/office/drawing/2014/chart" uri="{C3380CC4-5D6E-409C-BE32-E72D297353CC}">
              <c16:uniqueId val="{00000000-1995-46ED-8D30-CF6040CC4E8E}"/>
            </c:ext>
          </c:extLst>
        </c:ser>
        <c:dLbls>
          <c:dLblPos val="outEnd"/>
          <c:showLegendKey val="0"/>
          <c:showVal val="1"/>
          <c:showCatName val="0"/>
          <c:showSerName val="0"/>
          <c:showPercent val="0"/>
          <c:showBubbleSize val="0"/>
        </c:dLbls>
        <c:gapWidth val="219"/>
        <c:overlap val="-27"/>
        <c:axId val="477650120"/>
        <c:axId val="477650512"/>
      </c:barChart>
      <c:catAx>
        <c:axId val="47765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650512"/>
        <c:crosses val="autoZero"/>
        <c:auto val="1"/>
        <c:lblAlgn val="ctr"/>
        <c:lblOffset val="100"/>
        <c:noMultiLvlLbl val="0"/>
      </c:catAx>
      <c:valAx>
        <c:axId val="477650512"/>
        <c:scaling>
          <c:orientation val="minMax"/>
        </c:scaling>
        <c:delete val="1"/>
        <c:axPos val="l"/>
        <c:numFmt formatCode="#,##0" sourceLinked="1"/>
        <c:majorTickMark val="none"/>
        <c:minorTickMark val="none"/>
        <c:tickLblPos val="nextTo"/>
        <c:crossAx val="47765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Источники, уменьшающие собственные средства (капитал)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Выделенный капитал</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Лист1!$J$6:$K$6</c:f>
              <c:numCache>
                <c:formatCode>General</c:formatCode>
                <c:ptCount val="2"/>
                <c:pt idx="0">
                  <c:v>2015</c:v>
                </c:pt>
                <c:pt idx="1">
                  <c:v>2016</c:v>
                </c:pt>
              </c:numCache>
            </c:numRef>
          </c:cat>
          <c:val>
            <c:numRef>
              <c:f>Лист1!$J$7:$K$7</c:f>
              <c:numCache>
                <c:formatCode>#,##0</c:formatCode>
                <c:ptCount val="2"/>
                <c:pt idx="0">
                  <c:v>6500000</c:v>
                </c:pt>
                <c:pt idx="1">
                  <c:v>9500000</c:v>
                </c:pt>
              </c:numCache>
            </c:numRef>
          </c:val>
          <c:extLst xmlns:c16r2="http://schemas.microsoft.com/office/drawing/2015/06/chart">
            <c:ext xmlns:c16="http://schemas.microsoft.com/office/drawing/2014/chart" uri="{C3380CC4-5D6E-409C-BE32-E72D297353CC}">
              <c16:uniqueId val="{00000000-5B75-4E46-B335-01A1ECA7D477}"/>
            </c:ext>
          </c:extLst>
        </c:ser>
        <c:ser>
          <c:idx val="1"/>
          <c:order val="1"/>
          <c:tx>
            <c:v>Капитал ЦК на покрытие возможных потерь</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Лист1!$J$6:$K$6</c:f>
              <c:numCache>
                <c:formatCode>General</c:formatCode>
                <c:ptCount val="2"/>
                <c:pt idx="0">
                  <c:v>2015</c:v>
                </c:pt>
                <c:pt idx="1">
                  <c:v>2016</c:v>
                </c:pt>
              </c:numCache>
            </c:numRef>
          </c:cat>
          <c:val>
            <c:numRef>
              <c:f>Лист1!$J$8:$K$8</c:f>
              <c:numCache>
                <c:formatCode>#,##0</c:formatCode>
                <c:ptCount val="2"/>
                <c:pt idx="0">
                  <c:v>766498</c:v>
                </c:pt>
                <c:pt idx="1">
                  <c:v>889965</c:v>
                </c:pt>
              </c:numCache>
            </c:numRef>
          </c:val>
          <c:extLst xmlns:c16r2="http://schemas.microsoft.com/office/drawing/2015/06/chart">
            <c:ext xmlns:c16="http://schemas.microsoft.com/office/drawing/2014/chart" uri="{C3380CC4-5D6E-409C-BE32-E72D297353CC}">
              <c16:uniqueId val="{00000001-5B75-4E46-B335-01A1ECA7D477}"/>
            </c:ext>
          </c:extLst>
        </c:ser>
        <c:dLbls>
          <c:dLblPos val="outEnd"/>
          <c:showLegendKey val="0"/>
          <c:showVal val="1"/>
          <c:showCatName val="0"/>
          <c:showSerName val="0"/>
          <c:showPercent val="0"/>
          <c:showBubbleSize val="0"/>
        </c:dLbls>
        <c:gapWidth val="219"/>
        <c:overlap val="-27"/>
        <c:axId val="477651296"/>
        <c:axId val="477651688"/>
      </c:barChart>
      <c:catAx>
        <c:axId val="4776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651688"/>
        <c:crosses val="autoZero"/>
        <c:auto val="1"/>
        <c:lblAlgn val="ctr"/>
        <c:lblOffset val="100"/>
        <c:noMultiLvlLbl val="0"/>
      </c:catAx>
      <c:valAx>
        <c:axId val="477651688"/>
        <c:scaling>
          <c:orientation val="minMax"/>
        </c:scaling>
        <c:delete val="1"/>
        <c:axPos val="l"/>
        <c:numFmt formatCode="#,##0" sourceLinked="1"/>
        <c:majorTickMark val="none"/>
        <c:minorTickMark val="none"/>
        <c:tickLblPos val="nextTo"/>
        <c:crossAx val="47765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Объем обязательств,</a:t>
            </a:r>
            <a:r>
              <a:rPr lang="ru-RU" baseline="0">
                <a:solidFill>
                  <a:sysClr val="windowText" lastClr="000000"/>
                </a:solidFill>
                <a:latin typeface="Times New Roman" panose="02020603050405020304" pitchFamily="18" charset="0"/>
                <a:cs typeface="Times New Roman" panose="02020603050405020304" pitchFamily="18" charset="0"/>
              </a:rPr>
              <a:t> определенных по итогам клиринга, млрд руб.</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363-4DDE-B641-C32651D69FBF}"/>
              </c:ext>
            </c:extLst>
          </c:dPt>
          <c:dPt>
            <c:idx val="1"/>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363-4DDE-B641-C32651D69FBF}"/>
              </c:ext>
            </c:extLst>
          </c:dPt>
          <c:dPt>
            <c:idx val="2"/>
            <c:bubble3D val="0"/>
            <c:spPr>
              <a:solidFill>
                <a:schemeClr val="accent3">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363-4DDE-B641-C32651D69FB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363-4DDE-B641-C32651D69FB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363-4DDE-B641-C32651D69FB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363-4DDE-B641-C32651D69FBF}"/>
              </c:ext>
            </c:extLst>
          </c:dPt>
          <c:dLbls>
            <c:dLbl>
              <c:idx val="0"/>
              <c:layout>
                <c:manualLayout>
                  <c:x val="-5.2335958005249343E-3"/>
                  <c:y val="2.8542213473315751E-2"/>
                </c:manualLayout>
              </c:layout>
              <c:tx>
                <c:rich>
                  <a:bodyPr/>
                  <a:lstStyle/>
                  <a:p>
                    <a:r>
                      <a:rPr lang="ru-RU" sz="800" b="0" i="0" u="none" strike="noStrike" kern="1200" baseline="0">
                        <a:solidFill>
                          <a:sysClr val="windowText" lastClr="000000">
                            <a:lumMod val="75000"/>
                            <a:lumOff val="25000"/>
                          </a:sysClr>
                        </a:solidFill>
                      </a:rPr>
                      <a:t>ВР: 659 909</a:t>
                    </a:r>
                    <a:endParaRPr lang="ru-RU"/>
                  </a:p>
                  <a:p>
                    <a:fld id="{E2F43F6A-5DA5-41C9-A03F-6E2CC310051F}" type="VALUE">
                      <a:rPr lang="en-US"/>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63-4DDE-B641-C32651D69FBF}"/>
                </c:ext>
                <c:ext xmlns:c15="http://schemas.microsoft.com/office/drawing/2012/chart" uri="{CE6537A1-D6FC-4f65-9D91-7224C49458BB}">
                  <c15:dlblFieldTable/>
                  <c15:showDataLabelsRange val="0"/>
                </c:ext>
              </c:extLst>
            </c:dLbl>
            <c:dLbl>
              <c:idx val="1"/>
              <c:layout>
                <c:manualLayout>
                  <c:x val="-5.1666010498687666E-2"/>
                  <c:y val="-0.11816200058326043"/>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ru-RU" sz="900" b="0" i="0" u="none" strike="noStrike" kern="1200" baseline="0">
                        <a:solidFill>
                          <a:sysClr val="windowText" lastClr="000000">
                            <a:lumMod val="75000"/>
                            <a:lumOff val="25000"/>
                          </a:sysClr>
                        </a:solidFill>
                      </a:rPr>
                      <a:t>ФР: 640 244</a:t>
                    </a:r>
                    <a:endParaRPr lang="ru-RU"/>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fld id="{CA72E9DC-4674-40F0-8BA1-1A57392708E1}"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endParaRPr lang="ru-RU"/>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63-4DDE-B641-C32651D69FBF}"/>
                </c:ext>
                <c:ext xmlns:c15="http://schemas.microsoft.com/office/drawing/2012/chart" uri="{CE6537A1-D6FC-4f65-9D91-7224C49458BB}">
                  <c15:dlblFieldTable/>
                  <c15:showDataLabelsRange val="0"/>
                </c:ext>
              </c:extLst>
            </c:dLbl>
            <c:dLbl>
              <c:idx val="2"/>
              <c:layout>
                <c:manualLayout>
                  <c:x val="-7.2331583552055993E-3"/>
                  <c:y val="-7.4402158063575389E-3"/>
                </c:manualLayout>
              </c:layout>
              <c:tx>
                <c:rich>
                  <a:bodyPr/>
                  <a:lstStyle/>
                  <a:p>
                    <a:r>
                      <a:rPr lang="ru-RU" sz="800" b="0" i="0" u="none" strike="noStrike" kern="1200" baseline="0">
                        <a:solidFill>
                          <a:sysClr val="windowText" lastClr="000000">
                            <a:lumMod val="75000"/>
                            <a:lumOff val="25000"/>
                          </a:sysClr>
                        </a:solidFill>
                      </a:rPr>
                      <a:t>СР: 230 542</a:t>
                    </a:r>
                    <a:endParaRPr lang="ru-RU"/>
                  </a:p>
                  <a:p>
                    <a:fld id="{EE264063-1692-4ABD-9D5C-EBBC95A20F79}" type="VALUE">
                      <a:rPr lang="en-US"/>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363-4DDE-B641-C32651D69FBF}"/>
                </c:ext>
                <c:ext xmlns:c15="http://schemas.microsoft.com/office/drawing/2012/chart" uri="{CE6537A1-D6FC-4f65-9D91-7224C49458BB}">
                  <c15:dlblFieldTable/>
                  <c15:showDataLabelsRange val="0"/>
                </c:ext>
              </c:extLst>
            </c:dLbl>
            <c:dLbl>
              <c:idx val="3"/>
              <c:layout>
                <c:manualLayout>
                  <c:x val="-8.5059055118110235E-3"/>
                  <c:y val="6.5241324001166518E-3"/>
                </c:manualLayout>
              </c:layout>
              <c:tx>
                <c:rich>
                  <a:bodyPr/>
                  <a:lstStyle/>
                  <a:p>
                    <a:r>
                      <a:rPr lang="ru-RU"/>
                      <a:t>ДМ: 250</a:t>
                    </a:r>
                  </a:p>
                  <a:p>
                    <a:fld id="{1BABC3C9-5144-42A3-B078-8956C2C92C2E}"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363-4DDE-B641-C32651D69FBF}"/>
                </c:ext>
                <c:ext xmlns:c15="http://schemas.microsoft.com/office/drawing/2012/chart" uri="{CE6537A1-D6FC-4f65-9D91-7224C49458BB}">
                  <c15:dlblFieldTable/>
                  <c15:showDataLabelsRange val="0"/>
                </c:ext>
              </c:extLst>
            </c:dLbl>
            <c:dLbl>
              <c:idx val="4"/>
              <c:layout>
                <c:manualLayout>
                  <c:x val="-0.28426290463692039"/>
                  <c:y val="0.10837598425196851"/>
                </c:manualLayout>
              </c:layout>
              <c:tx>
                <c:rich>
                  <a:bodyPr/>
                  <a:lstStyle/>
                  <a:p>
                    <a:r>
                      <a:rPr lang="ru-RU"/>
                      <a:t>СПФИ: 36</a:t>
                    </a:r>
                  </a:p>
                  <a:p>
                    <a:fld id="{5F6551D7-C2DF-4106-A1A7-CF6EDF5E99F4}"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363-4DDE-B641-C32651D69FBF}"/>
                </c:ext>
                <c:ext xmlns:c15="http://schemas.microsoft.com/office/drawing/2012/chart" uri="{CE6537A1-D6FC-4f65-9D91-7224C49458BB}">
                  <c15:dlblFieldTable/>
                  <c15:showDataLabelsRange val="0"/>
                </c:ext>
              </c:extLst>
            </c:dLbl>
            <c:dLbl>
              <c:idx val="5"/>
              <c:layout>
                <c:manualLayout>
                  <c:x val="0.1296259842519685"/>
                  <c:y val="1.4625984251968503E-2"/>
                </c:manualLayout>
              </c:layout>
              <c:tx>
                <c:rich>
                  <a:bodyPr/>
                  <a:lstStyle/>
                  <a:p>
                    <a:r>
                      <a:rPr lang="ru-RU"/>
                      <a:t>ТР: 0,6</a:t>
                    </a:r>
                  </a:p>
                  <a:p>
                    <a:fld id="{1E26E302-0639-4608-9CCC-B896E5009D0F}"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363-4DDE-B641-C32651D69FB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'итог 2015-2016'!$G$2:$L$2</c:f>
              <c:strCache>
                <c:ptCount val="6"/>
                <c:pt idx="0">
                  <c:v>ВР</c:v>
                </c:pt>
                <c:pt idx="1">
                  <c:v>ФР</c:v>
                </c:pt>
                <c:pt idx="2">
                  <c:v>СР</c:v>
                </c:pt>
                <c:pt idx="3">
                  <c:v>ДМ</c:v>
                </c:pt>
                <c:pt idx="4">
                  <c:v>ТР</c:v>
                </c:pt>
                <c:pt idx="5">
                  <c:v>СПФИ</c:v>
                </c:pt>
              </c:strCache>
            </c:strRef>
          </c:cat>
          <c:val>
            <c:numRef>
              <c:f>'итог 2015-2016'!$G$6:$L$6</c:f>
              <c:numCache>
                <c:formatCode>0.00%</c:formatCode>
                <c:ptCount val="6"/>
                <c:pt idx="0">
                  <c:v>0.43103653268846537</c:v>
                </c:pt>
                <c:pt idx="1">
                  <c:v>0.41819216968286815</c:v>
                </c:pt>
                <c:pt idx="2">
                  <c:v>0.15058440326018543</c:v>
                </c:pt>
                <c:pt idx="3">
                  <c:v>1.6324116251016269E-4</c:v>
                </c:pt>
                <c:pt idx="4">
                  <c:v>3.9552418931628086E-9</c:v>
                </c:pt>
                <c:pt idx="5">
                  <c:v>2.3649250728972608E-5</c:v>
                </c:pt>
              </c:numCache>
            </c:numRef>
          </c:val>
          <c:extLst xmlns:c16r2="http://schemas.microsoft.com/office/drawing/2015/06/chart">
            <c:ext xmlns:c16="http://schemas.microsoft.com/office/drawing/2014/chart" uri="{C3380CC4-5D6E-409C-BE32-E72D297353CC}">
              <c16:uniqueId val="{0000000C-7363-4DDE-B641-C32651D69FBF}"/>
            </c:ext>
          </c:extLst>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a:t>
            </a:r>
            <a:r>
              <a:rPr lang="ru-RU" baseline="0">
                <a:solidFill>
                  <a:sysClr val="windowText" lastClr="000000"/>
                </a:solidFill>
                <a:latin typeface="Times New Roman" panose="02020603050405020304" pitchFamily="18" charset="0"/>
                <a:cs typeface="Times New Roman" panose="02020603050405020304" pitchFamily="18" charset="0"/>
              </a:rPr>
              <a:t> сделок, по которым осуществлен клиринг, шт.</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A74-4E72-9F72-201357ECFBEA}"/>
              </c:ext>
            </c:extLst>
          </c:dPt>
          <c:dPt>
            <c:idx val="1"/>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A74-4E72-9F72-201357ECFBEA}"/>
              </c:ext>
            </c:extLst>
          </c:dPt>
          <c:dPt>
            <c:idx val="2"/>
            <c:bubble3D val="0"/>
            <c:spPr>
              <a:solidFill>
                <a:schemeClr val="accent3">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A74-4E72-9F72-201357ECFBE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A74-4E72-9F72-201357ECFBE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A74-4E72-9F72-201357ECFBEA}"/>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A74-4E72-9F72-201357ECFBEA}"/>
              </c:ext>
            </c:extLst>
          </c:dPt>
          <c:dLbls>
            <c:dLbl>
              <c:idx val="0"/>
              <c:layout>
                <c:manualLayout>
                  <c:x val="-4.2390170255266764E-2"/>
                  <c:y val="1.0977068233443297E-3"/>
                </c:manualLayout>
              </c:layout>
              <c:tx>
                <c:rich>
                  <a:bodyPr/>
                  <a:lstStyle/>
                  <a:p>
                    <a:r>
                      <a:rPr lang="ru-RU"/>
                      <a:t>ВР:</a:t>
                    </a:r>
                    <a:fld id="{1555320E-49E2-40BD-AE31-D98B6E90AADD}" type="VALUE">
                      <a:rPr lang="en-US"/>
                      <a:pPr/>
                      <a:t>[ЗНАЧЕНИЕ]</a:t>
                    </a:fld>
                    <a:endParaRPr lang="en-US"/>
                  </a:p>
                  <a:p>
                    <a:r>
                      <a:rPr lang="en-US"/>
                      <a:t>4.69%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74-4E72-9F72-201357ECFBEA}"/>
                </c:ext>
                <c:ext xmlns:c15="http://schemas.microsoft.com/office/drawing/2012/chart" uri="{CE6537A1-D6FC-4f65-9D91-7224C49458BB}">
                  <c15:dlblFieldTable/>
                  <c15:showDataLabelsRange val="0"/>
                </c:ext>
              </c:extLst>
            </c:dLbl>
            <c:dLbl>
              <c:idx val="1"/>
              <c:layout>
                <c:manualLayout>
                  <c:x val="-3.8420399362149228E-2"/>
                  <c:y val="-4.3628501092575461E-2"/>
                </c:manualLayout>
              </c:layout>
              <c:tx>
                <c:rich>
                  <a:bodyPr/>
                  <a:lstStyle/>
                  <a:p>
                    <a:r>
                      <a:rPr lang="ru-RU"/>
                      <a:t>ФР: </a:t>
                    </a:r>
                    <a:fld id="{13AC93DE-6CE0-4C6E-A7E8-3D90B5EAFF7F}" type="VALUE">
                      <a:rPr lang="en-US"/>
                      <a:pPr/>
                      <a:t>[ЗНАЧЕНИЕ]</a:t>
                    </a:fld>
                    <a:endParaRPr lang="en-US"/>
                  </a:p>
                  <a:p>
                    <a:r>
                      <a:rPr lang="en-US"/>
                      <a:t>22,54%</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74-4E72-9F72-201357ECFBEA}"/>
                </c:ext>
                <c:ext xmlns:c15="http://schemas.microsoft.com/office/drawing/2012/chart" uri="{CE6537A1-D6FC-4f65-9D91-7224C49458BB}">
                  <c15:dlblFieldTable/>
                  <c15:showDataLabelsRange val="0"/>
                </c:ext>
              </c:extLst>
            </c:dLbl>
            <c:dLbl>
              <c:idx val="2"/>
              <c:layout>
                <c:manualLayout>
                  <c:x val="1.7832623152453336E-3"/>
                  <c:y val="-0.4636922463357514"/>
                </c:manualLayout>
              </c:layout>
              <c:tx>
                <c:rich>
                  <a:bodyPr/>
                  <a:lstStyle/>
                  <a:p>
                    <a:r>
                      <a:rPr lang="ru-RU"/>
                      <a:t>СР: </a:t>
                    </a:r>
                    <a:fld id="{A17E5FB8-8F32-4B85-9BFA-62BF97DF0DAE}" type="VALUE">
                      <a:rPr lang="en-US"/>
                      <a:pPr/>
                      <a:t>[ЗНАЧЕНИЕ]</a:t>
                    </a:fld>
                    <a:endParaRPr lang="en-US"/>
                  </a:p>
                  <a:p>
                    <a:r>
                      <a:rPr lang="en-US"/>
                      <a:t>72,76%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74-4E72-9F72-201357ECFBEA}"/>
                </c:ext>
                <c:ext xmlns:c15="http://schemas.microsoft.com/office/drawing/2012/chart" uri="{CE6537A1-D6FC-4f65-9D91-7224C49458BB}">
                  <c15:dlblFieldTable/>
                  <c15:showDataLabelsRange val="0"/>
                </c:ext>
              </c:extLst>
            </c:dLbl>
            <c:dLbl>
              <c:idx val="3"/>
              <c:layout>
                <c:manualLayout>
                  <c:x val="0.36952649060460363"/>
                  <c:y val="0.35074863348503449"/>
                </c:manualLayout>
              </c:layout>
              <c:tx>
                <c:rich>
                  <a:bodyPr/>
                  <a:lstStyle/>
                  <a:p>
                    <a:r>
                      <a:rPr lang="ru-RU"/>
                      <a:t>ДМ: </a:t>
                    </a:r>
                    <a:fld id="{A2C4BA6F-FBE3-4DED-9A6F-D8C3A159BF5A}" type="VALUE">
                      <a:rPr lang="en-US"/>
                      <a:pPr/>
                      <a:t>[ЗНАЧЕНИЕ]</a:t>
                    </a:fld>
                    <a:endParaRPr lang="en-US"/>
                  </a:p>
                  <a:p>
                    <a:r>
                      <a:rPr lang="en-US"/>
                      <a:t>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A74-4E72-9F72-201357ECFBEA}"/>
                </c:ext>
                <c:ext xmlns:c15="http://schemas.microsoft.com/office/drawing/2012/chart" uri="{CE6537A1-D6FC-4f65-9D91-7224C49458BB}">
                  <c15:dlblFieldTable/>
                  <c15:showDataLabelsRange val="0"/>
                </c:ext>
              </c:extLst>
            </c:dLbl>
            <c:dLbl>
              <c:idx val="4"/>
              <c:layout>
                <c:manualLayout>
                  <c:x val="0.33718923187698874"/>
                  <c:y val="0.21868124282629808"/>
                </c:manualLayout>
              </c:layout>
              <c:tx>
                <c:rich>
                  <a:bodyPr/>
                  <a:lstStyle/>
                  <a:p>
                    <a:r>
                      <a:rPr lang="ru-RU"/>
                      <a:t>ТР: </a:t>
                    </a:r>
                    <a:fld id="{73A50AEB-9359-4BE5-BCFC-4BE9C6E34907}" type="VALUE">
                      <a:rPr lang="en-US"/>
                      <a:pPr/>
                      <a:t>[ЗНАЧЕНИЕ]</a:t>
                    </a:fld>
                    <a:endParaRPr lang="en-US"/>
                  </a:p>
                  <a:p>
                    <a:r>
                      <a:rPr lang="en-US"/>
                      <a:t>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74-4E72-9F72-201357ECFBEA}"/>
                </c:ext>
                <c:ext xmlns:c15="http://schemas.microsoft.com/office/drawing/2012/chart" uri="{CE6537A1-D6FC-4f65-9D91-7224C49458BB}">
                  <c15:dlblFieldTable/>
                  <c15:showDataLabelsRange val="0"/>
                </c:ext>
              </c:extLst>
            </c:dLbl>
            <c:dLbl>
              <c:idx val="5"/>
              <c:layout>
                <c:manualLayout>
                  <c:x val="-6.8236266926811187E-2"/>
                  <c:y val="9.5868750351160237E-4"/>
                </c:manualLayout>
              </c:layout>
              <c:tx>
                <c:rich>
                  <a:bodyPr/>
                  <a:lstStyle/>
                  <a:p>
                    <a:r>
                      <a:rPr lang="ru-RU"/>
                      <a:t>СПФИ: </a:t>
                    </a:r>
                    <a:fld id="{5392EF5F-0535-4535-AE9F-8B8E059C258E}" type="VALUE">
                      <a:rPr lang="en-US"/>
                      <a:pPr/>
                      <a:t>[ЗНАЧЕНИЕ]</a:t>
                    </a:fld>
                    <a:endParaRPr lang="en-US"/>
                  </a:p>
                  <a:p>
                    <a:r>
                      <a:rPr lang="en-US"/>
                      <a:t>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A74-4E72-9F72-201357ECFBE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'итог 2015-2016'!$G$2:$L$2</c:f>
              <c:strCache>
                <c:ptCount val="6"/>
                <c:pt idx="0">
                  <c:v>ВР</c:v>
                </c:pt>
                <c:pt idx="1">
                  <c:v>ФР</c:v>
                </c:pt>
                <c:pt idx="2">
                  <c:v>СР</c:v>
                </c:pt>
                <c:pt idx="3">
                  <c:v>ДМ</c:v>
                </c:pt>
                <c:pt idx="4">
                  <c:v>ТР</c:v>
                </c:pt>
                <c:pt idx="5">
                  <c:v>СПФИ</c:v>
                </c:pt>
              </c:strCache>
            </c:strRef>
          </c:cat>
          <c:val>
            <c:numRef>
              <c:f>'итог 2015-2016'!$G$12:$L$12</c:f>
              <c:numCache>
                <c:formatCode>#,##0</c:formatCode>
                <c:ptCount val="6"/>
                <c:pt idx="0">
                  <c:v>22404300.5</c:v>
                </c:pt>
                <c:pt idx="1">
                  <c:v>107583277</c:v>
                </c:pt>
                <c:pt idx="2">
                  <c:v>347293436</c:v>
                </c:pt>
                <c:pt idx="3">
                  <c:v>1801.5</c:v>
                </c:pt>
                <c:pt idx="4">
                  <c:v>1</c:v>
                </c:pt>
                <c:pt idx="5">
                  <c:v>32</c:v>
                </c:pt>
              </c:numCache>
            </c:numRef>
          </c:val>
          <c:extLst xmlns:c16r2="http://schemas.microsoft.com/office/drawing/2015/06/chart">
            <c:ext xmlns:c16="http://schemas.microsoft.com/office/drawing/2014/chart" uri="{C3380CC4-5D6E-409C-BE32-E72D297353CC}">
              <c16:uniqueId val="{0000000C-DA74-4E72-9F72-201357ECFBEA}"/>
            </c:ext>
          </c:extLst>
        </c:ser>
        <c:dLbls>
          <c:dLblPos val="bestFit"/>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91262065776052248"/>
          <c:y val="0.33076883869258167"/>
          <c:w val="8.295381853290934E-2"/>
          <c:h val="0.38328340164600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Динамика объемов обязательств, по которым в 2016 году осуществлен клиринг на валютном, фондовом и срочном рынках, руб.</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ВР</c:v>
          </c:tx>
          <c:spPr>
            <a:ln w="28575" cap="rnd">
              <a:solidFill>
                <a:srgbClr val="C0000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месяцам'!$B$23:$M$23</c:f>
              <c:numCache>
                <c:formatCode>#,##0</c:formatCode>
                <c:ptCount val="12"/>
                <c:pt idx="0">
                  <c:v>27744680253942.793</c:v>
                </c:pt>
                <c:pt idx="1">
                  <c:v>30466417047000.02</c:v>
                </c:pt>
                <c:pt idx="2">
                  <c:v>30799748321574.094</c:v>
                </c:pt>
                <c:pt idx="3">
                  <c:v>27349208369826.766</c:v>
                </c:pt>
                <c:pt idx="4">
                  <c:v>24132192450804.887</c:v>
                </c:pt>
                <c:pt idx="5">
                  <c:v>27931656342437.527</c:v>
                </c:pt>
                <c:pt idx="6">
                  <c:v>25870987791395.18</c:v>
                </c:pt>
                <c:pt idx="7">
                  <c:v>25522029226442.641</c:v>
                </c:pt>
                <c:pt idx="8">
                  <c:v>27571974371628.129</c:v>
                </c:pt>
                <c:pt idx="9">
                  <c:v>25872694952601.922</c:v>
                </c:pt>
                <c:pt idx="10">
                  <c:v>25733896332486.141</c:v>
                </c:pt>
                <c:pt idx="11">
                  <c:v>30958875176266.633</c:v>
                </c:pt>
              </c:numCache>
            </c:numRef>
          </c:val>
          <c:smooth val="0"/>
          <c:extLst xmlns:c16r2="http://schemas.microsoft.com/office/drawing/2015/06/chart">
            <c:ext xmlns:c16="http://schemas.microsoft.com/office/drawing/2014/chart" uri="{C3380CC4-5D6E-409C-BE32-E72D297353CC}">
              <c16:uniqueId val="{00000000-45AA-4962-B119-A5C405D491BD}"/>
            </c:ext>
          </c:extLst>
        </c:ser>
        <c:ser>
          <c:idx val="1"/>
          <c:order val="1"/>
          <c:tx>
            <c:v>ФР</c:v>
          </c:tx>
          <c:spPr>
            <a:ln w="28575" cap="rnd">
              <a:solidFill>
                <a:schemeClr val="accent6"/>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месяцам'!$B$24:$M$24</c:f>
              <c:numCache>
                <c:formatCode>#,##0</c:formatCode>
                <c:ptCount val="12"/>
                <c:pt idx="0">
                  <c:v>17596305433275.918</c:v>
                </c:pt>
                <c:pt idx="1">
                  <c:v>21558339314879.445</c:v>
                </c:pt>
                <c:pt idx="2">
                  <c:v>25866598886144.496</c:v>
                </c:pt>
                <c:pt idx="3">
                  <c:v>23898841451246.359</c:v>
                </c:pt>
                <c:pt idx="4">
                  <c:v>19902118586780.113</c:v>
                </c:pt>
                <c:pt idx="5">
                  <c:v>25033179886387.574</c:v>
                </c:pt>
                <c:pt idx="6">
                  <c:v>23911791427105.863</c:v>
                </c:pt>
                <c:pt idx="7">
                  <c:v>28986846174403.211</c:v>
                </c:pt>
                <c:pt idx="8">
                  <c:v>29793441176167.352</c:v>
                </c:pt>
                <c:pt idx="9">
                  <c:v>30262120683055.062</c:v>
                </c:pt>
                <c:pt idx="10">
                  <c:v>30559017719991.004</c:v>
                </c:pt>
                <c:pt idx="11">
                  <c:v>42753522344250.57</c:v>
                </c:pt>
              </c:numCache>
            </c:numRef>
          </c:val>
          <c:smooth val="0"/>
          <c:extLst xmlns:c16r2="http://schemas.microsoft.com/office/drawing/2015/06/chart">
            <c:ext xmlns:c16="http://schemas.microsoft.com/office/drawing/2014/chart" uri="{C3380CC4-5D6E-409C-BE32-E72D297353CC}">
              <c16:uniqueId val="{00000001-45AA-4962-B119-A5C405D491BD}"/>
            </c:ext>
          </c:extLst>
        </c:ser>
        <c:ser>
          <c:idx val="2"/>
          <c:order val="2"/>
          <c:tx>
            <c:v>СР</c:v>
          </c:tx>
          <c:spPr>
            <a:ln w="28575" cap="rnd">
              <a:solidFill>
                <a:schemeClr val="accent3">
                  <a:lumMod val="75000"/>
                </a:schemeClr>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месяцам'!$B$25:$M$25</c:f>
              <c:numCache>
                <c:formatCode>#,##0</c:formatCode>
                <c:ptCount val="12"/>
                <c:pt idx="0">
                  <c:v>10643928360309.41</c:v>
                </c:pt>
                <c:pt idx="1">
                  <c:v>13444494356467.25</c:v>
                </c:pt>
                <c:pt idx="2">
                  <c:v>11373610719762.359</c:v>
                </c:pt>
                <c:pt idx="3">
                  <c:v>10599292081935.48</c:v>
                </c:pt>
                <c:pt idx="4">
                  <c:v>7762066741540.7402</c:v>
                </c:pt>
                <c:pt idx="5">
                  <c:v>9342177663439.0195</c:v>
                </c:pt>
                <c:pt idx="6">
                  <c:v>7803984492989.4707</c:v>
                </c:pt>
                <c:pt idx="7">
                  <c:v>9075988248680.1406</c:v>
                </c:pt>
                <c:pt idx="8">
                  <c:v>9730471617361.25</c:v>
                </c:pt>
                <c:pt idx="9">
                  <c:v>7168961758784.3408</c:v>
                </c:pt>
                <c:pt idx="10">
                  <c:v>9889579905810.25</c:v>
                </c:pt>
                <c:pt idx="11">
                  <c:v>8436370602063.3984</c:v>
                </c:pt>
              </c:numCache>
            </c:numRef>
          </c:val>
          <c:smooth val="0"/>
          <c:extLst xmlns:c16r2="http://schemas.microsoft.com/office/drawing/2015/06/chart">
            <c:ext xmlns:c16="http://schemas.microsoft.com/office/drawing/2014/chart" uri="{C3380CC4-5D6E-409C-BE32-E72D297353CC}">
              <c16:uniqueId val="{00000002-45AA-4962-B119-A5C405D491BD}"/>
            </c:ext>
          </c:extLst>
        </c:ser>
        <c:dLbls>
          <c:showLegendKey val="0"/>
          <c:showVal val="0"/>
          <c:showCatName val="0"/>
          <c:showSerName val="0"/>
          <c:showPercent val="0"/>
          <c:showBubbleSize val="0"/>
        </c:dLbls>
        <c:smooth val="0"/>
        <c:axId val="564903648"/>
        <c:axId val="564900512"/>
      </c:lineChart>
      <c:catAx>
        <c:axId val="564903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900512"/>
        <c:crosses val="autoZero"/>
        <c:auto val="1"/>
        <c:lblAlgn val="ctr"/>
        <c:lblOffset val="100"/>
        <c:noMultiLvlLbl val="0"/>
      </c:catAx>
      <c:valAx>
        <c:axId val="56490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490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solidFill>
                  <a:sysClr val="windowText" lastClr="000000"/>
                </a:solidFill>
                <a:effectLst/>
                <a:latin typeface="Times New Roman" panose="02020603050405020304" pitchFamily="18" charset="0"/>
                <a:cs typeface="Times New Roman" panose="02020603050405020304" pitchFamily="18" charset="0"/>
              </a:rPr>
              <a:t>Динамика объемов обязательств, по которым в 2016 году осуществлен клиринг на рынке драгоценных металлов и СПФИ, руб.</a:t>
            </a:r>
            <a:endParaRPr lang="ru-RU" sz="14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ДМ</c:v>
          </c:tx>
          <c:spPr>
            <a:ln w="28575" cap="rnd">
              <a:solidFill>
                <a:srgbClr val="7030A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месяцам'!$B$26:$M$26</c:f>
              <c:numCache>
                <c:formatCode>#,##0</c:formatCode>
                <c:ptCount val="12"/>
                <c:pt idx="0">
                  <c:v>11766338434.800001</c:v>
                </c:pt>
                <c:pt idx="1">
                  <c:v>11279161909.200001</c:v>
                </c:pt>
                <c:pt idx="2">
                  <c:v>10093686299</c:v>
                </c:pt>
                <c:pt idx="3">
                  <c:v>10127189560.799999</c:v>
                </c:pt>
                <c:pt idx="4">
                  <c:v>10089575512.799999</c:v>
                </c:pt>
                <c:pt idx="5">
                  <c:v>10269333668.950001</c:v>
                </c:pt>
                <c:pt idx="6">
                  <c:v>10233141142.1</c:v>
                </c:pt>
                <c:pt idx="7">
                  <c:v>10275094660.4</c:v>
                </c:pt>
                <c:pt idx="8">
                  <c:v>10338689614.859999</c:v>
                </c:pt>
                <c:pt idx="9">
                  <c:v>10169995215.539999</c:v>
                </c:pt>
                <c:pt idx="10">
                  <c:v>10122023271.799999</c:v>
                </c:pt>
                <c:pt idx="11">
                  <c:v>10195325923.4</c:v>
                </c:pt>
              </c:numCache>
            </c:numRef>
          </c:val>
          <c:smooth val="0"/>
          <c:extLst xmlns:c16r2="http://schemas.microsoft.com/office/drawing/2015/06/chart">
            <c:ext xmlns:c16="http://schemas.microsoft.com/office/drawing/2014/chart" uri="{C3380CC4-5D6E-409C-BE32-E72D297353CC}">
              <c16:uniqueId val="{00000000-3B9F-4955-BFE1-A6BEC11EC11A}"/>
            </c:ext>
          </c:extLst>
        </c:ser>
        <c:ser>
          <c:idx val="2"/>
          <c:order val="2"/>
          <c:tx>
            <c:v>СПФИ</c:v>
          </c:tx>
          <c:spPr>
            <a:ln w="28575" cap="rnd">
              <a:solidFill>
                <a:srgbClr val="0070C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месяцам'!$B$28:$M$28</c:f>
              <c:numCache>
                <c:formatCode>#,##0</c:formatCode>
                <c:ptCount val="12"/>
                <c:pt idx="0">
                  <c:v>100000000</c:v>
                </c:pt>
                <c:pt idx="1">
                  <c:v>577428000</c:v>
                </c:pt>
                <c:pt idx="2">
                  <c:v>550081600</c:v>
                </c:pt>
                <c:pt idx="3">
                  <c:v>344037600.60000002</c:v>
                </c:pt>
                <c:pt idx="4">
                  <c:v>74650000</c:v>
                </c:pt>
                <c:pt idx="5">
                  <c:v>13019000000</c:v>
                </c:pt>
                <c:pt idx="6">
                  <c:v>500000000</c:v>
                </c:pt>
                <c:pt idx="7">
                  <c:v>0</c:v>
                </c:pt>
                <c:pt idx="8">
                  <c:v>0</c:v>
                </c:pt>
                <c:pt idx="9">
                  <c:v>0</c:v>
                </c:pt>
                <c:pt idx="10">
                  <c:v>1100000000</c:v>
                </c:pt>
                <c:pt idx="11">
                  <c:v>1838079000</c:v>
                </c:pt>
              </c:numCache>
            </c:numRef>
          </c:val>
          <c:smooth val="0"/>
          <c:extLst xmlns:c16r2="http://schemas.microsoft.com/office/drawing/2015/06/chart">
            <c:ext xmlns:c16="http://schemas.microsoft.com/office/drawing/2014/chart" uri="{C3380CC4-5D6E-409C-BE32-E72D297353CC}">
              <c16:uniqueId val="{00000001-3B9F-4955-BFE1-A6BEC11EC11A}"/>
            </c:ext>
          </c:extLst>
        </c:ser>
        <c:dLbls>
          <c:showLegendKey val="0"/>
          <c:showVal val="0"/>
          <c:showCatName val="0"/>
          <c:showSerName val="0"/>
          <c:showPercent val="0"/>
          <c:showBubbleSize val="0"/>
        </c:dLbls>
        <c:smooth val="0"/>
        <c:axId val="484016384"/>
        <c:axId val="484015992"/>
        <c:extLst xmlns:c16r2="http://schemas.microsoft.com/office/drawing/2015/06/chart">
          <c:ext xmlns:c15="http://schemas.microsoft.com/office/drawing/2012/chart" uri="{02D57815-91ED-43cb-92C2-25804820EDAC}">
            <c15:filteredLineSeries>
              <c15:ser>
                <c:idx val="1"/>
                <c:order val="1"/>
                <c:spPr>
                  <a:ln w="28575" cap="rnd">
                    <a:solidFill>
                      <a:schemeClr val="accent4"/>
                    </a:solidFill>
                    <a:round/>
                  </a:ln>
                  <a:effectLst/>
                </c:spPr>
                <c:marker>
                  <c:symbol val="none"/>
                </c:marker>
                <c:cat>
                  <c:strRef>
                    <c:extLst xmlns:c16r2="http://schemas.microsoft.com/office/drawing/2015/06/chart">
                      <c:ext uri="{02D57815-91ED-43cb-92C2-25804820EDAC}">
                        <c15:formulaRef>
                          <c15:sqref>'итог 2016 по месяцам'!$B$30:$M$30</c15:sqref>
                        </c15:formulaRef>
                      </c:ext>
                    </c:extLst>
                    <c:strCache>
                      <c:ptCount val="12"/>
                      <c:pt idx="0">
                        <c:v>январь</c:v>
                      </c:pt>
                      <c:pt idx="3">
                        <c:v>апрель</c:v>
                      </c:pt>
                      <c:pt idx="6">
                        <c:v>июль</c:v>
                      </c:pt>
                      <c:pt idx="9">
                        <c:v>октябрь</c:v>
                      </c:pt>
                      <c:pt idx="11">
                        <c:v>декабрь</c:v>
                      </c:pt>
                    </c:strCache>
                  </c:strRef>
                </c:cat>
                <c:val>
                  <c:numRef>
                    <c:extLst xmlns:c16r2="http://schemas.microsoft.com/office/drawing/2015/06/chart">
                      <c:ext uri="{02D57815-91ED-43cb-92C2-25804820EDAC}">
                        <c15:formulaRef>
                          <c15:sqref>'итог 2016 по месяцам'!$B$27:$M$27</c15:sqref>
                        </c15:formulaRef>
                      </c:ext>
                    </c:extLst>
                    <c:numCache>
                      <c:formatCode>#,##0</c:formatCode>
                      <c:ptCount val="12"/>
                      <c:pt idx="0">
                        <c:v>0</c:v>
                      </c:pt>
                      <c:pt idx="1">
                        <c:v>0</c:v>
                      </c:pt>
                      <c:pt idx="2">
                        <c:v>0</c:v>
                      </c:pt>
                      <c:pt idx="3">
                        <c:v>0</c:v>
                      </c:pt>
                      <c:pt idx="4">
                        <c:v>0</c:v>
                      </c:pt>
                      <c:pt idx="5">
                        <c:v>0</c:v>
                      </c:pt>
                      <c:pt idx="6">
                        <c:v>0</c:v>
                      </c:pt>
                      <c:pt idx="7">
                        <c:v>0</c:v>
                      </c:pt>
                      <c:pt idx="8">
                        <c:v>0</c:v>
                      </c:pt>
                      <c:pt idx="9">
                        <c:v>0</c:v>
                      </c:pt>
                      <c:pt idx="10">
                        <c:v>0</c:v>
                      </c:pt>
                      <c:pt idx="11">
                        <c:v>3027700</c:v>
                      </c:pt>
                    </c:numCache>
                  </c:numRef>
                </c:val>
                <c:smooth val="0"/>
                <c:extLst xmlns:c16r2="http://schemas.microsoft.com/office/drawing/2015/06/chart">
                  <c:ext xmlns:c16="http://schemas.microsoft.com/office/drawing/2014/chart" uri="{C3380CC4-5D6E-409C-BE32-E72D297353CC}">
                    <c16:uniqueId val="{00000002-3B9F-4955-BFE1-A6BEC11EC11A}"/>
                  </c:ext>
                </c:extLst>
              </c15:ser>
            </c15:filteredLineSeries>
          </c:ext>
        </c:extLst>
      </c:lineChart>
      <c:catAx>
        <c:axId val="48401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015992"/>
        <c:crosses val="autoZero"/>
        <c:auto val="1"/>
        <c:lblAlgn val="ctr"/>
        <c:lblOffset val="100"/>
        <c:noMultiLvlLbl val="0"/>
      </c:catAx>
      <c:valAx>
        <c:axId val="484015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01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anose="02020603050405020304" pitchFamily="18" charset="0"/>
                <a:cs typeface="Times New Roman" panose="02020603050405020304" pitchFamily="18" charset="0"/>
              </a:rPr>
              <a:t>Динамика операций при дефолтах</a:t>
            </a:r>
          </a:p>
        </c:rich>
      </c:tx>
      <c:overlay val="0"/>
    </c:title>
    <c:autoTitleDeleted val="0"/>
    <c:plotArea>
      <c:layout>
        <c:manualLayout>
          <c:layoutTarget val="inner"/>
          <c:xMode val="edge"/>
          <c:yMode val="edge"/>
          <c:x val="8.456514270794685E-2"/>
          <c:y val="0.12853194825603584"/>
          <c:w val="0.83617443168441152"/>
          <c:h val="0.67573486291410179"/>
        </c:manualLayout>
      </c:layout>
      <c:lineChart>
        <c:grouping val="standard"/>
        <c:varyColors val="0"/>
        <c:ser>
          <c:idx val="0"/>
          <c:order val="0"/>
          <c:tx>
            <c:v>Количество сделок, шт.</c:v>
          </c:tx>
          <c:cat>
            <c:numRef>
              <c:f>Лист1!$A$12:$A$15</c:f>
              <c:numCache>
                <c:formatCode>General</c:formatCode>
                <c:ptCount val="4"/>
                <c:pt idx="0">
                  <c:v>2013</c:v>
                </c:pt>
                <c:pt idx="1">
                  <c:v>2014</c:v>
                </c:pt>
                <c:pt idx="2">
                  <c:v>2015</c:v>
                </c:pt>
                <c:pt idx="3">
                  <c:v>2016</c:v>
                </c:pt>
              </c:numCache>
            </c:numRef>
          </c:cat>
          <c:val>
            <c:numRef>
              <c:f>Лист1!$B$12:$B$15</c:f>
              <c:numCache>
                <c:formatCode>#,##0</c:formatCode>
                <c:ptCount val="4"/>
                <c:pt idx="0">
                  <c:v>512</c:v>
                </c:pt>
                <c:pt idx="1">
                  <c:v>1259</c:v>
                </c:pt>
                <c:pt idx="2">
                  <c:v>1149</c:v>
                </c:pt>
                <c:pt idx="3">
                  <c:v>962</c:v>
                </c:pt>
              </c:numCache>
            </c:numRef>
          </c:val>
          <c:smooth val="0"/>
          <c:extLst xmlns:c16r2="http://schemas.microsoft.com/office/drawing/2015/06/chart">
            <c:ext xmlns:c16="http://schemas.microsoft.com/office/drawing/2014/chart" uri="{C3380CC4-5D6E-409C-BE32-E72D297353CC}">
              <c16:uniqueId val="{00000000-B985-4B87-9290-965B72D06B12}"/>
            </c:ext>
          </c:extLst>
        </c:ser>
        <c:dLbls>
          <c:showLegendKey val="0"/>
          <c:showVal val="0"/>
          <c:showCatName val="0"/>
          <c:showSerName val="0"/>
          <c:showPercent val="0"/>
          <c:showBubbleSize val="0"/>
        </c:dLbls>
        <c:marker val="1"/>
        <c:smooth val="0"/>
        <c:axId val="556470760"/>
        <c:axId val="556471152"/>
      </c:lineChart>
      <c:lineChart>
        <c:grouping val="standard"/>
        <c:varyColors val="0"/>
        <c:ser>
          <c:idx val="1"/>
          <c:order val="1"/>
          <c:tx>
            <c:v>Объем, млн руб в эквиваленте</c:v>
          </c:tx>
          <c:cat>
            <c:numRef>
              <c:f>Лист1!$A$12:$A$15</c:f>
              <c:numCache>
                <c:formatCode>General</c:formatCode>
                <c:ptCount val="4"/>
                <c:pt idx="0">
                  <c:v>2013</c:v>
                </c:pt>
                <c:pt idx="1">
                  <c:v>2014</c:v>
                </c:pt>
                <c:pt idx="2">
                  <c:v>2015</c:v>
                </c:pt>
                <c:pt idx="3">
                  <c:v>2016</c:v>
                </c:pt>
              </c:numCache>
            </c:numRef>
          </c:cat>
          <c:val>
            <c:numRef>
              <c:f>Лист1!$C$12:$C$15</c:f>
              <c:numCache>
                <c:formatCode>#,##0</c:formatCode>
                <c:ptCount val="4"/>
                <c:pt idx="0">
                  <c:v>3545.1559999999999</c:v>
                </c:pt>
                <c:pt idx="1">
                  <c:v>146906.08599999998</c:v>
                </c:pt>
                <c:pt idx="2">
                  <c:v>159627.06099999999</c:v>
                </c:pt>
                <c:pt idx="3">
                  <c:v>148593</c:v>
                </c:pt>
              </c:numCache>
            </c:numRef>
          </c:val>
          <c:smooth val="0"/>
          <c:extLst xmlns:c16r2="http://schemas.microsoft.com/office/drawing/2015/06/chart">
            <c:ext xmlns:c16="http://schemas.microsoft.com/office/drawing/2014/chart" uri="{C3380CC4-5D6E-409C-BE32-E72D297353CC}">
              <c16:uniqueId val="{00000001-B985-4B87-9290-965B72D06B12}"/>
            </c:ext>
          </c:extLst>
        </c:ser>
        <c:dLbls>
          <c:showLegendKey val="0"/>
          <c:showVal val="0"/>
          <c:showCatName val="0"/>
          <c:showSerName val="0"/>
          <c:showPercent val="0"/>
          <c:showBubbleSize val="0"/>
        </c:dLbls>
        <c:marker val="1"/>
        <c:smooth val="0"/>
        <c:axId val="658069264"/>
        <c:axId val="658068872"/>
      </c:lineChart>
      <c:catAx>
        <c:axId val="556470760"/>
        <c:scaling>
          <c:orientation val="minMax"/>
        </c:scaling>
        <c:delete val="0"/>
        <c:axPos val="b"/>
        <c:numFmt formatCode="General" sourceLinked="1"/>
        <c:majorTickMark val="out"/>
        <c:minorTickMark val="none"/>
        <c:tickLblPos val="nextTo"/>
        <c:crossAx val="556471152"/>
        <c:crosses val="autoZero"/>
        <c:auto val="1"/>
        <c:lblAlgn val="ctr"/>
        <c:lblOffset val="100"/>
        <c:noMultiLvlLbl val="0"/>
      </c:catAx>
      <c:valAx>
        <c:axId val="556471152"/>
        <c:scaling>
          <c:orientation val="minMax"/>
        </c:scaling>
        <c:delete val="0"/>
        <c:axPos val="l"/>
        <c:majorGridlines/>
        <c:numFmt formatCode="#,##0" sourceLinked="1"/>
        <c:majorTickMark val="out"/>
        <c:minorTickMark val="none"/>
        <c:tickLblPos val="nextTo"/>
        <c:spPr>
          <a:ln w="12700"/>
        </c:spPr>
        <c:crossAx val="556470760"/>
        <c:crosses val="autoZero"/>
        <c:crossBetween val="between"/>
      </c:valAx>
      <c:valAx>
        <c:axId val="658068872"/>
        <c:scaling>
          <c:orientation val="minMax"/>
        </c:scaling>
        <c:delete val="0"/>
        <c:axPos val="r"/>
        <c:numFmt formatCode="#,##0" sourceLinked="1"/>
        <c:majorTickMark val="out"/>
        <c:minorTickMark val="none"/>
        <c:tickLblPos val="nextTo"/>
        <c:crossAx val="658069264"/>
        <c:crosses val="max"/>
        <c:crossBetween val="between"/>
      </c:valAx>
      <c:catAx>
        <c:axId val="658069264"/>
        <c:scaling>
          <c:orientation val="minMax"/>
        </c:scaling>
        <c:delete val="1"/>
        <c:axPos val="b"/>
        <c:numFmt formatCode="General" sourceLinked="1"/>
        <c:majorTickMark val="out"/>
        <c:minorTickMark val="none"/>
        <c:tickLblPos val="nextTo"/>
        <c:crossAx val="658068872"/>
        <c:crosses val="autoZero"/>
        <c:auto val="1"/>
        <c:lblAlgn val="ctr"/>
        <c:lblOffset val="100"/>
        <c:noMultiLvlLbl val="0"/>
      </c:catAx>
    </c:plotArea>
    <c:legend>
      <c:legendPos val="r"/>
      <c:layout>
        <c:manualLayout>
          <c:xMode val="edge"/>
          <c:yMode val="edge"/>
          <c:x val="0.4869871059806844"/>
          <c:y val="0.51381810634255687"/>
          <c:w val="0.34534796014575847"/>
          <c:h val="0.1870650920713862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58-4F30-8228-5C04B07904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58-4F30-8228-5C04B07904A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E58-4F30-8228-5C04B07904A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E58-4F30-8228-5C04B07904AA}"/>
              </c:ext>
            </c:extLst>
          </c:dPt>
          <c:dLbls>
            <c:dLbl>
              <c:idx val="1"/>
              <c:layout>
                <c:manualLayout>
                  <c:x val="-0.13097181684232259"/>
                  <c:y val="-0.11738704536932884"/>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fld id="{C379F3CB-24E2-4CAB-9387-EFFB597AAE3E}" type="CATEGORYNAME">
                      <a:rPr lang="en-US">
                        <a:solidFill>
                          <a:schemeClr val="tx1">
                            <a:lumMod val="95000"/>
                            <a:lumOff val="5000"/>
                          </a:schemeClr>
                        </a:solidFill>
                      </a:rPr>
                      <a:pPr>
                        <a:defRPr sz="1200">
                          <a:solidFill>
                            <a:schemeClr val="tx2"/>
                          </a:solidFill>
                        </a:defRPr>
                      </a:pPr>
                      <a:t>[ИМЯ КАТЕГОРИИ]</a:t>
                    </a:fld>
                    <a:endParaRPr lang="en-US">
                      <a:solidFill>
                        <a:schemeClr val="tx1">
                          <a:lumMod val="95000"/>
                          <a:lumOff val="5000"/>
                        </a:schemeClr>
                      </a:solidFill>
                    </a:endParaRPr>
                  </a:p>
                  <a:p>
                    <a:pPr>
                      <a:defRPr sz="1200">
                        <a:solidFill>
                          <a:schemeClr val="tx2"/>
                        </a:solidFill>
                      </a:defRPr>
                    </a:pPr>
                    <a:fld id="{5F00BDB2-7EFB-4F2B-ACCE-C90331EA940D}" type="PERCENTAGE">
                      <a:rPr lang="en-US" baseline="0">
                        <a:solidFill>
                          <a:schemeClr val="tx1">
                            <a:lumMod val="95000"/>
                            <a:lumOff val="5000"/>
                          </a:schemeClr>
                        </a:solidFill>
                      </a:rPr>
                      <a:pPr>
                        <a:defRPr sz="1200">
                          <a:solidFill>
                            <a:schemeClr val="tx2"/>
                          </a:solidFill>
                        </a:defRPr>
                      </a:pPr>
                      <a:t>[ПРОЦЕНТ]</a:t>
                    </a:fld>
                    <a:endParaRPr lang="ru-RU"/>
                  </a:p>
                </c:rich>
              </c:tx>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E58-4F30-8228-5C04B07904A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95000"/>
                      </a:schemeClr>
                    </a:solidFill>
                    <a:latin typeface="+mn-lt"/>
                    <a:ea typeface="+mn-ea"/>
                    <a:cs typeface="+mn-cs"/>
                  </a:defRPr>
                </a:pPr>
                <a:endParaRPr lang="ru-RU"/>
              </a:p>
            </c:txPr>
            <c:dLblPos val="ct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Лист1!$B$14:$B$17</c:f>
              <c:strCache>
                <c:ptCount val="4"/>
                <c:pt idx="0">
                  <c:v>AA</c:v>
                </c:pt>
                <c:pt idx="1">
                  <c:v>A</c:v>
                </c:pt>
                <c:pt idx="2">
                  <c:v>BBB</c:v>
                </c:pt>
                <c:pt idx="3">
                  <c:v>BB</c:v>
                </c:pt>
              </c:strCache>
            </c:strRef>
          </c:cat>
          <c:val>
            <c:numRef>
              <c:f>Лист1!$C$14:$C$17</c:f>
              <c:numCache>
                <c:formatCode>_(* #,##0.00_);_(* \(#,##0.00\);_(* "-"??_);_(@_)</c:formatCode>
                <c:ptCount val="4"/>
                <c:pt idx="0">
                  <c:v>201758262625.62997</c:v>
                </c:pt>
                <c:pt idx="1">
                  <c:v>33000884292.309998</c:v>
                </c:pt>
                <c:pt idx="2">
                  <c:v>236868703916.09329</c:v>
                </c:pt>
                <c:pt idx="3">
                  <c:v>171558545987.21841</c:v>
                </c:pt>
              </c:numCache>
            </c:numRef>
          </c:val>
          <c:extLst xmlns:c16r2="http://schemas.microsoft.com/office/drawing/2015/06/chart">
            <c:ext xmlns:c16="http://schemas.microsoft.com/office/drawing/2014/chart" uri="{C3380CC4-5D6E-409C-BE32-E72D297353CC}">
              <c16:uniqueId val="{00000008-FE58-4F30-8228-5C04B07904AA}"/>
            </c:ext>
          </c:extLst>
        </c:ser>
        <c:dLbls>
          <c:dLblPos val="ctr"/>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630401295858011E-2"/>
          <c:y val="0"/>
          <c:w val="0.55929407932537178"/>
          <c:h val="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092-4354-A526-BF1E22E3E25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92-4354-A526-BF1E22E3E25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92-4354-A526-BF1E22E3E25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92-4354-A526-BF1E22E3E25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92-4354-A526-BF1E22E3E25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092-4354-A526-BF1E22E3E25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092-4354-A526-BF1E22E3E25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E092-4354-A526-BF1E22E3E25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E092-4354-A526-BF1E22E3E25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E092-4354-A526-BF1E22E3E259}"/>
              </c:ext>
            </c:extLst>
          </c:dPt>
          <c:dLbls>
            <c:dLbl>
              <c:idx val="1"/>
              <c:delete val="1"/>
              <c:extLst xmlns:c16r2="http://schemas.microsoft.com/office/drawing/2015/06/chart">
                <c:ext xmlns:c16="http://schemas.microsoft.com/office/drawing/2014/chart" uri="{C3380CC4-5D6E-409C-BE32-E72D297353CC}">
                  <c16:uniqueId val="{00000003-E092-4354-A526-BF1E22E3E259}"/>
                </c:ext>
                <c:ext xmlns:c15="http://schemas.microsoft.com/office/drawing/2012/chart" uri="{CE6537A1-D6FC-4f65-9D91-7224C49458BB}"/>
              </c:extLst>
            </c:dLbl>
            <c:dLbl>
              <c:idx val="2"/>
              <c:layout>
                <c:manualLayout>
                  <c:x val="2.5915215143561602E-2"/>
                  <c:y val="-4.311752480868150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E092-4354-A526-BF1E22E3E259}"/>
                </c:ext>
                <c:ext xmlns:c15="http://schemas.microsoft.com/office/drawing/2012/chart" uri="{CE6537A1-D6FC-4f65-9D91-7224C49458BB}"/>
              </c:extLst>
            </c:dLbl>
            <c:dLbl>
              <c:idx val="4"/>
              <c:layout>
                <c:manualLayout>
                  <c:x val="2.7480155889604705E-2"/>
                  <c:y val="1.061856498783586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E092-4354-A526-BF1E22E3E259}"/>
                </c:ext>
                <c:ext xmlns:c15="http://schemas.microsoft.com/office/drawing/2012/chart" uri="{CE6537A1-D6FC-4f65-9D91-7224C49458BB}"/>
              </c:extLst>
            </c:dLbl>
            <c:dLbl>
              <c:idx val="5"/>
              <c:layout>
                <c:manualLayout>
                  <c:x val="3.4862642169728786E-2"/>
                  <c:y val="4.214713570416159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E092-4354-A526-BF1E22E3E259}"/>
                </c:ext>
                <c:ext xmlns:c15="http://schemas.microsoft.com/office/drawing/2012/chart" uri="{CE6537A1-D6FC-4f65-9D91-7224C49458BB}"/>
              </c:extLst>
            </c:dLbl>
            <c:dLbl>
              <c:idx val="7"/>
              <c:layout>
                <c:manualLayout>
                  <c:x val="-2.3849189635748523E-2"/>
                  <c:y val="1.278149090715062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E092-4354-A526-BF1E22E3E259}"/>
                </c:ext>
                <c:ext xmlns:c15="http://schemas.microsoft.com/office/drawing/2012/chart" uri="{CE6537A1-D6FC-4f65-9D91-7224C49458BB}"/>
              </c:extLst>
            </c:dLbl>
            <c:dLbl>
              <c:idx val="8"/>
              <c:layout>
                <c:manualLayout>
                  <c:x val="6.9467907420663333E-2"/>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E092-4354-A526-BF1E22E3E259}"/>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E092-4354-A526-BF1E22E3E2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9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Лист1!$B$2:$B$11</c:f>
              <c:strCache>
                <c:ptCount val="10"/>
                <c:pt idx="0">
                  <c:v>государство</c:v>
                </c:pt>
                <c:pt idx="1">
                  <c:v>добыча</c:v>
                </c:pt>
                <c:pt idx="2">
                  <c:v>металлургия</c:v>
                </c:pt>
                <c:pt idx="3">
                  <c:v>нефть и газ</c:v>
                </c:pt>
                <c:pt idx="4">
                  <c:v>телекоммуникации</c:v>
                </c:pt>
                <c:pt idx="5">
                  <c:v>транспорт</c:v>
                </c:pt>
                <c:pt idx="6">
                  <c:v>финансы</c:v>
                </c:pt>
                <c:pt idx="7">
                  <c:v>энергетика</c:v>
                </c:pt>
                <c:pt idx="8">
                  <c:v>розничная торговля</c:v>
                </c:pt>
                <c:pt idx="9">
                  <c:v>машиностроение</c:v>
                </c:pt>
              </c:strCache>
            </c:strRef>
          </c:cat>
          <c:val>
            <c:numRef>
              <c:f>Лист1!$C$2:$C$11</c:f>
              <c:numCache>
                <c:formatCode>_(* #,##0.00_);_(* \(#,##0.00\);_(* "-"??_);_(@_)</c:formatCode>
                <c:ptCount val="10"/>
                <c:pt idx="0">
                  <c:v>124536847137.13028</c:v>
                </c:pt>
                <c:pt idx="1">
                  <c:v>734350816.90289533</c:v>
                </c:pt>
                <c:pt idx="2">
                  <c:v>4999563711.9315233</c:v>
                </c:pt>
                <c:pt idx="3">
                  <c:v>24976751294.263157</c:v>
                </c:pt>
                <c:pt idx="4">
                  <c:v>7427849275.5056362</c:v>
                </c:pt>
                <c:pt idx="5">
                  <c:v>8435234711.8617535</c:v>
                </c:pt>
                <c:pt idx="6">
                  <c:v>26294209476.831493</c:v>
                </c:pt>
                <c:pt idx="7">
                  <c:v>3817480959.1800003</c:v>
                </c:pt>
                <c:pt idx="8">
                  <c:v>3262158895.9700003</c:v>
                </c:pt>
                <c:pt idx="9">
                  <c:v>439952870.63999999</c:v>
                </c:pt>
              </c:numCache>
            </c:numRef>
          </c:val>
          <c:extLst xmlns:c16r2="http://schemas.microsoft.com/office/drawing/2015/06/chart">
            <c:ext xmlns:c16="http://schemas.microsoft.com/office/drawing/2014/chart" uri="{C3380CC4-5D6E-409C-BE32-E72D297353CC}">
              <c16:uniqueId val="{00000014-E092-4354-A526-BF1E22E3E25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853997250207811"/>
          <c:y val="3.4579661124424753E-2"/>
          <c:w val="0.41805348360081146"/>
          <c:h val="0.890157838468127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45296462125242"/>
          <c:y val="5.2083333333333336E-2"/>
          <c:w val="0.79592518255479505"/>
          <c:h val="0.74702450190885228"/>
        </c:manualLayout>
      </c:layout>
      <c:barChart>
        <c:barDir val="col"/>
        <c:grouping val="clustered"/>
        <c:varyColors val="0"/>
        <c:ser>
          <c:idx val="0"/>
          <c:order val="0"/>
          <c:tx>
            <c:strRef>
              <c:f>Лист1!$K$3</c:f>
              <c:strCache>
                <c:ptCount val="1"/>
                <c:pt idx="0">
                  <c:v>Активы, тыс. руб.</c:v>
                </c:pt>
              </c:strCache>
            </c:strRef>
          </c:tx>
          <c:spPr>
            <a:solidFill>
              <a:schemeClr val="accent1"/>
            </a:solidFill>
            <a:ln>
              <a:noFill/>
            </a:ln>
            <a:effectLst/>
          </c:spPr>
          <c:invertIfNegative val="0"/>
          <c:cat>
            <c:strLit>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Lit>
          </c:cat>
          <c:val>
            <c:numRef>
              <c:f>Лист1!$L$3:$T$3</c:f>
              <c:numCache>
                <c:formatCode>General</c:formatCode>
                <c:ptCount val="9"/>
                <c:pt idx="0">
                  <c:v>358614824.61964929</c:v>
                </c:pt>
                <c:pt idx="1">
                  <c:v>0</c:v>
                </c:pt>
                <c:pt idx="2">
                  <c:v>0</c:v>
                </c:pt>
                <c:pt idx="3">
                  <c:v>25494475.399999999</c:v>
                </c:pt>
                <c:pt idx="4">
                  <c:v>52602716.918980882</c:v>
                </c:pt>
                <c:pt idx="5">
                  <c:v>51009401.161308676</c:v>
                </c:pt>
                <c:pt idx="6">
                  <c:v>37456865.655120969</c:v>
                </c:pt>
                <c:pt idx="7">
                  <c:v>60709097.893425591</c:v>
                </c:pt>
                <c:pt idx="8">
                  <c:v>54059846.024632461</c:v>
                </c:pt>
              </c:numCache>
            </c:numRef>
          </c:val>
          <c:extLst xmlns:c16r2="http://schemas.microsoft.com/office/drawing/2015/06/chart">
            <c:ext xmlns:c16="http://schemas.microsoft.com/office/drawing/2014/chart" uri="{C3380CC4-5D6E-409C-BE32-E72D297353CC}">
              <c16:uniqueId val="{00000000-EF1D-4A16-B1F8-1183BDAF68F6}"/>
            </c:ext>
          </c:extLst>
        </c:ser>
        <c:ser>
          <c:idx val="1"/>
          <c:order val="1"/>
          <c:tx>
            <c:strRef>
              <c:f>Лист1!$K$4</c:f>
              <c:strCache>
                <c:ptCount val="1"/>
                <c:pt idx="0">
                  <c:v>Пассивы, тыс. руб.</c:v>
                </c:pt>
              </c:strCache>
            </c:strRef>
          </c:tx>
          <c:spPr>
            <a:solidFill>
              <a:schemeClr val="accent2"/>
            </a:solidFill>
            <a:ln>
              <a:noFill/>
            </a:ln>
            <a:effectLst/>
          </c:spPr>
          <c:invertIfNegative val="0"/>
          <c:cat>
            <c:strLit>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Lit>
          </c:cat>
          <c:val>
            <c:numRef>
              <c:f>Лист1!$L$4:$T$4</c:f>
              <c:numCache>
                <c:formatCode>General</c:formatCode>
                <c:ptCount val="9"/>
                <c:pt idx="0">
                  <c:v>329215678.02014953</c:v>
                </c:pt>
                <c:pt idx="1">
                  <c:v>75299464.377476647</c:v>
                </c:pt>
                <c:pt idx="2">
                  <c:v>109178658.36150199</c:v>
                </c:pt>
                <c:pt idx="3">
                  <c:v>67766683.6207598</c:v>
                </c:pt>
                <c:pt idx="4">
                  <c:v>313796.38220500003</c:v>
                </c:pt>
                <c:pt idx="5">
                  <c:v>0</c:v>
                </c:pt>
                <c:pt idx="6">
                  <c:v>0</c:v>
                </c:pt>
                <c:pt idx="7">
                  <c:v>1568981.9110249998</c:v>
                </c:pt>
                <c:pt idx="8">
                  <c:v>56603965</c:v>
                </c:pt>
              </c:numCache>
            </c:numRef>
          </c:val>
          <c:extLst xmlns:c16r2="http://schemas.microsoft.com/office/drawing/2015/06/chart">
            <c:ext xmlns:c16="http://schemas.microsoft.com/office/drawing/2014/chart" uri="{C3380CC4-5D6E-409C-BE32-E72D297353CC}">
              <c16:uniqueId val="{00000001-EF1D-4A16-B1F8-1183BDAF68F6}"/>
            </c:ext>
          </c:extLst>
        </c:ser>
        <c:ser>
          <c:idx val="2"/>
          <c:order val="2"/>
          <c:tx>
            <c:strRef>
              <c:f>Лист1!$K$5</c:f>
              <c:strCache>
                <c:ptCount val="1"/>
                <c:pt idx="0">
                  <c:v>Разрывы ликвидности, тыс. руб.</c:v>
                </c:pt>
              </c:strCache>
            </c:strRef>
          </c:tx>
          <c:spPr>
            <a:solidFill>
              <a:schemeClr val="accent3"/>
            </a:solidFill>
            <a:ln>
              <a:noFill/>
            </a:ln>
            <a:effectLst/>
          </c:spPr>
          <c:invertIfNegative val="0"/>
          <c:cat>
            <c:strLit>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Lit>
          </c:cat>
          <c:val>
            <c:numRef>
              <c:f>Лист1!$L$5:$T$5</c:f>
              <c:numCache>
                <c:formatCode>General</c:formatCode>
                <c:ptCount val="9"/>
                <c:pt idx="0">
                  <c:v>299187837.27977169</c:v>
                </c:pt>
                <c:pt idx="1">
                  <c:v>223888372.90229502</c:v>
                </c:pt>
                <c:pt idx="2">
                  <c:v>114709714.54079302</c:v>
                </c:pt>
                <c:pt idx="3">
                  <c:v>71967754.690033242</c:v>
                </c:pt>
                <c:pt idx="4">
                  <c:v>119462912.81506392</c:v>
                </c:pt>
                <c:pt idx="5">
                  <c:v>121355192.28697439</c:v>
                </c:pt>
                <c:pt idx="6">
                  <c:v>122035922.22309257</c:v>
                </c:pt>
                <c:pt idx="7">
                  <c:v>81026156.963946939</c:v>
                </c:pt>
                <c:pt idx="8">
                  <c:v>0</c:v>
                </c:pt>
              </c:numCache>
            </c:numRef>
          </c:val>
          <c:extLst xmlns:c16r2="http://schemas.microsoft.com/office/drawing/2015/06/chart">
            <c:ext xmlns:c16="http://schemas.microsoft.com/office/drawing/2014/chart" uri="{C3380CC4-5D6E-409C-BE32-E72D297353CC}">
              <c16:uniqueId val="{00000002-EF1D-4A16-B1F8-1183BDAF68F6}"/>
            </c:ext>
          </c:extLst>
        </c:ser>
        <c:dLbls>
          <c:showLegendKey val="0"/>
          <c:showVal val="0"/>
          <c:showCatName val="0"/>
          <c:showSerName val="0"/>
          <c:showPercent val="0"/>
          <c:showBubbleSize val="0"/>
        </c:dLbls>
        <c:gapWidth val="219"/>
        <c:axId val="486893008"/>
        <c:axId val="486891832"/>
      </c:barChart>
      <c:lineChart>
        <c:grouping val="standard"/>
        <c:varyColors val="0"/>
        <c:ser>
          <c:idx val="3"/>
          <c:order val="3"/>
          <c:tx>
            <c:strRef>
              <c:f>Лист1!$K$6</c:f>
              <c:strCache>
                <c:ptCount val="1"/>
                <c:pt idx="0">
                  <c:v>Коэффициенты ликвидности, % </c:v>
                </c:pt>
              </c:strCache>
            </c:strRef>
          </c:tx>
          <c:spPr>
            <a:ln w="28575" cap="rnd">
              <a:solidFill>
                <a:schemeClr val="accent4"/>
              </a:solidFill>
              <a:round/>
            </a:ln>
            <a:effectLst/>
          </c:spPr>
          <c:marker>
            <c:symbol val="none"/>
          </c:marker>
          <c:cat>
            <c:strRef>
              <c:f>Лист1!$L$2:$T$2</c:f>
              <c:strCache>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Cache>
            </c:strRef>
          </c:cat>
          <c:val>
            <c:numRef>
              <c:f>Лист1!$L$6:$T$6</c:f>
              <c:numCache>
                <c:formatCode>General</c:formatCode>
                <c:ptCount val="9"/>
                <c:pt idx="0">
                  <c:v>0.46751954589698669</c:v>
                </c:pt>
                <c:pt idx="1">
                  <c:v>0.3498544305229121</c:v>
                </c:pt>
                <c:pt idx="2">
                  <c:v>0.17924870923792205</c:v>
                </c:pt>
                <c:pt idx="3">
                  <c:v>0.11245888969893943</c:v>
                </c:pt>
                <c:pt idx="4">
                  <c:v>0.18667619398780336</c:v>
                </c:pt>
                <c:pt idx="5">
                  <c:v>0.18963312448157374</c:v>
                </c:pt>
                <c:pt idx="6">
                  <c:v>0.19069685271834314</c:v>
                </c:pt>
                <c:pt idx="7">
                  <c:v>0.12661381042084099</c:v>
                </c:pt>
                <c:pt idx="8">
                  <c:v>0</c:v>
                </c:pt>
              </c:numCache>
            </c:numRef>
          </c:val>
          <c:smooth val="0"/>
          <c:extLst xmlns:c16r2="http://schemas.microsoft.com/office/drawing/2015/06/chart">
            <c:ext xmlns:c16="http://schemas.microsoft.com/office/drawing/2014/chart" uri="{C3380CC4-5D6E-409C-BE32-E72D297353CC}">
              <c16:uniqueId val="{00000003-EF1D-4A16-B1F8-1183BDAF68F6}"/>
            </c:ext>
          </c:extLst>
        </c:ser>
        <c:dLbls>
          <c:showLegendKey val="0"/>
          <c:showVal val="0"/>
          <c:showCatName val="0"/>
          <c:showSerName val="0"/>
          <c:showPercent val="0"/>
          <c:showBubbleSize val="0"/>
        </c:dLbls>
        <c:marker val="1"/>
        <c:smooth val="0"/>
        <c:axId val="475386608"/>
        <c:axId val="475385040"/>
      </c:lineChart>
      <c:catAx>
        <c:axId val="48689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486891832"/>
        <c:crosses val="autoZero"/>
        <c:auto val="1"/>
        <c:lblAlgn val="ctr"/>
        <c:lblOffset val="100"/>
        <c:noMultiLvlLbl val="0"/>
      </c:catAx>
      <c:valAx>
        <c:axId val="486891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893008"/>
        <c:crosses val="autoZero"/>
        <c:crossBetween val="between"/>
      </c:valAx>
      <c:valAx>
        <c:axId val="47538504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5386608"/>
        <c:crosses val="max"/>
        <c:crossBetween val="between"/>
      </c:valAx>
      <c:catAx>
        <c:axId val="475386608"/>
        <c:scaling>
          <c:orientation val="minMax"/>
        </c:scaling>
        <c:delete val="1"/>
        <c:axPos val="b"/>
        <c:numFmt formatCode="General" sourceLinked="1"/>
        <c:majorTickMark val="out"/>
        <c:minorTickMark val="none"/>
        <c:tickLblPos val="nextTo"/>
        <c:crossAx val="475385040"/>
        <c:crosses val="autoZero"/>
        <c:auto val="1"/>
        <c:lblAlgn val="ctr"/>
        <c:lblOffset val="100"/>
        <c:noMultiLvlLbl val="0"/>
      </c:catAx>
      <c:spPr>
        <a:noFill/>
        <a:ln>
          <a:noFill/>
        </a:ln>
        <a:effectLst/>
      </c:spPr>
    </c:plotArea>
    <c:legend>
      <c:legendPos val="b"/>
      <c:layout>
        <c:manualLayout>
          <c:xMode val="edge"/>
          <c:yMode val="edge"/>
          <c:x val="0.5840126193376155"/>
          <c:y val="1.2592832856120258E-2"/>
          <c:w val="0.353359914977948"/>
          <c:h val="0.391183488427582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Корпоративный красный">
    <a:dk1>
      <a:srgbClr val="000000"/>
    </a:dk1>
    <a:lt1>
      <a:sysClr val="window" lastClr="FFFFFF"/>
    </a:lt1>
    <a:dk2>
      <a:srgbClr val="CCCCCC"/>
    </a:dk2>
    <a:lt2>
      <a:srgbClr val="E6E6E6"/>
    </a:lt2>
    <a:accent1>
      <a:srgbClr val="C8102E"/>
    </a:accent1>
    <a:accent2>
      <a:srgbClr val="CF7F7F"/>
    </a:accent2>
    <a:accent3>
      <a:srgbClr val="616365"/>
    </a:accent3>
    <a:accent4>
      <a:srgbClr val="51626F"/>
    </a:accent4>
    <a:accent5>
      <a:srgbClr val="6D6F64"/>
    </a:accent5>
    <a:accent6>
      <a:srgbClr val="5D4F4B"/>
    </a:accent6>
    <a:hlink>
      <a:srgbClr val="593160"/>
    </a:hlink>
    <a:folHlink>
      <a:srgbClr val="8D3C1E"/>
    </a:folHlink>
  </a:clrScheme>
  <a:fontScheme name="Moscow Exchange">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Корпоративный красный">
    <a:dk1>
      <a:srgbClr val="000000"/>
    </a:dk1>
    <a:lt1>
      <a:sysClr val="window" lastClr="FFFFFF"/>
    </a:lt1>
    <a:dk2>
      <a:srgbClr val="CCCCCC"/>
    </a:dk2>
    <a:lt2>
      <a:srgbClr val="E6E6E6"/>
    </a:lt2>
    <a:accent1>
      <a:srgbClr val="C8102E"/>
    </a:accent1>
    <a:accent2>
      <a:srgbClr val="CF7F7F"/>
    </a:accent2>
    <a:accent3>
      <a:srgbClr val="616365"/>
    </a:accent3>
    <a:accent4>
      <a:srgbClr val="51626F"/>
    </a:accent4>
    <a:accent5>
      <a:srgbClr val="6D6F64"/>
    </a:accent5>
    <a:accent6>
      <a:srgbClr val="5D4F4B"/>
    </a:accent6>
    <a:hlink>
      <a:srgbClr val="593160"/>
    </a:hlink>
    <a:folHlink>
      <a:srgbClr val="8D3C1E"/>
    </a:folHlink>
  </a:clrScheme>
  <a:fontScheme name="Moscow Exchange">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Корпоративный красный">
    <a:dk1>
      <a:srgbClr val="000000"/>
    </a:dk1>
    <a:lt1>
      <a:sysClr val="window" lastClr="FFFFFF"/>
    </a:lt1>
    <a:dk2>
      <a:srgbClr val="CCCCCC"/>
    </a:dk2>
    <a:lt2>
      <a:srgbClr val="E6E6E6"/>
    </a:lt2>
    <a:accent1>
      <a:srgbClr val="C8102E"/>
    </a:accent1>
    <a:accent2>
      <a:srgbClr val="CF7F7F"/>
    </a:accent2>
    <a:accent3>
      <a:srgbClr val="616365"/>
    </a:accent3>
    <a:accent4>
      <a:srgbClr val="51626F"/>
    </a:accent4>
    <a:accent5>
      <a:srgbClr val="6D6F64"/>
    </a:accent5>
    <a:accent6>
      <a:srgbClr val="5D4F4B"/>
    </a:accent6>
    <a:hlink>
      <a:srgbClr val="593160"/>
    </a:hlink>
    <a:folHlink>
      <a:srgbClr val="8D3C1E"/>
    </a:folHlink>
  </a:clrScheme>
  <a:fontScheme name="Moscow Exchange">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3E2F-E36C-4097-AAB4-5B9828DE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87</Pages>
  <Words>28802</Words>
  <Characters>164177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192594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Кудасов Сергей Эдмундович</dc:creator>
  <cp:keywords/>
  <cp:lastModifiedBy>Кудасов Сергей Эдмундович</cp:lastModifiedBy>
  <cp:revision>12</cp:revision>
  <cp:lastPrinted>2017-06-27T09:55:00Z</cp:lastPrinted>
  <dcterms:created xsi:type="dcterms:W3CDTF">2017-04-25T10:34:00Z</dcterms:created>
  <dcterms:modified xsi:type="dcterms:W3CDTF">2017-06-27T10:14:00Z</dcterms:modified>
</cp:coreProperties>
</file>