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240" w:rsidRPr="00341240" w:rsidRDefault="00341240" w:rsidP="00341240">
      <w:pPr>
        <w:widowControl w:val="0"/>
        <w:tabs>
          <w:tab w:val="left" w:pos="4536"/>
        </w:tabs>
        <w:overflowPunct w:val="0"/>
        <w:autoSpaceDE w:val="0"/>
        <w:autoSpaceDN w:val="0"/>
        <w:adjustRightInd w:val="0"/>
        <w:spacing w:after="0" w:line="240" w:lineRule="auto"/>
        <w:ind w:right="187" w:firstLine="720"/>
        <w:jc w:val="right"/>
        <w:textAlignment w:val="baseline"/>
        <w:rPr>
          <w:rFonts w:ascii="Times New Roman" w:eastAsia="Times New Roman" w:hAnsi="Times New Roman" w:cs="Times New Roman"/>
          <w:color w:val="FFFFFF"/>
          <w:sz w:val="28"/>
          <w:szCs w:val="28"/>
          <w:lang w:eastAsia="ru-RU"/>
        </w:rPr>
      </w:pPr>
    </w:p>
    <w:p w:rsidR="00341240" w:rsidRPr="00341240" w:rsidRDefault="00341240" w:rsidP="00341240">
      <w:pPr>
        <w:widowControl w:val="0"/>
        <w:tabs>
          <w:tab w:val="left" w:pos="4536"/>
        </w:tabs>
        <w:overflowPunct w:val="0"/>
        <w:autoSpaceDE w:val="0"/>
        <w:autoSpaceDN w:val="0"/>
        <w:adjustRightInd w:val="0"/>
        <w:spacing w:after="0" w:line="240" w:lineRule="auto"/>
        <w:ind w:right="187" w:firstLine="720"/>
        <w:jc w:val="right"/>
        <w:textAlignment w:val="baseline"/>
        <w:rPr>
          <w:rFonts w:ascii="Times New Roman" w:eastAsia="Times New Roman" w:hAnsi="Times New Roman" w:cs="Times New Roman"/>
          <w:color w:val="FFFFFF"/>
          <w:sz w:val="28"/>
          <w:szCs w:val="28"/>
          <w:lang w:eastAsia="ru-RU"/>
        </w:rPr>
      </w:pPr>
      <w:r w:rsidRPr="00341240">
        <w:rPr>
          <w:rFonts w:ascii="Times New Roman" w:eastAsia="Times New Roman" w:hAnsi="Times New Roman" w:cs="Times New Roman"/>
          <w:color w:val="FFFFFF"/>
          <w:sz w:val="28"/>
          <w:szCs w:val="28"/>
          <w:lang w:eastAsia="ru-RU"/>
        </w:rPr>
        <w:t xml:space="preserve">Председатель Наблюдательного совета </w:t>
      </w:r>
    </w:p>
    <w:p w:rsidR="00341240" w:rsidRPr="00341240" w:rsidRDefault="00341240" w:rsidP="00341240">
      <w:pPr>
        <w:widowControl w:val="0"/>
        <w:tabs>
          <w:tab w:val="left" w:pos="4536"/>
        </w:tabs>
        <w:overflowPunct w:val="0"/>
        <w:autoSpaceDE w:val="0"/>
        <w:autoSpaceDN w:val="0"/>
        <w:adjustRightInd w:val="0"/>
        <w:spacing w:after="0" w:line="240" w:lineRule="auto"/>
        <w:ind w:right="187" w:firstLine="720"/>
        <w:jc w:val="right"/>
        <w:textAlignment w:val="baseline"/>
        <w:rPr>
          <w:rFonts w:ascii="Times New Roman" w:eastAsia="Times New Roman" w:hAnsi="Times New Roman" w:cs="Times New Roman"/>
          <w:color w:val="FFFFFF"/>
          <w:sz w:val="28"/>
          <w:szCs w:val="28"/>
          <w:lang w:eastAsia="ru-RU"/>
        </w:rPr>
      </w:pPr>
      <w:r w:rsidRPr="00341240">
        <w:rPr>
          <w:rFonts w:ascii="Times New Roman" w:eastAsia="Times New Roman" w:hAnsi="Times New Roman" w:cs="Times New Roman"/>
          <w:color w:val="FFFFFF"/>
          <w:sz w:val="28"/>
          <w:szCs w:val="28"/>
          <w:lang w:eastAsia="ru-RU"/>
        </w:rPr>
        <w:t>ЗАО АКБ «Национальный Клиринговый Центр»</w:t>
      </w:r>
    </w:p>
    <w:p w:rsidR="00341240" w:rsidRPr="00341240" w:rsidRDefault="00341240" w:rsidP="00341240">
      <w:pPr>
        <w:widowControl w:val="0"/>
        <w:tabs>
          <w:tab w:val="left" w:pos="4536"/>
        </w:tabs>
        <w:overflowPunct w:val="0"/>
        <w:autoSpaceDE w:val="0"/>
        <w:autoSpaceDN w:val="0"/>
        <w:adjustRightInd w:val="0"/>
        <w:spacing w:after="0" w:line="240" w:lineRule="auto"/>
        <w:ind w:right="187" w:firstLine="720"/>
        <w:jc w:val="right"/>
        <w:textAlignment w:val="baseline"/>
        <w:rPr>
          <w:rFonts w:ascii="Times New Roman" w:eastAsia="Times New Roman" w:hAnsi="Times New Roman" w:cs="Times New Roman"/>
          <w:b/>
          <w:color w:val="FFFFFF"/>
          <w:sz w:val="28"/>
          <w:szCs w:val="28"/>
          <w:lang w:eastAsia="ru-RU"/>
        </w:rPr>
      </w:pPr>
      <w:r w:rsidRPr="00341240">
        <w:rPr>
          <w:rFonts w:ascii="Times New Roman" w:eastAsia="Times New Roman" w:hAnsi="Times New Roman" w:cs="Times New Roman"/>
          <w:b/>
          <w:color w:val="FFFFFF"/>
          <w:sz w:val="28"/>
          <w:szCs w:val="28"/>
          <w:lang w:eastAsia="ru-RU"/>
        </w:rPr>
        <w:t xml:space="preserve">__________________________ </w:t>
      </w:r>
    </w:p>
    <w:p w:rsidR="00341240" w:rsidRPr="00341240" w:rsidRDefault="00341240" w:rsidP="00341240">
      <w:pPr>
        <w:widowControl w:val="0"/>
        <w:tabs>
          <w:tab w:val="left" w:pos="4536"/>
        </w:tabs>
        <w:overflowPunct w:val="0"/>
        <w:autoSpaceDE w:val="0"/>
        <w:autoSpaceDN w:val="0"/>
        <w:adjustRightInd w:val="0"/>
        <w:spacing w:after="0" w:line="240" w:lineRule="auto"/>
        <w:ind w:right="187" w:firstLine="720"/>
        <w:jc w:val="right"/>
        <w:textAlignment w:val="baseline"/>
        <w:rPr>
          <w:rFonts w:ascii="Times New Roman" w:eastAsia="Times New Roman" w:hAnsi="Times New Roman" w:cs="Times New Roman"/>
          <w:color w:val="FFFFFF"/>
          <w:sz w:val="28"/>
          <w:szCs w:val="28"/>
          <w:lang w:eastAsia="ru-RU"/>
        </w:rPr>
      </w:pPr>
      <w:r w:rsidRPr="00341240">
        <w:rPr>
          <w:rFonts w:ascii="Times New Roman" w:eastAsia="Times New Roman" w:hAnsi="Times New Roman" w:cs="Times New Roman"/>
          <w:color w:val="FFFFFF"/>
          <w:sz w:val="28"/>
          <w:szCs w:val="28"/>
          <w:lang w:eastAsia="ru-RU"/>
        </w:rPr>
        <w:t>Лыков С.П.</w:t>
      </w:r>
    </w:p>
    <w:p w:rsidR="00341240" w:rsidRPr="00341240" w:rsidRDefault="00341240" w:rsidP="00341240">
      <w:pPr>
        <w:widowControl w:val="0"/>
        <w:tabs>
          <w:tab w:val="left" w:pos="4536"/>
        </w:tabs>
        <w:overflowPunct w:val="0"/>
        <w:autoSpaceDE w:val="0"/>
        <w:autoSpaceDN w:val="0"/>
        <w:adjustRightInd w:val="0"/>
        <w:spacing w:after="0" w:line="240" w:lineRule="auto"/>
        <w:ind w:right="187" w:firstLine="720"/>
        <w:jc w:val="right"/>
        <w:textAlignment w:val="baseline"/>
        <w:rPr>
          <w:rFonts w:ascii="Times New Roman" w:eastAsia="Times New Roman" w:hAnsi="Times New Roman" w:cs="Times New Roman"/>
          <w:sz w:val="28"/>
          <w:szCs w:val="28"/>
          <w:lang w:eastAsia="ru-RU"/>
        </w:rPr>
      </w:pPr>
      <w:r w:rsidRPr="00341240">
        <w:rPr>
          <w:rFonts w:ascii="Times New Roman" w:eastAsia="Times New Roman" w:hAnsi="Times New Roman" w:cs="Times New Roman"/>
          <w:color w:val="FFFFFF"/>
          <w:sz w:val="28"/>
          <w:szCs w:val="28"/>
          <w:lang w:eastAsia="ru-RU"/>
        </w:rPr>
        <w:t xml:space="preserve">                   М.П.</w:t>
      </w:r>
    </w:p>
    <w:p w:rsidR="00341240" w:rsidRPr="00341240" w:rsidRDefault="00341240" w:rsidP="00341240">
      <w:pPr>
        <w:widowControl w:val="0"/>
        <w:overflowPunct w:val="0"/>
        <w:autoSpaceDE w:val="0"/>
        <w:autoSpaceDN w:val="0"/>
        <w:adjustRightInd w:val="0"/>
        <w:spacing w:before="240" w:after="60" w:line="240" w:lineRule="auto"/>
        <w:ind w:right="283" w:firstLine="720"/>
        <w:jc w:val="center"/>
        <w:textAlignment w:val="baseline"/>
        <w:outlineLvl w:val="4"/>
        <w:rPr>
          <w:rFonts w:ascii="Times New Roman" w:eastAsia="Times New Roman" w:hAnsi="Times New Roman" w:cs="Times New Roman"/>
          <w:b/>
          <w:bCs/>
          <w:i/>
          <w:iCs/>
          <w:sz w:val="28"/>
          <w:szCs w:val="28"/>
          <w:lang w:eastAsia="ru-RU"/>
        </w:rPr>
      </w:pPr>
    </w:p>
    <w:p w:rsidR="00341240" w:rsidRPr="00341240" w:rsidRDefault="00341240" w:rsidP="00341240">
      <w:pPr>
        <w:widowControl w:val="0"/>
        <w:overflowPunct w:val="0"/>
        <w:autoSpaceDE w:val="0"/>
        <w:autoSpaceDN w:val="0"/>
        <w:adjustRightInd w:val="0"/>
        <w:spacing w:before="240" w:after="60" w:line="240" w:lineRule="auto"/>
        <w:ind w:right="283" w:firstLine="720"/>
        <w:jc w:val="center"/>
        <w:textAlignment w:val="baseline"/>
        <w:outlineLvl w:val="4"/>
        <w:rPr>
          <w:rFonts w:ascii="Times New Roman" w:eastAsia="Times New Roman" w:hAnsi="Times New Roman" w:cs="Times New Roman"/>
          <w:b/>
          <w:bCs/>
          <w:iCs/>
          <w:sz w:val="40"/>
          <w:szCs w:val="40"/>
          <w:lang w:eastAsia="ru-RU"/>
        </w:rPr>
      </w:pPr>
      <w:r w:rsidRPr="00341240">
        <w:rPr>
          <w:rFonts w:ascii="Times New Roman" w:eastAsia="Times New Roman" w:hAnsi="Times New Roman" w:cs="Times New Roman"/>
          <w:b/>
          <w:bCs/>
          <w:iCs/>
          <w:sz w:val="40"/>
          <w:szCs w:val="40"/>
          <w:lang w:eastAsia="ru-RU"/>
        </w:rPr>
        <w:t>ОСНОВНЫЕ ИТОГИ ДЕЯТЕЛЬН</w:t>
      </w:r>
      <w:r>
        <w:rPr>
          <w:rFonts w:ascii="Times New Roman" w:eastAsia="Times New Roman" w:hAnsi="Times New Roman" w:cs="Times New Roman"/>
          <w:b/>
          <w:bCs/>
          <w:iCs/>
          <w:sz w:val="40"/>
          <w:szCs w:val="40"/>
          <w:lang w:eastAsia="ru-RU"/>
        </w:rPr>
        <w:t>О</w:t>
      </w:r>
      <w:r w:rsidRPr="00341240">
        <w:rPr>
          <w:rFonts w:ascii="Times New Roman" w:eastAsia="Times New Roman" w:hAnsi="Times New Roman" w:cs="Times New Roman"/>
          <w:b/>
          <w:bCs/>
          <w:iCs/>
          <w:sz w:val="40"/>
          <w:szCs w:val="40"/>
          <w:lang w:eastAsia="ru-RU"/>
        </w:rPr>
        <w:t xml:space="preserve">СТИ </w:t>
      </w:r>
    </w:p>
    <w:p w:rsidR="00341240" w:rsidRPr="00341240" w:rsidRDefault="00341240" w:rsidP="0034124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0"/>
          <w:szCs w:val="40"/>
          <w:lang w:eastAsia="ru-RU"/>
        </w:rPr>
      </w:pPr>
    </w:p>
    <w:p w:rsidR="00341240" w:rsidRPr="00341240" w:rsidRDefault="00341240" w:rsidP="0034124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lang w:eastAsia="ru-RU"/>
        </w:rPr>
      </w:pPr>
      <w:r w:rsidRPr="00341240">
        <w:rPr>
          <w:rFonts w:ascii="Times New Roman" w:eastAsia="Times New Roman" w:hAnsi="Times New Roman" w:cs="Times New Roman"/>
          <w:b/>
          <w:sz w:val="36"/>
          <w:szCs w:val="36"/>
          <w:lang w:eastAsia="ru-RU"/>
        </w:rPr>
        <w:t>БАНКА «НАЦИОНАЛЬНЫЙ КЛИРИНГОВЫЙ ЦЕНТР» (АКЦИОНЕРНОЕ ОБЩЕСТВО)</w:t>
      </w:r>
    </w:p>
    <w:p w:rsidR="00341240" w:rsidRPr="00341240" w:rsidRDefault="00341240" w:rsidP="0034124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0"/>
          <w:szCs w:val="40"/>
          <w:lang w:eastAsia="ru-RU"/>
        </w:rPr>
      </w:pPr>
      <w:r w:rsidRPr="00341240">
        <w:rPr>
          <w:rFonts w:ascii="Times New Roman" w:eastAsia="Times New Roman" w:hAnsi="Times New Roman" w:cs="Times New Roman"/>
          <w:b/>
          <w:sz w:val="36"/>
          <w:szCs w:val="36"/>
          <w:lang w:eastAsia="ru-RU"/>
        </w:rPr>
        <w:t>ЗА 2015 ГОД</w:t>
      </w:r>
    </w:p>
    <w:p w:rsidR="00341240" w:rsidRPr="00341240" w:rsidRDefault="00341240" w:rsidP="0034124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p w:rsidR="00341240" w:rsidRPr="00341240" w:rsidRDefault="00341240" w:rsidP="00341240">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p w:rsidR="00341240" w:rsidRPr="00341240" w:rsidRDefault="00341240" w:rsidP="0034124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sidRPr="00341240">
        <w:rPr>
          <w:rFonts w:ascii="Times New Roman" w:eastAsia="Times New Roman" w:hAnsi="Times New Roman" w:cs="Times New Roman"/>
          <w:sz w:val="20"/>
          <w:szCs w:val="20"/>
          <w:lang w:eastAsia="ru-RU"/>
        </w:rPr>
        <w:br w:type="page"/>
      </w:r>
      <w:r w:rsidRPr="00341240">
        <w:rPr>
          <w:rFonts w:ascii="Times New Roman" w:eastAsia="Times New Roman" w:hAnsi="Times New Roman" w:cs="Times New Roman"/>
          <w:b/>
          <w:sz w:val="28"/>
          <w:szCs w:val="28"/>
          <w:lang w:eastAsia="ru-RU"/>
        </w:rPr>
        <w:lastRenderedPageBreak/>
        <w:t>СОДЕРЖАНИЕ</w:t>
      </w:r>
    </w:p>
    <w:p w:rsidR="00341240" w:rsidRPr="00341240" w:rsidRDefault="00341240" w:rsidP="00341240">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p>
    <w:p w:rsidR="00341240" w:rsidRPr="00341240" w:rsidRDefault="00341240" w:rsidP="00341240">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p>
    <w:p w:rsidR="00341240" w:rsidRPr="00341240" w:rsidRDefault="00341240" w:rsidP="00341240">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p>
    <w:p w:rsidR="00341240" w:rsidRPr="00341240" w:rsidRDefault="00341240" w:rsidP="00341240">
      <w:pPr>
        <w:widowControl w:val="0"/>
        <w:tabs>
          <w:tab w:val="left" w:pos="8789"/>
          <w:tab w:val="left" w:pos="9072"/>
        </w:tabs>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341240">
        <w:rPr>
          <w:rFonts w:ascii="Times New Roman" w:eastAsia="Times New Roman" w:hAnsi="Times New Roman" w:cs="Times New Roman"/>
          <w:sz w:val="28"/>
          <w:szCs w:val="28"/>
          <w:lang w:eastAsia="ru-RU"/>
        </w:rPr>
        <w:t>1</w:t>
      </w:r>
      <w:r w:rsidRPr="00341240">
        <w:rPr>
          <w:rFonts w:ascii="Times New Roman" w:eastAsia="Times New Roman" w:hAnsi="Times New Roman" w:cs="Times New Roman"/>
          <w:sz w:val="24"/>
          <w:szCs w:val="24"/>
          <w:lang w:eastAsia="ru-RU"/>
        </w:rPr>
        <w:t>.</w:t>
      </w:r>
      <w:r w:rsidRPr="00341240">
        <w:rPr>
          <w:rFonts w:ascii="Times New Roman" w:eastAsia="Times New Roman" w:hAnsi="Times New Roman" w:cs="Times New Roman"/>
          <w:sz w:val="28"/>
          <w:szCs w:val="28"/>
          <w:lang w:eastAsia="ru-RU"/>
        </w:rPr>
        <w:t>Общие сведения………………………………………………………..</w:t>
      </w:r>
      <w:r w:rsidRPr="00341240">
        <w:rPr>
          <w:rFonts w:ascii="Times New Roman" w:eastAsia="Times New Roman" w:hAnsi="Times New Roman" w:cs="Times New Roman"/>
          <w:sz w:val="28"/>
          <w:szCs w:val="28"/>
          <w:lang w:eastAsia="ru-RU"/>
        </w:rPr>
        <w:tab/>
        <w:t>стр.2</w:t>
      </w:r>
    </w:p>
    <w:p w:rsidR="00341240" w:rsidRPr="00341240" w:rsidRDefault="00341240" w:rsidP="00341240">
      <w:pPr>
        <w:widowControl w:val="0"/>
        <w:tabs>
          <w:tab w:val="left" w:pos="8820"/>
        </w:tabs>
        <w:overflowPunct w:val="0"/>
        <w:autoSpaceDE w:val="0"/>
        <w:autoSpaceDN w:val="0"/>
        <w:adjustRightInd w:val="0"/>
        <w:spacing w:after="0" w:line="240" w:lineRule="auto"/>
        <w:ind w:right="76"/>
        <w:textAlignment w:val="baseline"/>
        <w:rPr>
          <w:rFonts w:ascii="Times New Roman" w:eastAsia="Times New Roman" w:hAnsi="Times New Roman" w:cs="Times New Roman"/>
          <w:sz w:val="28"/>
          <w:szCs w:val="28"/>
          <w:lang w:eastAsia="ru-RU"/>
        </w:rPr>
      </w:pPr>
      <w:r w:rsidRPr="00341240">
        <w:rPr>
          <w:rFonts w:ascii="Times New Roman" w:eastAsia="Times New Roman" w:hAnsi="Times New Roman" w:cs="Times New Roman"/>
          <w:sz w:val="28"/>
          <w:szCs w:val="28"/>
          <w:lang w:eastAsia="ru-RU"/>
        </w:rPr>
        <w:t>2.Уставный капитал и состав акционеров. …………………………….</w:t>
      </w:r>
      <w:r w:rsidRPr="00341240">
        <w:rPr>
          <w:rFonts w:ascii="Times New Roman" w:eastAsia="Times New Roman" w:hAnsi="Times New Roman" w:cs="Times New Roman"/>
          <w:sz w:val="28"/>
          <w:szCs w:val="28"/>
          <w:lang w:eastAsia="ru-RU"/>
        </w:rPr>
        <w:tab/>
        <w:t>стр.4</w:t>
      </w:r>
    </w:p>
    <w:p w:rsidR="00341240" w:rsidRPr="00341240" w:rsidRDefault="00341240" w:rsidP="00341240">
      <w:pPr>
        <w:widowControl w:val="0"/>
        <w:tabs>
          <w:tab w:val="left" w:pos="8820"/>
        </w:tabs>
        <w:overflowPunct w:val="0"/>
        <w:autoSpaceDE w:val="0"/>
        <w:autoSpaceDN w:val="0"/>
        <w:adjustRightInd w:val="0"/>
        <w:spacing w:after="0" w:line="240" w:lineRule="auto"/>
        <w:ind w:right="76"/>
        <w:textAlignment w:val="baseline"/>
        <w:rPr>
          <w:rFonts w:ascii="Times New Roman" w:eastAsia="Times New Roman" w:hAnsi="Times New Roman" w:cs="Times New Roman"/>
          <w:sz w:val="28"/>
          <w:szCs w:val="28"/>
          <w:lang w:eastAsia="ru-RU"/>
        </w:rPr>
      </w:pPr>
      <w:r w:rsidRPr="00341240">
        <w:rPr>
          <w:rFonts w:ascii="Times New Roman" w:eastAsia="Times New Roman" w:hAnsi="Times New Roman" w:cs="Times New Roman"/>
          <w:sz w:val="28"/>
          <w:szCs w:val="28"/>
          <w:lang w:eastAsia="ru-RU"/>
        </w:rPr>
        <w:t>3.Положение  Банка  НКЦ (АО) в отрасли……………………………..</w:t>
      </w:r>
      <w:r w:rsidRPr="00341240">
        <w:rPr>
          <w:rFonts w:ascii="Times New Roman" w:eastAsia="Times New Roman" w:hAnsi="Times New Roman" w:cs="Times New Roman"/>
          <w:sz w:val="28"/>
          <w:szCs w:val="28"/>
          <w:lang w:eastAsia="ru-RU"/>
        </w:rPr>
        <w:tab/>
        <w:t>стр.5</w:t>
      </w:r>
    </w:p>
    <w:p w:rsidR="00341240" w:rsidRPr="00341240" w:rsidRDefault="00341240" w:rsidP="00341240">
      <w:pPr>
        <w:widowControl w:val="0"/>
        <w:tabs>
          <w:tab w:val="left" w:pos="8820"/>
        </w:tabs>
        <w:overflowPunct w:val="0"/>
        <w:autoSpaceDE w:val="0"/>
        <w:autoSpaceDN w:val="0"/>
        <w:adjustRightInd w:val="0"/>
        <w:spacing w:after="0" w:line="240" w:lineRule="auto"/>
        <w:ind w:right="76"/>
        <w:textAlignment w:val="baseline"/>
        <w:rPr>
          <w:rFonts w:ascii="Times New Roman" w:eastAsia="Times New Roman" w:hAnsi="Times New Roman" w:cs="Times New Roman"/>
          <w:sz w:val="28"/>
          <w:szCs w:val="28"/>
          <w:lang w:eastAsia="ru-RU"/>
        </w:rPr>
      </w:pPr>
      <w:r w:rsidRPr="00341240">
        <w:rPr>
          <w:rFonts w:ascii="Times New Roman" w:eastAsia="Times New Roman" w:hAnsi="Times New Roman" w:cs="Times New Roman"/>
          <w:sz w:val="28"/>
          <w:szCs w:val="28"/>
          <w:lang w:eastAsia="ru-RU"/>
        </w:rPr>
        <w:t>4.Перспективы развития   ……………………………………………….</w:t>
      </w:r>
      <w:r w:rsidRPr="00341240">
        <w:rPr>
          <w:rFonts w:ascii="Times New Roman" w:eastAsia="Times New Roman" w:hAnsi="Times New Roman" w:cs="Times New Roman"/>
          <w:sz w:val="28"/>
          <w:szCs w:val="28"/>
          <w:lang w:eastAsia="ru-RU"/>
        </w:rPr>
        <w:tab/>
        <w:t>стр.17</w:t>
      </w:r>
    </w:p>
    <w:p w:rsidR="00341240" w:rsidRPr="00341240" w:rsidRDefault="00341240" w:rsidP="00341240">
      <w:pPr>
        <w:widowControl w:val="0"/>
        <w:tabs>
          <w:tab w:val="left" w:pos="8820"/>
        </w:tabs>
        <w:overflowPunct w:val="0"/>
        <w:autoSpaceDE w:val="0"/>
        <w:autoSpaceDN w:val="0"/>
        <w:adjustRightInd w:val="0"/>
        <w:spacing w:after="0" w:line="240" w:lineRule="auto"/>
        <w:ind w:right="76"/>
        <w:textAlignment w:val="baseline"/>
        <w:rPr>
          <w:rFonts w:ascii="Times New Roman" w:eastAsia="Times New Roman" w:hAnsi="Times New Roman" w:cs="Times New Roman"/>
          <w:sz w:val="28"/>
          <w:szCs w:val="28"/>
          <w:lang w:eastAsia="ru-RU"/>
        </w:rPr>
      </w:pPr>
      <w:r w:rsidRPr="00341240">
        <w:rPr>
          <w:rFonts w:ascii="Times New Roman" w:eastAsia="Times New Roman" w:hAnsi="Times New Roman" w:cs="Times New Roman"/>
          <w:sz w:val="28"/>
          <w:szCs w:val="28"/>
          <w:lang w:eastAsia="ru-RU"/>
        </w:rPr>
        <w:t>5.Результаты развития по основным (приоритетным) направлениям деятельности ……………………………………………………………..</w:t>
      </w:r>
      <w:r w:rsidRPr="00341240">
        <w:rPr>
          <w:rFonts w:ascii="Times New Roman" w:eastAsia="Times New Roman" w:hAnsi="Times New Roman" w:cs="Times New Roman"/>
          <w:sz w:val="28"/>
          <w:szCs w:val="28"/>
          <w:lang w:eastAsia="ru-RU"/>
        </w:rPr>
        <w:tab/>
        <w:t>стр.22</w:t>
      </w:r>
    </w:p>
    <w:p w:rsidR="00341240" w:rsidRPr="00341240" w:rsidRDefault="00341240" w:rsidP="00341240">
      <w:pPr>
        <w:widowControl w:val="0"/>
        <w:tabs>
          <w:tab w:val="left" w:pos="8820"/>
        </w:tabs>
        <w:overflowPunct w:val="0"/>
        <w:autoSpaceDE w:val="0"/>
        <w:autoSpaceDN w:val="0"/>
        <w:adjustRightInd w:val="0"/>
        <w:spacing w:after="0" w:line="240" w:lineRule="auto"/>
        <w:ind w:left="720" w:right="76"/>
        <w:textAlignment w:val="baseline"/>
        <w:rPr>
          <w:rFonts w:ascii="Times New Roman" w:eastAsia="Times New Roman" w:hAnsi="Times New Roman" w:cs="Times New Roman"/>
          <w:sz w:val="28"/>
          <w:szCs w:val="28"/>
          <w:lang w:eastAsia="ru-RU"/>
        </w:rPr>
      </w:pPr>
      <w:r w:rsidRPr="00341240">
        <w:rPr>
          <w:rFonts w:ascii="Times New Roman" w:eastAsia="Times New Roman" w:hAnsi="Times New Roman" w:cs="Times New Roman"/>
          <w:sz w:val="28"/>
          <w:szCs w:val="28"/>
          <w:lang w:eastAsia="ru-RU"/>
        </w:rPr>
        <w:t>5.1.Клиринговая деятельность на валютном рынке и рынке драгметаллов……………………………………………………….</w:t>
      </w:r>
      <w:r w:rsidRPr="00341240">
        <w:rPr>
          <w:rFonts w:ascii="Times New Roman" w:eastAsia="Times New Roman" w:hAnsi="Times New Roman" w:cs="Times New Roman"/>
          <w:sz w:val="28"/>
          <w:szCs w:val="28"/>
          <w:lang w:eastAsia="ru-RU"/>
        </w:rPr>
        <w:tab/>
        <w:t>стр.22</w:t>
      </w:r>
    </w:p>
    <w:p w:rsidR="00341240" w:rsidRPr="00341240" w:rsidRDefault="00341240" w:rsidP="00341240">
      <w:pPr>
        <w:widowControl w:val="0"/>
        <w:tabs>
          <w:tab w:val="left" w:pos="8820"/>
        </w:tabs>
        <w:overflowPunct w:val="0"/>
        <w:autoSpaceDE w:val="0"/>
        <w:autoSpaceDN w:val="0"/>
        <w:adjustRightInd w:val="0"/>
        <w:spacing w:after="0" w:line="240" w:lineRule="auto"/>
        <w:ind w:right="76" w:firstLine="709"/>
        <w:textAlignment w:val="baseline"/>
        <w:rPr>
          <w:rFonts w:ascii="Times New Roman" w:eastAsia="Times New Roman" w:hAnsi="Times New Roman" w:cs="Times New Roman"/>
          <w:sz w:val="28"/>
          <w:szCs w:val="28"/>
          <w:lang w:eastAsia="ru-RU"/>
        </w:rPr>
      </w:pPr>
      <w:r w:rsidRPr="00341240">
        <w:rPr>
          <w:rFonts w:ascii="Times New Roman" w:eastAsia="Times New Roman" w:hAnsi="Times New Roman" w:cs="Times New Roman"/>
          <w:sz w:val="28"/>
          <w:szCs w:val="28"/>
          <w:lang w:eastAsia="ru-RU"/>
        </w:rPr>
        <w:t>5.2. Клиринговая деятельность на фондовом рынке…………….</w:t>
      </w:r>
      <w:r w:rsidRPr="00341240">
        <w:rPr>
          <w:rFonts w:ascii="Times New Roman" w:eastAsia="Times New Roman" w:hAnsi="Times New Roman" w:cs="Times New Roman"/>
          <w:sz w:val="28"/>
          <w:szCs w:val="28"/>
          <w:lang w:eastAsia="ru-RU"/>
        </w:rPr>
        <w:tab/>
        <w:t>стр.24</w:t>
      </w:r>
    </w:p>
    <w:p w:rsidR="00341240" w:rsidRPr="00341240" w:rsidRDefault="00341240" w:rsidP="00341240">
      <w:pPr>
        <w:widowControl w:val="0"/>
        <w:tabs>
          <w:tab w:val="left" w:pos="8820"/>
        </w:tabs>
        <w:overflowPunct w:val="0"/>
        <w:autoSpaceDE w:val="0"/>
        <w:autoSpaceDN w:val="0"/>
        <w:adjustRightInd w:val="0"/>
        <w:spacing w:after="0" w:line="240" w:lineRule="auto"/>
        <w:ind w:left="720" w:right="76"/>
        <w:textAlignment w:val="baseline"/>
        <w:rPr>
          <w:rFonts w:ascii="Times New Roman" w:eastAsia="Times New Roman" w:hAnsi="Times New Roman" w:cs="Times New Roman"/>
          <w:sz w:val="28"/>
          <w:szCs w:val="28"/>
          <w:lang w:eastAsia="ru-RU"/>
        </w:rPr>
      </w:pPr>
      <w:r w:rsidRPr="00341240">
        <w:rPr>
          <w:rFonts w:ascii="Times New Roman" w:eastAsia="Times New Roman" w:hAnsi="Times New Roman" w:cs="Times New Roman"/>
          <w:sz w:val="28"/>
          <w:szCs w:val="28"/>
          <w:lang w:eastAsia="ru-RU"/>
        </w:rPr>
        <w:t>5.3.Клиринговая деятельность на срочном рынке……………….</w:t>
      </w:r>
      <w:r w:rsidRPr="00341240">
        <w:rPr>
          <w:rFonts w:ascii="Times New Roman" w:eastAsia="Times New Roman" w:hAnsi="Times New Roman" w:cs="Times New Roman"/>
          <w:sz w:val="28"/>
          <w:szCs w:val="28"/>
          <w:lang w:eastAsia="ru-RU"/>
        </w:rPr>
        <w:tab/>
        <w:t>стр.26</w:t>
      </w:r>
    </w:p>
    <w:p w:rsidR="00341240" w:rsidRPr="00341240" w:rsidRDefault="00341240" w:rsidP="00341240">
      <w:pPr>
        <w:widowControl w:val="0"/>
        <w:tabs>
          <w:tab w:val="left" w:pos="8820"/>
        </w:tabs>
        <w:overflowPunct w:val="0"/>
        <w:autoSpaceDE w:val="0"/>
        <w:autoSpaceDN w:val="0"/>
        <w:adjustRightInd w:val="0"/>
        <w:spacing w:after="0" w:line="240" w:lineRule="auto"/>
        <w:ind w:right="76" w:firstLine="709"/>
        <w:textAlignment w:val="baseline"/>
        <w:rPr>
          <w:rFonts w:ascii="Times New Roman" w:eastAsia="Times New Roman" w:hAnsi="Times New Roman" w:cs="Times New Roman"/>
          <w:sz w:val="28"/>
          <w:szCs w:val="28"/>
          <w:lang w:eastAsia="ru-RU"/>
        </w:rPr>
      </w:pPr>
      <w:r w:rsidRPr="00341240">
        <w:rPr>
          <w:rFonts w:ascii="Times New Roman" w:eastAsia="Times New Roman" w:hAnsi="Times New Roman" w:cs="Times New Roman"/>
          <w:sz w:val="28"/>
          <w:szCs w:val="28"/>
          <w:lang w:eastAsia="ru-RU"/>
        </w:rPr>
        <w:t>5.4.Клиринговая деятельность на товарном рынке………………</w:t>
      </w:r>
      <w:r w:rsidRPr="00341240">
        <w:rPr>
          <w:rFonts w:ascii="Times New Roman" w:eastAsia="Times New Roman" w:hAnsi="Times New Roman" w:cs="Times New Roman"/>
          <w:sz w:val="28"/>
          <w:szCs w:val="28"/>
          <w:lang w:eastAsia="ru-RU"/>
        </w:rPr>
        <w:tab/>
        <w:t>стр.29</w:t>
      </w:r>
    </w:p>
    <w:p w:rsidR="00341240" w:rsidRPr="00341240" w:rsidRDefault="00341240" w:rsidP="00341240">
      <w:pPr>
        <w:widowControl w:val="0"/>
        <w:tabs>
          <w:tab w:val="left" w:pos="8820"/>
        </w:tabs>
        <w:overflowPunct w:val="0"/>
        <w:autoSpaceDE w:val="0"/>
        <w:autoSpaceDN w:val="0"/>
        <w:adjustRightInd w:val="0"/>
        <w:spacing w:after="0" w:line="240" w:lineRule="auto"/>
        <w:ind w:left="708" w:right="76"/>
        <w:textAlignment w:val="baseline"/>
        <w:rPr>
          <w:rFonts w:ascii="Times New Roman" w:eastAsia="Times New Roman" w:hAnsi="Times New Roman" w:cs="Times New Roman"/>
          <w:sz w:val="28"/>
          <w:szCs w:val="28"/>
          <w:lang w:eastAsia="ru-RU"/>
        </w:rPr>
      </w:pPr>
      <w:r w:rsidRPr="00341240">
        <w:rPr>
          <w:rFonts w:ascii="Times New Roman" w:eastAsia="Times New Roman" w:hAnsi="Times New Roman" w:cs="Times New Roman"/>
          <w:sz w:val="28"/>
          <w:szCs w:val="28"/>
          <w:lang w:eastAsia="ru-RU"/>
        </w:rPr>
        <w:t xml:space="preserve">5.5. Клиринговая деятельность на рынке </w:t>
      </w:r>
      <w:r w:rsidRPr="00341240">
        <w:rPr>
          <w:rFonts w:ascii="Times New Roman" w:eastAsia="Times New Roman" w:hAnsi="Times New Roman" w:cs="Times New Roman"/>
          <w:sz w:val="28"/>
          <w:szCs w:val="28"/>
          <w:lang w:val="en-US" w:eastAsia="ru-RU"/>
        </w:rPr>
        <w:t>c</w:t>
      </w:r>
      <w:r w:rsidRPr="00341240">
        <w:rPr>
          <w:rFonts w:ascii="Times New Roman" w:eastAsia="Times New Roman" w:hAnsi="Times New Roman" w:cs="Times New Roman"/>
          <w:sz w:val="28"/>
          <w:szCs w:val="28"/>
          <w:lang w:eastAsia="ru-RU"/>
        </w:rPr>
        <w:t>тандартизированных  ПФИ…………………………………………………………………</w:t>
      </w:r>
      <w:r w:rsidRPr="00341240">
        <w:rPr>
          <w:rFonts w:ascii="Times New Roman" w:eastAsia="Times New Roman" w:hAnsi="Times New Roman" w:cs="Times New Roman"/>
          <w:sz w:val="28"/>
          <w:szCs w:val="28"/>
          <w:lang w:eastAsia="ru-RU"/>
        </w:rPr>
        <w:tab/>
        <w:t>стр.29</w:t>
      </w:r>
    </w:p>
    <w:p w:rsidR="00341240" w:rsidRPr="00341240" w:rsidRDefault="00341240" w:rsidP="00341240">
      <w:pPr>
        <w:widowControl w:val="0"/>
        <w:tabs>
          <w:tab w:val="left" w:pos="8820"/>
        </w:tabs>
        <w:overflowPunct w:val="0"/>
        <w:autoSpaceDE w:val="0"/>
        <w:autoSpaceDN w:val="0"/>
        <w:adjustRightInd w:val="0"/>
        <w:spacing w:after="0" w:line="360" w:lineRule="auto"/>
        <w:ind w:right="76"/>
        <w:textAlignment w:val="baseline"/>
        <w:rPr>
          <w:rFonts w:ascii="Times New Roman" w:eastAsia="Times New Roman" w:hAnsi="Times New Roman" w:cs="Times New Roman"/>
          <w:sz w:val="28"/>
          <w:szCs w:val="28"/>
          <w:lang w:eastAsia="ru-RU"/>
        </w:rPr>
      </w:pPr>
      <w:r w:rsidRPr="00341240">
        <w:rPr>
          <w:rFonts w:ascii="Times New Roman" w:eastAsia="Times New Roman" w:hAnsi="Times New Roman" w:cs="Times New Roman"/>
          <w:sz w:val="28"/>
          <w:szCs w:val="28"/>
          <w:lang w:eastAsia="ru-RU"/>
        </w:rPr>
        <w:t>6.Собственные операции на финансовых рынках  ..................................</w:t>
      </w:r>
      <w:r w:rsidRPr="00341240">
        <w:rPr>
          <w:rFonts w:ascii="Times New Roman" w:eastAsia="Times New Roman" w:hAnsi="Times New Roman" w:cs="Times New Roman"/>
          <w:sz w:val="28"/>
          <w:szCs w:val="28"/>
          <w:lang w:eastAsia="ru-RU"/>
        </w:rPr>
        <w:tab/>
        <w:t>стр.30</w:t>
      </w:r>
    </w:p>
    <w:p w:rsidR="00341240" w:rsidRPr="00341240" w:rsidRDefault="00341240" w:rsidP="00341240">
      <w:pPr>
        <w:widowControl w:val="0"/>
        <w:tabs>
          <w:tab w:val="left" w:pos="180"/>
          <w:tab w:val="left" w:pos="8789"/>
        </w:tabs>
        <w:overflowPunct w:val="0"/>
        <w:autoSpaceDE w:val="0"/>
        <w:autoSpaceDN w:val="0"/>
        <w:adjustRightInd w:val="0"/>
        <w:spacing w:after="0" w:line="360" w:lineRule="auto"/>
        <w:ind w:right="76"/>
        <w:textAlignment w:val="baseline"/>
        <w:rPr>
          <w:rFonts w:ascii="Times New Roman" w:eastAsia="Times New Roman" w:hAnsi="Times New Roman" w:cs="Times New Roman"/>
          <w:sz w:val="28"/>
          <w:szCs w:val="28"/>
          <w:lang w:eastAsia="ru-RU"/>
        </w:rPr>
      </w:pPr>
      <w:r w:rsidRPr="00341240">
        <w:rPr>
          <w:rFonts w:ascii="Times New Roman" w:eastAsia="Times New Roman" w:hAnsi="Times New Roman" w:cs="Times New Roman"/>
          <w:sz w:val="28"/>
          <w:szCs w:val="28"/>
          <w:lang w:eastAsia="ru-RU"/>
        </w:rPr>
        <w:t>7.Управление рисками, включая меры по поддержанию качества управ-</w:t>
      </w:r>
    </w:p>
    <w:p w:rsidR="00341240" w:rsidRPr="00341240" w:rsidRDefault="00341240" w:rsidP="00341240">
      <w:pPr>
        <w:widowControl w:val="0"/>
        <w:tabs>
          <w:tab w:val="left" w:pos="180"/>
          <w:tab w:val="left" w:pos="8789"/>
        </w:tabs>
        <w:overflowPunct w:val="0"/>
        <w:autoSpaceDE w:val="0"/>
        <w:autoSpaceDN w:val="0"/>
        <w:adjustRightInd w:val="0"/>
        <w:spacing w:after="0" w:line="360" w:lineRule="auto"/>
        <w:ind w:right="76"/>
        <w:textAlignment w:val="baseline"/>
        <w:rPr>
          <w:rFonts w:ascii="Times New Roman" w:eastAsia="Times New Roman" w:hAnsi="Times New Roman" w:cs="Times New Roman"/>
          <w:sz w:val="28"/>
          <w:szCs w:val="28"/>
          <w:lang w:eastAsia="ru-RU"/>
        </w:rPr>
      </w:pPr>
      <w:r w:rsidRPr="00341240">
        <w:rPr>
          <w:rFonts w:ascii="Times New Roman" w:eastAsia="Times New Roman" w:hAnsi="Times New Roman" w:cs="Times New Roman"/>
          <w:sz w:val="28"/>
          <w:szCs w:val="28"/>
          <w:lang w:eastAsia="ru-RU"/>
        </w:rPr>
        <w:t>ления НКЦ как ЦК.......................................................................................</w:t>
      </w:r>
      <w:r w:rsidRPr="00341240">
        <w:rPr>
          <w:rFonts w:ascii="Times New Roman" w:eastAsia="Times New Roman" w:hAnsi="Times New Roman" w:cs="Times New Roman"/>
          <w:sz w:val="28"/>
          <w:szCs w:val="28"/>
          <w:lang w:eastAsia="ru-RU"/>
        </w:rPr>
        <w:tab/>
        <w:t>стр.34</w:t>
      </w:r>
    </w:p>
    <w:p w:rsidR="00341240" w:rsidRPr="00341240" w:rsidRDefault="00341240" w:rsidP="00341240">
      <w:pPr>
        <w:widowControl w:val="0"/>
        <w:tabs>
          <w:tab w:val="left" w:pos="180"/>
          <w:tab w:val="left" w:pos="8789"/>
        </w:tabs>
        <w:overflowPunct w:val="0"/>
        <w:autoSpaceDE w:val="0"/>
        <w:autoSpaceDN w:val="0"/>
        <w:adjustRightInd w:val="0"/>
        <w:spacing w:after="0" w:line="360" w:lineRule="auto"/>
        <w:ind w:right="76"/>
        <w:textAlignment w:val="baseline"/>
        <w:rPr>
          <w:rFonts w:ascii="Times New Roman" w:eastAsia="Times New Roman" w:hAnsi="Times New Roman" w:cs="Times New Roman"/>
          <w:sz w:val="28"/>
          <w:szCs w:val="28"/>
          <w:lang w:eastAsia="ru-RU"/>
        </w:rPr>
      </w:pPr>
      <w:r w:rsidRPr="00341240">
        <w:rPr>
          <w:rFonts w:ascii="Times New Roman" w:eastAsia="Times New Roman" w:hAnsi="Times New Roman" w:cs="Times New Roman"/>
          <w:sz w:val="28"/>
          <w:szCs w:val="28"/>
          <w:lang w:eastAsia="ru-RU"/>
        </w:rPr>
        <w:t>8.Система внутреннего контроля…………………………………………</w:t>
      </w:r>
      <w:r w:rsidRPr="00341240">
        <w:rPr>
          <w:rFonts w:ascii="Times New Roman" w:eastAsia="Times New Roman" w:hAnsi="Times New Roman" w:cs="Times New Roman"/>
          <w:sz w:val="28"/>
          <w:szCs w:val="28"/>
          <w:lang w:eastAsia="ru-RU"/>
        </w:rPr>
        <w:tab/>
        <w:t>стр.54</w:t>
      </w:r>
    </w:p>
    <w:p w:rsidR="00341240" w:rsidRPr="00341240" w:rsidRDefault="00341240" w:rsidP="00341240">
      <w:pPr>
        <w:widowControl w:val="0"/>
        <w:tabs>
          <w:tab w:val="left" w:pos="8820"/>
        </w:tabs>
        <w:overflowPunct w:val="0"/>
        <w:autoSpaceDE w:val="0"/>
        <w:autoSpaceDN w:val="0"/>
        <w:adjustRightInd w:val="0"/>
        <w:spacing w:after="0" w:line="240" w:lineRule="auto"/>
        <w:ind w:right="76"/>
        <w:textAlignment w:val="baseline"/>
        <w:rPr>
          <w:rFonts w:ascii="Times New Roman" w:eastAsia="Times New Roman" w:hAnsi="Times New Roman" w:cs="Times New Roman"/>
          <w:sz w:val="28"/>
          <w:szCs w:val="28"/>
          <w:lang w:eastAsia="ru-RU"/>
        </w:rPr>
      </w:pPr>
      <w:r w:rsidRPr="00341240">
        <w:rPr>
          <w:rFonts w:ascii="Times New Roman" w:eastAsia="Times New Roman" w:hAnsi="Times New Roman" w:cs="Times New Roman"/>
          <w:sz w:val="28"/>
          <w:szCs w:val="28"/>
          <w:lang w:eastAsia="ru-RU"/>
        </w:rPr>
        <w:t>9.Технологическая платформа ……………………………………………</w:t>
      </w:r>
      <w:r w:rsidRPr="00341240">
        <w:rPr>
          <w:rFonts w:ascii="Times New Roman" w:eastAsia="Times New Roman" w:hAnsi="Times New Roman" w:cs="Times New Roman"/>
          <w:sz w:val="28"/>
          <w:szCs w:val="28"/>
          <w:lang w:eastAsia="ru-RU"/>
        </w:rPr>
        <w:tab/>
        <w:t>стр.58</w:t>
      </w:r>
    </w:p>
    <w:p w:rsidR="00341240" w:rsidRPr="00341240" w:rsidRDefault="00341240" w:rsidP="00341240">
      <w:pPr>
        <w:widowControl w:val="0"/>
        <w:tabs>
          <w:tab w:val="left" w:pos="8820"/>
        </w:tabs>
        <w:overflowPunct w:val="0"/>
        <w:autoSpaceDE w:val="0"/>
        <w:autoSpaceDN w:val="0"/>
        <w:adjustRightInd w:val="0"/>
        <w:spacing w:after="0" w:line="240" w:lineRule="auto"/>
        <w:ind w:right="76"/>
        <w:textAlignment w:val="baseline"/>
        <w:rPr>
          <w:rFonts w:ascii="Times New Roman" w:eastAsia="Times New Roman" w:hAnsi="Times New Roman" w:cs="Times New Roman"/>
          <w:sz w:val="28"/>
          <w:szCs w:val="28"/>
          <w:lang w:eastAsia="ru-RU"/>
        </w:rPr>
      </w:pPr>
      <w:r w:rsidRPr="00341240">
        <w:rPr>
          <w:rFonts w:ascii="Times New Roman" w:eastAsia="Times New Roman" w:hAnsi="Times New Roman" w:cs="Times New Roman"/>
          <w:sz w:val="28"/>
          <w:szCs w:val="28"/>
          <w:lang w:eastAsia="ru-RU"/>
        </w:rPr>
        <w:t>10.Основные финансовые результаты…………………………………...</w:t>
      </w:r>
      <w:r w:rsidRPr="00341240">
        <w:rPr>
          <w:rFonts w:ascii="Times New Roman" w:eastAsia="Times New Roman" w:hAnsi="Times New Roman" w:cs="Times New Roman"/>
          <w:sz w:val="28"/>
          <w:szCs w:val="28"/>
          <w:lang w:eastAsia="ru-RU"/>
        </w:rPr>
        <w:tab/>
        <w:t>стр.</w:t>
      </w:r>
      <w:r w:rsidR="00176DC0">
        <w:rPr>
          <w:rFonts w:ascii="Times New Roman" w:eastAsia="Times New Roman" w:hAnsi="Times New Roman" w:cs="Times New Roman"/>
          <w:sz w:val="28"/>
          <w:szCs w:val="28"/>
          <w:lang w:eastAsia="ru-RU"/>
        </w:rPr>
        <w:t>60</w:t>
      </w:r>
    </w:p>
    <w:p w:rsidR="00341240" w:rsidRPr="00341240" w:rsidRDefault="00341240" w:rsidP="00341240">
      <w:pPr>
        <w:widowControl w:val="0"/>
        <w:tabs>
          <w:tab w:val="left" w:pos="8820"/>
        </w:tabs>
        <w:overflowPunct w:val="0"/>
        <w:autoSpaceDE w:val="0"/>
        <w:autoSpaceDN w:val="0"/>
        <w:adjustRightInd w:val="0"/>
        <w:spacing w:after="0" w:line="240" w:lineRule="auto"/>
        <w:ind w:right="76"/>
        <w:textAlignment w:val="baseline"/>
        <w:rPr>
          <w:rFonts w:ascii="Times New Roman" w:eastAsia="Times New Roman" w:hAnsi="Times New Roman" w:cs="Times New Roman"/>
          <w:sz w:val="28"/>
          <w:szCs w:val="28"/>
          <w:lang w:eastAsia="ru-RU"/>
        </w:rPr>
      </w:pPr>
      <w:r w:rsidRPr="00341240">
        <w:rPr>
          <w:rFonts w:ascii="Times New Roman" w:eastAsia="Times New Roman" w:hAnsi="Times New Roman" w:cs="Times New Roman"/>
          <w:sz w:val="28"/>
          <w:szCs w:val="28"/>
          <w:lang w:eastAsia="ru-RU"/>
        </w:rPr>
        <w:t>1</w:t>
      </w:r>
      <w:r w:rsidR="00337E4A">
        <w:rPr>
          <w:rFonts w:ascii="Times New Roman" w:eastAsia="Times New Roman" w:hAnsi="Times New Roman" w:cs="Times New Roman"/>
          <w:sz w:val="28"/>
          <w:szCs w:val="28"/>
          <w:lang w:eastAsia="ru-RU"/>
        </w:rPr>
        <w:t>1</w:t>
      </w:r>
      <w:r w:rsidRPr="00341240">
        <w:rPr>
          <w:rFonts w:ascii="Times New Roman" w:eastAsia="Times New Roman" w:hAnsi="Times New Roman" w:cs="Times New Roman"/>
          <w:sz w:val="28"/>
          <w:szCs w:val="28"/>
          <w:lang w:eastAsia="ru-RU"/>
        </w:rPr>
        <w:t>.Кадровая  политика. Информация об оплате труда НКЦ …………..</w:t>
      </w:r>
      <w:r w:rsidRPr="00341240">
        <w:rPr>
          <w:rFonts w:ascii="Times New Roman" w:eastAsia="Times New Roman" w:hAnsi="Times New Roman" w:cs="Times New Roman"/>
          <w:sz w:val="28"/>
          <w:szCs w:val="28"/>
          <w:lang w:eastAsia="ru-RU"/>
        </w:rPr>
        <w:tab/>
        <w:t>стр.</w:t>
      </w:r>
      <w:r w:rsidR="00176DC0">
        <w:rPr>
          <w:rFonts w:ascii="Times New Roman" w:eastAsia="Times New Roman" w:hAnsi="Times New Roman" w:cs="Times New Roman"/>
          <w:sz w:val="28"/>
          <w:szCs w:val="28"/>
          <w:lang w:eastAsia="ru-RU"/>
        </w:rPr>
        <w:t>63</w:t>
      </w:r>
    </w:p>
    <w:p w:rsidR="00341240" w:rsidRPr="00341240" w:rsidRDefault="00341240" w:rsidP="00341240">
      <w:pPr>
        <w:widowControl w:val="0"/>
        <w:tabs>
          <w:tab w:val="left" w:pos="8820"/>
        </w:tabs>
        <w:overflowPunct w:val="0"/>
        <w:autoSpaceDE w:val="0"/>
        <w:autoSpaceDN w:val="0"/>
        <w:adjustRightInd w:val="0"/>
        <w:spacing w:after="0" w:line="240" w:lineRule="auto"/>
        <w:ind w:right="76"/>
        <w:textAlignment w:val="baseline"/>
        <w:rPr>
          <w:rFonts w:ascii="Times New Roman" w:eastAsia="Times New Roman" w:hAnsi="Times New Roman" w:cs="Times New Roman"/>
          <w:sz w:val="28"/>
          <w:szCs w:val="28"/>
          <w:lang w:eastAsia="ru-RU"/>
        </w:rPr>
      </w:pPr>
      <w:r w:rsidRPr="00341240">
        <w:rPr>
          <w:rFonts w:ascii="Times New Roman" w:eastAsia="Times New Roman" w:hAnsi="Times New Roman" w:cs="Times New Roman"/>
          <w:sz w:val="28"/>
          <w:szCs w:val="28"/>
          <w:lang w:eastAsia="ru-RU"/>
        </w:rPr>
        <w:t>1</w:t>
      </w:r>
      <w:r w:rsidR="00337E4A">
        <w:rPr>
          <w:rFonts w:ascii="Times New Roman" w:eastAsia="Times New Roman" w:hAnsi="Times New Roman" w:cs="Times New Roman"/>
          <w:sz w:val="28"/>
          <w:szCs w:val="28"/>
          <w:lang w:eastAsia="ru-RU"/>
        </w:rPr>
        <w:t>2</w:t>
      </w:r>
      <w:r w:rsidRPr="00341240">
        <w:rPr>
          <w:rFonts w:ascii="Times New Roman" w:eastAsia="Times New Roman" w:hAnsi="Times New Roman" w:cs="Times New Roman"/>
          <w:sz w:val="28"/>
          <w:szCs w:val="28"/>
          <w:lang w:eastAsia="ru-RU"/>
        </w:rPr>
        <w:t xml:space="preserve">.О вознаграждении Председателя Правления, членов Правления и </w:t>
      </w:r>
    </w:p>
    <w:p w:rsidR="00341240" w:rsidRPr="00341240" w:rsidRDefault="00341240" w:rsidP="00341240">
      <w:pPr>
        <w:widowControl w:val="0"/>
        <w:tabs>
          <w:tab w:val="left" w:pos="8820"/>
        </w:tabs>
        <w:overflowPunct w:val="0"/>
        <w:autoSpaceDE w:val="0"/>
        <w:autoSpaceDN w:val="0"/>
        <w:adjustRightInd w:val="0"/>
        <w:spacing w:after="0" w:line="240" w:lineRule="auto"/>
        <w:ind w:right="76"/>
        <w:textAlignment w:val="baseline"/>
        <w:rPr>
          <w:rFonts w:ascii="Times New Roman" w:eastAsia="Times New Roman" w:hAnsi="Times New Roman" w:cs="Times New Roman"/>
          <w:sz w:val="28"/>
          <w:szCs w:val="28"/>
          <w:lang w:eastAsia="ru-RU"/>
        </w:rPr>
      </w:pPr>
      <w:r w:rsidRPr="00341240">
        <w:rPr>
          <w:rFonts w:ascii="Times New Roman" w:eastAsia="Times New Roman" w:hAnsi="Times New Roman" w:cs="Times New Roman"/>
          <w:sz w:val="28"/>
          <w:szCs w:val="28"/>
          <w:lang w:eastAsia="ru-RU"/>
        </w:rPr>
        <w:t>членов Наблюдательного совета (критерии определения и размер вознаграждения)……………………………………………………………</w:t>
      </w:r>
      <w:r w:rsidRPr="00341240">
        <w:rPr>
          <w:rFonts w:ascii="Times New Roman" w:eastAsia="Times New Roman" w:hAnsi="Times New Roman" w:cs="Times New Roman"/>
          <w:sz w:val="28"/>
          <w:szCs w:val="28"/>
          <w:lang w:eastAsia="ru-RU"/>
        </w:rPr>
        <w:tab/>
        <w:t>стр.</w:t>
      </w:r>
      <w:r w:rsidR="00176DC0">
        <w:rPr>
          <w:rFonts w:ascii="Times New Roman" w:eastAsia="Times New Roman" w:hAnsi="Times New Roman" w:cs="Times New Roman"/>
          <w:sz w:val="28"/>
          <w:szCs w:val="28"/>
          <w:lang w:eastAsia="ru-RU"/>
        </w:rPr>
        <w:t>67</w:t>
      </w:r>
    </w:p>
    <w:p w:rsidR="00341240" w:rsidRPr="00341240" w:rsidRDefault="00341240" w:rsidP="00341240">
      <w:pPr>
        <w:widowControl w:val="0"/>
        <w:tabs>
          <w:tab w:val="left" w:pos="8820"/>
        </w:tabs>
        <w:overflowPunct w:val="0"/>
        <w:autoSpaceDE w:val="0"/>
        <w:autoSpaceDN w:val="0"/>
        <w:adjustRightInd w:val="0"/>
        <w:spacing w:after="0" w:line="240" w:lineRule="auto"/>
        <w:ind w:right="76"/>
        <w:textAlignment w:val="baseline"/>
        <w:rPr>
          <w:rFonts w:ascii="Times New Roman" w:eastAsia="Times New Roman" w:hAnsi="Times New Roman" w:cs="Times New Roman"/>
          <w:sz w:val="28"/>
          <w:szCs w:val="28"/>
          <w:lang w:eastAsia="ru-RU"/>
        </w:rPr>
      </w:pPr>
      <w:r w:rsidRPr="00341240">
        <w:rPr>
          <w:rFonts w:ascii="Times New Roman" w:eastAsia="Times New Roman" w:hAnsi="Times New Roman" w:cs="Times New Roman"/>
          <w:sz w:val="28"/>
          <w:szCs w:val="28"/>
          <w:lang w:eastAsia="ru-RU"/>
        </w:rPr>
        <w:t>1</w:t>
      </w:r>
      <w:r w:rsidR="00D536DA">
        <w:rPr>
          <w:rFonts w:ascii="Times New Roman" w:eastAsia="Times New Roman" w:hAnsi="Times New Roman" w:cs="Times New Roman"/>
          <w:sz w:val="28"/>
          <w:szCs w:val="28"/>
          <w:lang w:eastAsia="ru-RU"/>
        </w:rPr>
        <w:t>3</w:t>
      </w:r>
      <w:r w:rsidRPr="00341240">
        <w:rPr>
          <w:rFonts w:ascii="Times New Roman" w:eastAsia="Times New Roman" w:hAnsi="Times New Roman" w:cs="Times New Roman"/>
          <w:sz w:val="28"/>
          <w:szCs w:val="28"/>
          <w:lang w:eastAsia="ru-RU"/>
        </w:rPr>
        <w:t>.О дивидендах по акциям……………………………………………….</w:t>
      </w:r>
      <w:r w:rsidRPr="00341240">
        <w:rPr>
          <w:rFonts w:ascii="Times New Roman" w:eastAsia="Times New Roman" w:hAnsi="Times New Roman" w:cs="Times New Roman"/>
          <w:sz w:val="28"/>
          <w:szCs w:val="28"/>
          <w:lang w:eastAsia="ru-RU"/>
        </w:rPr>
        <w:tab/>
        <w:t>стр.</w:t>
      </w:r>
      <w:r w:rsidR="00176DC0">
        <w:rPr>
          <w:rFonts w:ascii="Times New Roman" w:eastAsia="Times New Roman" w:hAnsi="Times New Roman" w:cs="Times New Roman"/>
          <w:sz w:val="28"/>
          <w:szCs w:val="28"/>
          <w:lang w:eastAsia="ru-RU"/>
        </w:rPr>
        <w:t>68</w:t>
      </w:r>
    </w:p>
    <w:p w:rsidR="00341240" w:rsidRPr="00341240" w:rsidRDefault="00341240" w:rsidP="00341240">
      <w:pPr>
        <w:widowControl w:val="0"/>
        <w:tabs>
          <w:tab w:val="left" w:pos="8820"/>
        </w:tabs>
        <w:overflowPunct w:val="0"/>
        <w:autoSpaceDE w:val="0"/>
        <w:autoSpaceDN w:val="0"/>
        <w:adjustRightInd w:val="0"/>
        <w:spacing w:after="0" w:line="240" w:lineRule="auto"/>
        <w:ind w:right="76"/>
        <w:textAlignment w:val="baseline"/>
        <w:rPr>
          <w:rFonts w:ascii="Times New Roman" w:eastAsia="Times New Roman" w:hAnsi="Times New Roman" w:cs="Times New Roman"/>
          <w:sz w:val="28"/>
          <w:szCs w:val="28"/>
          <w:lang w:eastAsia="ru-RU"/>
        </w:rPr>
      </w:pPr>
      <w:r w:rsidRPr="00341240">
        <w:rPr>
          <w:rFonts w:ascii="Times New Roman" w:eastAsia="Times New Roman" w:hAnsi="Times New Roman" w:cs="Times New Roman"/>
          <w:sz w:val="28"/>
          <w:szCs w:val="28"/>
          <w:lang w:eastAsia="ru-RU"/>
        </w:rPr>
        <w:t>1</w:t>
      </w:r>
      <w:r w:rsidR="00D536DA">
        <w:rPr>
          <w:rFonts w:ascii="Times New Roman" w:eastAsia="Times New Roman" w:hAnsi="Times New Roman" w:cs="Times New Roman"/>
          <w:sz w:val="28"/>
          <w:szCs w:val="28"/>
          <w:lang w:eastAsia="ru-RU"/>
        </w:rPr>
        <w:t>4</w:t>
      </w:r>
      <w:r w:rsidRPr="00341240">
        <w:rPr>
          <w:rFonts w:ascii="Times New Roman" w:eastAsia="Times New Roman" w:hAnsi="Times New Roman" w:cs="Times New Roman"/>
          <w:sz w:val="28"/>
          <w:szCs w:val="28"/>
          <w:lang w:eastAsia="ru-RU"/>
        </w:rPr>
        <w:t>.О соблюдении Кодекса корпоративного управления ………….…….</w:t>
      </w:r>
      <w:r w:rsidRPr="00341240">
        <w:rPr>
          <w:rFonts w:ascii="Times New Roman" w:eastAsia="Times New Roman" w:hAnsi="Times New Roman" w:cs="Times New Roman"/>
          <w:sz w:val="28"/>
          <w:szCs w:val="28"/>
          <w:lang w:eastAsia="ru-RU"/>
        </w:rPr>
        <w:tab/>
        <w:t>стр.</w:t>
      </w:r>
      <w:r w:rsidR="00176DC0">
        <w:rPr>
          <w:rFonts w:ascii="Times New Roman" w:eastAsia="Times New Roman" w:hAnsi="Times New Roman" w:cs="Times New Roman"/>
          <w:sz w:val="28"/>
          <w:szCs w:val="28"/>
          <w:lang w:eastAsia="ru-RU"/>
        </w:rPr>
        <w:t>69</w:t>
      </w:r>
    </w:p>
    <w:p w:rsidR="00341240" w:rsidRPr="00341240" w:rsidRDefault="00341240" w:rsidP="00341240">
      <w:pPr>
        <w:widowControl w:val="0"/>
        <w:tabs>
          <w:tab w:val="left" w:pos="8820"/>
        </w:tabs>
        <w:overflowPunct w:val="0"/>
        <w:autoSpaceDE w:val="0"/>
        <w:autoSpaceDN w:val="0"/>
        <w:adjustRightInd w:val="0"/>
        <w:spacing w:after="0" w:line="240" w:lineRule="auto"/>
        <w:ind w:right="76"/>
        <w:textAlignment w:val="baseline"/>
        <w:rPr>
          <w:rFonts w:ascii="Times New Roman" w:eastAsia="Times New Roman" w:hAnsi="Times New Roman" w:cs="Times New Roman"/>
          <w:sz w:val="28"/>
          <w:szCs w:val="28"/>
          <w:lang w:eastAsia="ru-RU"/>
        </w:rPr>
      </w:pPr>
    </w:p>
    <w:p w:rsidR="00341240" w:rsidRPr="00341240" w:rsidRDefault="00341240" w:rsidP="00341240">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p w:rsidR="00341240" w:rsidRPr="00341240" w:rsidRDefault="00341240" w:rsidP="00341240">
      <w:pPr>
        <w:widowControl w:val="0"/>
        <w:overflowPunct w:val="0"/>
        <w:autoSpaceDE w:val="0"/>
        <w:autoSpaceDN w:val="0"/>
        <w:adjustRightInd w:val="0"/>
        <w:spacing w:after="0" w:line="240" w:lineRule="auto"/>
        <w:ind w:firstLine="360"/>
        <w:jc w:val="center"/>
        <w:textAlignment w:val="baseline"/>
        <w:outlineLvl w:val="0"/>
        <w:rPr>
          <w:rFonts w:ascii="Times New Roman" w:eastAsia="Times New Roman" w:hAnsi="Times New Roman" w:cs="Arial"/>
          <w:b/>
          <w:sz w:val="28"/>
          <w:szCs w:val="28"/>
          <w:lang w:eastAsia="ru-RU"/>
        </w:rPr>
      </w:pPr>
    </w:p>
    <w:p w:rsidR="00341240" w:rsidRPr="00341240" w:rsidRDefault="00341240" w:rsidP="00341240">
      <w:pPr>
        <w:widowControl w:val="0"/>
        <w:overflowPunct w:val="0"/>
        <w:autoSpaceDE w:val="0"/>
        <w:autoSpaceDN w:val="0"/>
        <w:adjustRightInd w:val="0"/>
        <w:spacing w:after="0" w:line="240" w:lineRule="auto"/>
        <w:ind w:firstLine="360"/>
        <w:jc w:val="center"/>
        <w:textAlignment w:val="baseline"/>
        <w:outlineLvl w:val="0"/>
        <w:rPr>
          <w:rFonts w:ascii="Times New Roman" w:eastAsia="Times New Roman" w:hAnsi="Times New Roman" w:cs="Arial"/>
          <w:b/>
          <w:sz w:val="28"/>
          <w:szCs w:val="28"/>
          <w:lang w:eastAsia="ru-RU"/>
        </w:rPr>
      </w:pPr>
    </w:p>
    <w:p w:rsidR="00341240" w:rsidRPr="00341240" w:rsidRDefault="00341240" w:rsidP="00341240">
      <w:pPr>
        <w:widowControl w:val="0"/>
        <w:overflowPunct w:val="0"/>
        <w:autoSpaceDE w:val="0"/>
        <w:autoSpaceDN w:val="0"/>
        <w:adjustRightInd w:val="0"/>
        <w:spacing w:after="0" w:line="240" w:lineRule="auto"/>
        <w:ind w:firstLine="360"/>
        <w:jc w:val="center"/>
        <w:textAlignment w:val="baseline"/>
        <w:outlineLvl w:val="0"/>
        <w:rPr>
          <w:rFonts w:ascii="Times New Roman" w:eastAsia="Times New Roman" w:hAnsi="Times New Roman" w:cs="Arial"/>
          <w:b/>
          <w:sz w:val="28"/>
          <w:szCs w:val="28"/>
          <w:lang w:eastAsia="ru-RU"/>
        </w:rPr>
      </w:pPr>
    </w:p>
    <w:p w:rsidR="00341240" w:rsidRPr="00341240" w:rsidRDefault="00341240" w:rsidP="00341240">
      <w:pPr>
        <w:widowControl w:val="0"/>
        <w:overflowPunct w:val="0"/>
        <w:autoSpaceDE w:val="0"/>
        <w:autoSpaceDN w:val="0"/>
        <w:adjustRightInd w:val="0"/>
        <w:spacing w:after="0" w:line="240" w:lineRule="auto"/>
        <w:ind w:firstLine="360"/>
        <w:jc w:val="center"/>
        <w:textAlignment w:val="baseline"/>
        <w:outlineLvl w:val="0"/>
        <w:rPr>
          <w:rFonts w:ascii="Times New Roman" w:eastAsia="Times New Roman" w:hAnsi="Times New Roman" w:cs="Arial"/>
          <w:b/>
          <w:sz w:val="28"/>
          <w:szCs w:val="28"/>
          <w:lang w:eastAsia="ru-RU"/>
        </w:rPr>
      </w:pPr>
    </w:p>
    <w:p w:rsidR="00341240" w:rsidRPr="00341240" w:rsidRDefault="00341240" w:rsidP="00341240">
      <w:pPr>
        <w:widowControl w:val="0"/>
        <w:overflowPunct w:val="0"/>
        <w:autoSpaceDE w:val="0"/>
        <w:autoSpaceDN w:val="0"/>
        <w:adjustRightInd w:val="0"/>
        <w:spacing w:after="0" w:line="240" w:lineRule="auto"/>
        <w:ind w:firstLine="360"/>
        <w:jc w:val="center"/>
        <w:textAlignment w:val="baseline"/>
        <w:outlineLvl w:val="0"/>
        <w:rPr>
          <w:rFonts w:ascii="Times New Roman" w:eastAsia="Times New Roman" w:hAnsi="Times New Roman" w:cs="Arial"/>
          <w:b/>
          <w:sz w:val="28"/>
          <w:szCs w:val="28"/>
          <w:lang w:eastAsia="ru-RU"/>
        </w:rPr>
      </w:pPr>
    </w:p>
    <w:p w:rsidR="00341240" w:rsidRPr="00341240" w:rsidRDefault="00341240" w:rsidP="00341240">
      <w:pPr>
        <w:widowControl w:val="0"/>
        <w:overflowPunct w:val="0"/>
        <w:autoSpaceDE w:val="0"/>
        <w:autoSpaceDN w:val="0"/>
        <w:adjustRightInd w:val="0"/>
        <w:spacing w:after="0" w:line="240" w:lineRule="auto"/>
        <w:ind w:firstLine="360"/>
        <w:jc w:val="center"/>
        <w:textAlignment w:val="baseline"/>
        <w:outlineLvl w:val="0"/>
        <w:rPr>
          <w:rFonts w:ascii="Times New Roman" w:eastAsia="Times New Roman" w:hAnsi="Times New Roman" w:cs="Arial"/>
          <w:b/>
          <w:sz w:val="28"/>
          <w:szCs w:val="28"/>
          <w:lang w:eastAsia="ru-RU"/>
        </w:rPr>
      </w:pPr>
    </w:p>
    <w:p w:rsidR="00341240" w:rsidRPr="00341240" w:rsidRDefault="00341240" w:rsidP="00341240">
      <w:pPr>
        <w:widowControl w:val="0"/>
        <w:overflowPunct w:val="0"/>
        <w:autoSpaceDE w:val="0"/>
        <w:autoSpaceDN w:val="0"/>
        <w:adjustRightInd w:val="0"/>
        <w:spacing w:after="0" w:line="240" w:lineRule="auto"/>
        <w:ind w:firstLine="360"/>
        <w:jc w:val="center"/>
        <w:textAlignment w:val="baseline"/>
        <w:outlineLvl w:val="0"/>
        <w:rPr>
          <w:rFonts w:ascii="Times New Roman" w:eastAsia="Times New Roman" w:hAnsi="Times New Roman" w:cs="Arial"/>
          <w:b/>
          <w:sz w:val="28"/>
          <w:szCs w:val="28"/>
          <w:lang w:eastAsia="ru-RU"/>
        </w:rPr>
      </w:pPr>
    </w:p>
    <w:p w:rsidR="00341240" w:rsidRPr="00341240" w:rsidRDefault="00341240" w:rsidP="00341240">
      <w:pPr>
        <w:widowControl w:val="0"/>
        <w:overflowPunct w:val="0"/>
        <w:autoSpaceDE w:val="0"/>
        <w:autoSpaceDN w:val="0"/>
        <w:adjustRightInd w:val="0"/>
        <w:spacing w:after="0" w:line="240" w:lineRule="auto"/>
        <w:ind w:firstLine="360"/>
        <w:jc w:val="center"/>
        <w:textAlignment w:val="baseline"/>
        <w:outlineLvl w:val="0"/>
        <w:rPr>
          <w:rFonts w:ascii="Times New Roman" w:eastAsia="Times New Roman" w:hAnsi="Times New Roman" w:cs="Arial"/>
          <w:b/>
          <w:sz w:val="28"/>
          <w:szCs w:val="28"/>
          <w:lang w:eastAsia="ru-RU"/>
        </w:rPr>
      </w:pPr>
    </w:p>
    <w:p w:rsidR="00341240" w:rsidRPr="00341240" w:rsidRDefault="00341240" w:rsidP="00341240">
      <w:pPr>
        <w:widowControl w:val="0"/>
        <w:overflowPunct w:val="0"/>
        <w:autoSpaceDE w:val="0"/>
        <w:autoSpaceDN w:val="0"/>
        <w:adjustRightInd w:val="0"/>
        <w:spacing w:after="0" w:line="240" w:lineRule="auto"/>
        <w:ind w:firstLine="360"/>
        <w:jc w:val="center"/>
        <w:textAlignment w:val="baseline"/>
        <w:outlineLvl w:val="0"/>
        <w:rPr>
          <w:rFonts w:ascii="Times New Roman" w:eastAsia="Times New Roman" w:hAnsi="Times New Roman" w:cs="Arial"/>
          <w:b/>
          <w:sz w:val="28"/>
          <w:szCs w:val="28"/>
          <w:lang w:eastAsia="ru-RU"/>
        </w:rPr>
      </w:pPr>
    </w:p>
    <w:p w:rsidR="00341240" w:rsidRPr="00341240" w:rsidRDefault="00341240" w:rsidP="00341240">
      <w:pPr>
        <w:widowControl w:val="0"/>
        <w:overflowPunct w:val="0"/>
        <w:autoSpaceDE w:val="0"/>
        <w:autoSpaceDN w:val="0"/>
        <w:adjustRightInd w:val="0"/>
        <w:spacing w:after="0" w:line="240" w:lineRule="auto"/>
        <w:ind w:firstLine="360"/>
        <w:jc w:val="center"/>
        <w:textAlignment w:val="baseline"/>
        <w:outlineLvl w:val="0"/>
        <w:rPr>
          <w:rFonts w:ascii="Times New Roman" w:eastAsia="Times New Roman" w:hAnsi="Times New Roman" w:cs="Arial"/>
          <w:b/>
          <w:sz w:val="28"/>
          <w:szCs w:val="28"/>
          <w:lang w:eastAsia="ru-RU"/>
        </w:rPr>
      </w:pPr>
    </w:p>
    <w:p w:rsidR="00341240" w:rsidRPr="00341240" w:rsidRDefault="00341240" w:rsidP="00341240">
      <w:pPr>
        <w:widowControl w:val="0"/>
        <w:overflowPunct w:val="0"/>
        <w:autoSpaceDE w:val="0"/>
        <w:autoSpaceDN w:val="0"/>
        <w:adjustRightInd w:val="0"/>
        <w:spacing w:after="0" w:line="240" w:lineRule="auto"/>
        <w:ind w:firstLine="360"/>
        <w:jc w:val="center"/>
        <w:textAlignment w:val="baseline"/>
        <w:outlineLvl w:val="0"/>
        <w:rPr>
          <w:rFonts w:ascii="Times New Roman" w:eastAsia="Times New Roman" w:hAnsi="Times New Roman" w:cs="Arial"/>
          <w:b/>
          <w:sz w:val="28"/>
          <w:szCs w:val="28"/>
          <w:lang w:eastAsia="ru-RU"/>
        </w:rPr>
      </w:pPr>
    </w:p>
    <w:p w:rsidR="00341240" w:rsidRPr="00341240" w:rsidRDefault="00341240" w:rsidP="00341240">
      <w:pPr>
        <w:widowControl w:val="0"/>
        <w:overflowPunct w:val="0"/>
        <w:autoSpaceDE w:val="0"/>
        <w:autoSpaceDN w:val="0"/>
        <w:adjustRightInd w:val="0"/>
        <w:spacing w:after="0" w:line="240" w:lineRule="auto"/>
        <w:ind w:firstLine="360"/>
        <w:jc w:val="center"/>
        <w:textAlignment w:val="baseline"/>
        <w:outlineLvl w:val="0"/>
        <w:rPr>
          <w:rFonts w:ascii="Times New Roman" w:eastAsia="Times New Roman" w:hAnsi="Times New Roman" w:cs="Arial"/>
          <w:b/>
          <w:sz w:val="28"/>
          <w:szCs w:val="28"/>
          <w:lang w:eastAsia="ru-RU"/>
        </w:rPr>
      </w:pPr>
    </w:p>
    <w:p w:rsidR="005224C5" w:rsidRDefault="005224C5" w:rsidP="00341240">
      <w:pPr>
        <w:widowControl w:val="0"/>
        <w:overflowPunct w:val="0"/>
        <w:autoSpaceDE w:val="0"/>
        <w:autoSpaceDN w:val="0"/>
        <w:adjustRightInd w:val="0"/>
        <w:spacing w:after="0" w:line="240" w:lineRule="auto"/>
        <w:ind w:firstLine="360"/>
        <w:jc w:val="center"/>
        <w:textAlignment w:val="baseline"/>
        <w:outlineLvl w:val="0"/>
        <w:rPr>
          <w:rFonts w:ascii="Times New Roman" w:eastAsia="Times New Roman" w:hAnsi="Times New Roman" w:cs="Arial"/>
          <w:b/>
          <w:sz w:val="28"/>
          <w:szCs w:val="28"/>
          <w:lang w:eastAsia="ru-RU"/>
        </w:rPr>
      </w:pPr>
    </w:p>
    <w:p w:rsidR="00341240" w:rsidRPr="00341240" w:rsidRDefault="00341240" w:rsidP="00341240">
      <w:pPr>
        <w:widowControl w:val="0"/>
        <w:overflowPunct w:val="0"/>
        <w:autoSpaceDE w:val="0"/>
        <w:autoSpaceDN w:val="0"/>
        <w:adjustRightInd w:val="0"/>
        <w:spacing w:after="0" w:line="240" w:lineRule="auto"/>
        <w:ind w:firstLine="360"/>
        <w:jc w:val="center"/>
        <w:textAlignment w:val="baseline"/>
        <w:outlineLvl w:val="0"/>
        <w:rPr>
          <w:rFonts w:ascii="Times New Roman" w:eastAsia="Times New Roman" w:hAnsi="Times New Roman" w:cs="Arial"/>
          <w:b/>
          <w:sz w:val="28"/>
          <w:szCs w:val="28"/>
          <w:lang w:eastAsia="ru-RU"/>
        </w:rPr>
      </w:pPr>
      <w:bookmarkStart w:id="0" w:name="_GoBack"/>
      <w:bookmarkEnd w:id="0"/>
      <w:r w:rsidRPr="00341240">
        <w:rPr>
          <w:rFonts w:ascii="Times New Roman" w:eastAsia="Times New Roman" w:hAnsi="Times New Roman" w:cs="Arial"/>
          <w:b/>
          <w:sz w:val="28"/>
          <w:szCs w:val="28"/>
          <w:lang w:eastAsia="ru-RU"/>
        </w:rPr>
        <w:t>1. Общие сведения.</w:t>
      </w: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Arial"/>
          <w:sz w:val="24"/>
          <w:szCs w:val="28"/>
          <w:lang w:eastAsia="ru-RU"/>
        </w:rPr>
      </w:pPr>
    </w:p>
    <w:p w:rsidR="00341240" w:rsidRPr="00341240" w:rsidRDefault="00341240" w:rsidP="00341240">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Arial"/>
          <w:sz w:val="24"/>
          <w:szCs w:val="28"/>
          <w:lang w:eastAsia="ru-RU"/>
        </w:rPr>
      </w:pPr>
      <w:r w:rsidRPr="00341240">
        <w:rPr>
          <w:rFonts w:ascii="Times New Roman" w:eastAsia="Times New Roman" w:hAnsi="Times New Roman" w:cs="Arial"/>
          <w:sz w:val="24"/>
          <w:szCs w:val="28"/>
          <w:lang w:eastAsia="ru-RU"/>
        </w:rPr>
        <w:t>Банк «Национальный Клиринговый Центр» (Акционерное общество) (далее – Банк, НКЦ) был создан в соответствии с решением Общего собрания учредителей в 2005 году с наименованиями Акционерный Коммерческий Банк «Национальный Клиринговый Центр» (Закрытое акционерное общество) ЗАО АКБ «Национальный Клиринговый Центр» и зарегистрирован в Межрайонной ИФНС № 50 по г. Москве 30 мая 2006 года (свидетельство о государственной регистрации юридического лица серия 77 № 010075586 от 30.05.2006, ОГРН – 1067711004481).</w:t>
      </w:r>
    </w:p>
    <w:p w:rsidR="00341240" w:rsidRPr="00341240" w:rsidRDefault="00341240" w:rsidP="00341240">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Arial"/>
          <w:sz w:val="24"/>
          <w:szCs w:val="28"/>
          <w:lang w:eastAsia="ru-RU"/>
        </w:rPr>
      </w:pPr>
      <w:r w:rsidRPr="00341240">
        <w:rPr>
          <w:rFonts w:ascii="Times New Roman" w:eastAsia="Times New Roman" w:hAnsi="Times New Roman" w:cs="Arial"/>
          <w:sz w:val="24"/>
          <w:szCs w:val="28"/>
          <w:lang w:eastAsia="ru-RU"/>
        </w:rPr>
        <w:t xml:space="preserve">30 мая 2006 года Банк получил Свидетельство Банка России о государственной регистрации кредитной организации № 3466, а 16 августа 2006 года - лицензию Банка России на осуществление банковских операций со средствами в рублях и иностранной валюте № 3466 (без права привлечения во вклады денежных средств физических лиц). </w:t>
      </w:r>
    </w:p>
    <w:p w:rsidR="00341240" w:rsidRPr="00341240" w:rsidRDefault="00341240" w:rsidP="00341240">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Arial"/>
          <w:sz w:val="24"/>
          <w:szCs w:val="28"/>
          <w:lang w:eastAsia="ru-RU"/>
        </w:rPr>
      </w:pPr>
      <w:r w:rsidRPr="00341240">
        <w:rPr>
          <w:rFonts w:ascii="Times New Roman" w:eastAsia="Times New Roman" w:hAnsi="Times New Roman" w:cs="Arial"/>
          <w:sz w:val="24"/>
          <w:szCs w:val="28"/>
          <w:lang w:eastAsia="ru-RU"/>
        </w:rPr>
        <w:t>В 2014 году Банк был реорганизован в форме присоединения к нему Небанковской Кредитной Организации «Расчетная палата РТС» (закрытое акционерное общество) и Закрытого акционерного общества «Клиринговый центр РТС». Банк является правопреемником указанных юридических лиц, к Банку перешли все их права и обязанности, включая обязательства, оспариваемые сторонами.</w:t>
      </w:r>
    </w:p>
    <w:p w:rsidR="00341240" w:rsidRPr="00341240" w:rsidRDefault="00341240" w:rsidP="00341240">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Arial"/>
          <w:sz w:val="24"/>
          <w:szCs w:val="28"/>
          <w:lang w:eastAsia="ru-RU"/>
        </w:rPr>
      </w:pPr>
      <w:r w:rsidRPr="00341240">
        <w:rPr>
          <w:rFonts w:ascii="Times New Roman" w:eastAsia="Times New Roman" w:hAnsi="Times New Roman" w:cs="Arial"/>
          <w:sz w:val="24"/>
          <w:szCs w:val="28"/>
          <w:lang w:eastAsia="ru-RU"/>
        </w:rPr>
        <w:t>В соответствии с решением единственного акционера Банка наименования Банка были приведены в соответствие с действующим законодательством и определены как: Банк «Национальный Клиринговый Центр» (Акционерное общество), сокращенно - Банк НКЦ (АО).</w:t>
      </w:r>
    </w:p>
    <w:p w:rsidR="00341240" w:rsidRPr="00341240" w:rsidRDefault="00341240" w:rsidP="00341240">
      <w:pPr>
        <w:widowControl w:val="0"/>
        <w:tabs>
          <w:tab w:val="left" w:pos="567"/>
        </w:tabs>
        <w:overflowPunct w:val="0"/>
        <w:autoSpaceDE w:val="0"/>
        <w:autoSpaceDN w:val="0"/>
        <w:adjustRightInd w:val="0"/>
        <w:spacing w:after="0" w:line="240" w:lineRule="auto"/>
        <w:ind w:firstLine="567"/>
        <w:jc w:val="both"/>
        <w:textAlignment w:val="baseline"/>
        <w:rPr>
          <w:rFonts w:ascii="Times New Roman" w:eastAsia="Times New Roman" w:hAnsi="Times New Roman" w:cs="Arial"/>
          <w:sz w:val="24"/>
          <w:szCs w:val="28"/>
          <w:lang w:eastAsia="ru-RU"/>
        </w:rPr>
      </w:pPr>
      <w:r w:rsidRPr="00341240">
        <w:rPr>
          <w:rFonts w:ascii="Times New Roman" w:eastAsia="Times New Roman" w:hAnsi="Times New Roman" w:cs="Arial"/>
          <w:sz w:val="24"/>
          <w:szCs w:val="28"/>
          <w:lang w:eastAsia="ru-RU"/>
        </w:rPr>
        <w:t xml:space="preserve">В связи с произошедшей сменой наименования Банка 17 марта 2015 года были обновлены лицензия на осуществление банковских операций со средствами в рублях и иностранной валюте (без права привлечения во вклады денежных средств физических лиц) № 3466, а также лицензия на привлечение во вклады и размещение драгоценных металлов. </w:t>
      </w:r>
    </w:p>
    <w:p w:rsidR="00341240" w:rsidRPr="00341240" w:rsidRDefault="00341240" w:rsidP="00341240">
      <w:pPr>
        <w:widowControl w:val="0"/>
        <w:overflowPunct w:val="0"/>
        <w:autoSpaceDE w:val="0"/>
        <w:autoSpaceDN w:val="0"/>
        <w:adjustRightInd w:val="0"/>
        <w:spacing w:after="120" w:line="240" w:lineRule="auto"/>
        <w:ind w:firstLine="567"/>
        <w:jc w:val="both"/>
        <w:textAlignment w:val="baseline"/>
        <w:rPr>
          <w:rFonts w:ascii="Times New Roman" w:eastAsia="Times New Roman" w:hAnsi="Times New Roman" w:cs="Arial"/>
          <w:sz w:val="24"/>
          <w:szCs w:val="28"/>
          <w:lang w:eastAsia="ru-RU"/>
        </w:rPr>
      </w:pPr>
      <w:r w:rsidRPr="00341240">
        <w:rPr>
          <w:rFonts w:ascii="Times New Roman" w:eastAsia="Times New Roman" w:hAnsi="Times New Roman" w:cs="Arial"/>
          <w:sz w:val="24"/>
          <w:szCs w:val="28"/>
          <w:lang w:eastAsia="ru-RU"/>
        </w:rPr>
        <w:t>Во исполнение Федерального закона «О клиринге и клиринговой деятельности» и в целях осуществления клиринговой деятельности в соответствии с указанным законом, Банк обладает лицензией на осуществление клиринговой деятельности от 18.12.2012.</w:t>
      </w:r>
    </w:p>
    <w:p w:rsidR="00341240" w:rsidRPr="00341240" w:rsidRDefault="00341240" w:rsidP="00341240">
      <w:pPr>
        <w:widowControl w:val="0"/>
        <w:overflowPunct w:val="0"/>
        <w:autoSpaceDE w:val="0"/>
        <w:autoSpaceDN w:val="0"/>
        <w:adjustRightInd w:val="0"/>
        <w:spacing w:after="120" w:line="240" w:lineRule="auto"/>
        <w:ind w:firstLine="567"/>
        <w:jc w:val="both"/>
        <w:textAlignment w:val="baseline"/>
        <w:rPr>
          <w:rFonts w:ascii="Times New Roman" w:eastAsia="Times New Roman" w:hAnsi="Times New Roman" w:cs="Arial"/>
          <w:sz w:val="24"/>
          <w:szCs w:val="28"/>
          <w:lang w:eastAsia="ru-RU"/>
        </w:rPr>
      </w:pPr>
      <w:r w:rsidRPr="00341240">
        <w:rPr>
          <w:rFonts w:ascii="Times New Roman" w:eastAsia="Times New Roman" w:hAnsi="Times New Roman" w:cs="Times New Roman"/>
          <w:color w:val="000000"/>
          <w:sz w:val="24"/>
          <w:szCs w:val="24"/>
          <w:lang w:eastAsia="ru-RU"/>
        </w:rPr>
        <w:t xml:space="preserve"> Банк также обладает лицензией на осуществление разработки, производства, распространения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выполнения работ, оказания услуг в области шифрования информации, технического обслуживания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(за исключением случая, если техническое обслуживание техническое обслуживание шифровальных (криптографических) средств, осуществляется для обеспечения собственных нужд юридического лица или индивидуального предпринимателя). </w:t>
      </w:r>
    </w:p>
    <w:p w:rsidR="00341240" w:rsidRPr="00341240" w:rsidRDefault="00341240" w:rsidP="00341240">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Arial"/>
          <w:sz w:val="24"/>
          <w:szCs w:val="28"/>
          <w:lang w:eastAsia="ru-RU"/>
        </w:rPr>
      </w:pPr>
      <w:r w:rsidRPr="00341240">
        <w:rPr>
          <w:rFonts w:ascii="Times New Roman" w:eastAsia="Times New Roman" w:hAnsi="Times New Roman" w:cs="Arial"/>
          <w:sz w:val="24"/>
          <w:szCs w:val="28"/>
          <w:lang w:eastAsia="ru-RU"/>
        </w:rPr>
        <w:t>В 2015 году Банком получена аккредитация Банка России для осуществления функций оператора товарных поставок.</w:t>
      </w:r>
    </w:p>
    <w:p w:rsidR="00341240" w:rsidRPr="00341240" w:rsidRDefault="00341240" w:rsidP="00341240">
      <w:pPr>
        <w:widowControl w:val="0"/>
        <w:overflowPunct w:val="0"/>
        <w:autoSpaceDE w:val="0"/>
        <w:autoSpaceDN w:val="0"/>
        <w:adjustRightInd w:val="0"/>
        <w:spacing w:after="0" w:line="240" w:lineRule="auto"/>
        <w:jc w:val="both"/>
        <w:textAlignment w:val="baseline"/>
        <w:rPr>
          <w:rFonts w:ascii="Times New Roman" w:eastAsia="Times New Roman" w:hAnsi="Times New Roman" w:cs="Arial"/>
          <w:b/>
          <w:sz w:val="24"/>
          <w:szCs w:val="28"/>
          <w:lang w:eastAsia="ru-RU"/>
        </w:rPr>
      </w:pPr>
    </w:p>
    <w:p w:rsidR="00341240" w:rsidRPr="00341240" w:rsidRDefault="00341240" w:rsidP="00341240">
      <w:pPr>
        <w:widowControl w:val="0"/>
        <w:overflowPunct w:val="0"/>
        <w:autoSpaceDE w:val="0"/>
        <w:autoSpaceDN w:val="0"/>
        <w:adjustRightInd w:val="0"/>
        <w:spacing w:after="0" w:line="240" w:lineRule="auto"/>
        <w:jc w:val="center"/>
        <w:textAlignment w:val="baseline"/>
        <w:rPr>
          <w:rFonts w:ascii="Times New Roman" w:eastAsia="Times New Roman" w:hAnsi="Times New Roman" w:cs="Arial"/>
          <w:b/>
          <w:i/>
          <w:sz w:val="24"/>
          <w:szCs w:val="28"/>
          <w:lang w:eastAsia="ru-RU"/>
        </w:rPr>
      </w:pPr>
      <w:r w:rsidRPr="00341240">
        <w:rPr>
          <w:rFonts w:ascii="Times New Roman" w:eastAsia="Times New Roman" w:hAnsi="Times New Roman" w:cs="Arial"/>
          <w:b/>
          <w:i/>
          <w:sz w:val="24"/>
          <w:szCs w:val="28"/>
          <w:lang w:eastAsia="ru-RU"/>
        </w:rPr>
        <w:t>Место нахождения</w:t>
      </w: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Arial"/>
          <w:sz w:val="24"/>
          <w:szCs w:val="28"/>
          <w:lang w:eastAsia="ru-RU"/>
        </w:rPr>
      </w:pPr>
      <w:r w:rsidRPr="00341240">
        <w:rPr>
          <w:rFonts w:ascii="Times New Roman" w:eastAsia="Times New Roman" w:hAnsi="Times New Roman" w:cs="Arial"/>
          <w:sz w:val="24"/>
          <w:szCs w:val="28"/>
          <w:lang w:eastAsia="ru-RU"/>
        </w:rPr>
        <w:t>г. Москва, Большой Кисловский переулок, дом 13.</w:t>
      </w:r>
      <w:r w:rsidRPr="00341240">
        <w:rPr>
          <w:rFonts w:ascii="Times New Roman" w:eastAsia="Times New Roman" w:hAnsi="Times New Roman" w:cs="Arial"/>
          <w:sz w:val="24"/>
          <w:szCs w:val="28"/>
          <w:lang w:eastAsia="ru-RU"/>
        </w:rPr>
        <w:tab/>
      </w:r>
    </w:p>
    <w:p w:rsidR="00341240" w:rsidRPr="00341240" w:rsidRDefault="00341240" w:rsidP="00341240">
      <w:pPr>
        <w:widowControl w:val="0"/>
        <w:overflowPunct w:val="0"/>
        <w:autoSpaceDE w:val="0"/>
        <w:autoSpaceDN w:val="0"/>
        <w:adjustRightInd w:val="0"/>
        <w:spacing w:after="0" w:line="240" w:lineRule="auto"/>
        <w:jc w:val="center"/>
        <w:textAlignment w:val="baseline"/>
        <w:rPr>
          <w:rFonts w:ascii="Times New Roman" w:eastAsia="Times New Roman" w:hAnsi="Times New Roman" w:cs="Arial"/>
          <w:b/>
          <w:sz w:val="24"/>
          <w:szCs w:val="28"/>
          <w:lang w:eastAsia="ru-RU"/>
        </w:rPr>
      </w:pPr>
      <w:r w:rsidRPr="00341240">
        <w:rPr>
          <w:rFonts w:ascii="Times New Roman" w:eastAsia="Times New Roman" w:hAnsi="Times New Roman" w:cs="Arial"/>
          <w:b/>
          <w:i/>
          <w:sz w:val="24"/>
          <w:szCs w:val="28"/>
          <w:lang w:eastAsia="ru-RU"/>
        </w:rPr>
        <w:t>Почтовый адрес</w:t>
      </w: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Arial"/>
          <w:sz w:val="24"/>
          <w:szCs w:val="28"/>
          <w:lang w:eastAsia="ru-RU"/>
        </w:rPr>
      </w:pPr>
      <w:r w:rsidRPr="00341240">
        <w:rPr>
          <w:rFonts w:ascii="Times New Roman" w:eastAsia="Times New Roman" w:hAnsi="Times New Roman" w:cs="Arial"/>
          <w:sz w:val="24"/>
          <w:szCs w:val="28"/>
          <w:lang w:eastAsia="ru-RU"/>
        </w:rPr>
        <w:t>125009, г. Москва, Большой Кисловский переулок, дом 13.</w:t>
      </w:r>
    </w:p>
    <w:p w:rsidR="00341240" w:rsidRPr="00341240" w:rsidRDefault="00341240" w:rsidP="00341240">
      <w:pPr>
        <w:widowControl w:val="0"/>
        <w:overflowPunct w:val="0"/>
        <w:autoSpaceDE w:val="0"/>
        <w:autoSpaceDN w:val="0"/>
        <w:adjustRightInd w:val="0"/>
        <w:spacing w:after="0" w:line="240" w:lineRule="auto"/>
        <w:jc w:val="both"/>
        <w:textAlignment w:val="baseline"/>
        <w:rPr>
          <w:rFonts w:ascii="Times New Roman" w:eastAsia="Times New Roman" w:hAnsi="Times New Roman" w:cs="Arial"/>
          <w:sz w:val="24"/>
          <w:szCs w:val="28"/>
          <w:lang w:eastAsia="ru-RU"/>
        </w:rPr>
      </w:pPr>
    </w:p>
    <w:p w:rsidR="00341240" w:rsidRPr="00341240" w:rsidRDefault="00341240" w:rsidP="00341240">
      <w:pPr>
        <w:widowControl w:val="0"/>
        <w:tabs>
          <w:tab w:val="left" w:pos="567"/>
          <w:tab w:val="num" w:pos="720"/>
        </w:tabs>
        <w:overflowPunct w:val="0"/>
        <w:autoSpaceDE w:val="0"/>
        <w:autoSpaceDN w:val="0"/>
        <w:adjustRightInd w:val="0"/>
        <w:spacing w:before="60" w:after="60" w:line="240" w:lineRule="auto"/>
        <w:jc w:val="both"/>
        <w:textAlignment w:val="baseline"/>
        <w:rPr>
          <w:rFonts w:ascii="Times New Roman" w:eastAsia="Times New Roman" w:hAnsi="Times New Roman" w:cs="Arial"/>
          <w:sz w:val="24"/>
          <w:szCs w:val="28"/>
          <w:lang w:eastAsia="ru-RU"/>
        </w:rPr>
      </w:pPr>
      <w:r w:rsidRPr="00341240">
        <w:rPr>
          <w:rFonts w:ascii="Times New Roman" w:eastAsia="Times New Roman" w:hAnsi="Times New Roman" w:cs="Arial"/>
          <w:sz w:val="24"/>
          <w:szCs w:val="28"/>
          <w:lang w:eastAsia="ru-RU"/>
        </w:rPr>
        <w:tab/>
        <w:t>В отчетном периоде функционировали следующие внутренние структурные подразделения:</w:t>
      </w:r>
    </w:p>
    <w:p w:rsidR="00341240" w:rsidRPr="00341240" w:rsidRDefault="00341240" w:rsidP="00341240">
      <w:pPr>
        <w:widowControl w:val="0"/>
        <w:tabs>
          <w:tab w:val="left" w:pos="567"/>
          <w:tab w:val="num" w:pos="720"/>
        </w:tabs>
        <w:overflowPunct w:val="0"/>
        <w:autoSpaceDE w:val="0"/>
        <w:autoSpaceDN w:val="0"/>
        <w:adjustRightInd w:val="0"/>
        <w:spacing w:before="60" w:after="60" w:line="240" w:lineRule="auto"/>
        <w:jc w:val="both"/>
        <w:textAlignment w:val="baseline"/>
        <w:rPr>
          <w:rFonts w:ascii="Times New Roman" w:eastAsia="Times New Roman" w:hAnsi="Times New Roman" w:cs="Arial"/>
          <w:sz w:val="24"/>
          <w:szCs w:val="28"/>
          <w:lang w:eastAsia="ru-RU"/>
        </w:rPr>
      </w:pPr>
    </w:p>
    <w:p w:rsidR="00341240" w:rsidRPr="00341240" w:rsidRDefault="00341240" w:rsidP="00341240">
      <w:pPr>
        <w:widowControl w:val="0"/>
        <w:numPr>
          <w:ilvl w:val="0"/>
          <w:numId w:val="7"/>
        </w:numPr>
        <w:overflowPunct w:val="0"/>
        <w:autoSpaceDE w:val="0"/>
        <w:autoSpaceDN w:val="0"/>
        <w:adjustRightInd w:val="0"/>
        <w:spacing w:before="60" w:after="60" w:line="240" w:lineRule="auto"/>
        <w:jc w:val="both"/>
        <w:textAlignment w:val="baseline"/>
        <w:rPr>
          <w:rFonts w:ascii="Times New Roman" w:eastAsia="Times New Roman" w:hAnsi="Times New Roman" w:cs="Arial"/>
          <w:sz w:val="24"/>
          <w:szCs w:val="28"/>
          <w:lang w:eastAsia="ru-RU"/>
        </w:rPr>
      </w:pPr>
      <w:r w:rsidRPr="00341240">
        <w:rPr>
          <w:rFonts w:ascii="Times New Roman" w:eastAsia="Times New Roman" w:hAnsi="Times New Roman" w:cs="Arial"/>
          <w:sz w:val="24"/>
          <w:szCs w:val="28"/>
          <w:lang w:eastAsia="ru-RU"/>
        </w:rPr>
        <w:t>Дополнительный офис «Средний Кисловский» Банка НКЦ (АО), расположенный по адресу: г. Москва, Средний Кисловский переулок, дом 1/13, строение 8;</w:t>
      </w:r>
    </w:p>
    <w:p w:rsidR="00341240" w:rsidRPr="00341240" w:rsidRDefault="00341240" w:rsidP="00341240">
      <w:pPr>
        <w:widowControl w:val="0"/>
        <w:numPr>
          <w:ilvl w:val="0"/>
          <w:numId w:val="7"/>
        </w:numPr>
        <w:overflowPunct w:val="0"/>
        <w:autoSpaceDE w:val="0"/>
        <w:autoSpaceDN w:val="0"/>
        <w:adjustRightInd w:val="0"/>
        <w:spacing w:before="60" w:after="60" w:line="240" w:lineRule="auto"/>
        <w:jc w:val="both"/>
        <w:textAlignment w:val="baseline"/>
        <w:rPr>
          <w:rFonts w:ascii="Times New Roman" w:eastAsia="Times New Roman" w:hAnsi="Times New Roman" w:cs="Arial"/>
          <w:sz w:val="24"/>
          <w:szCs w:val="28"/>
          <w:lang w:eastAsia="ru-RU"/>
        </w:rPr>
      </w:pPr>
      <w:r w:rsidRPr="00341240">
        <w:rPr>
          <w:rFonts w:ascii="Times New Roman" w:eastAsia="Times New Roman" w:hAnsi="Times New Roman" w:cs="Arial"/>
          <w:sz w:val="24"/>
          <w:szCs w:val="28"/>
          <w:lang w:eastAsia="ru-RU"/>
        </w:rPr>
        <w:t>Дополнительный офис «Спартаковский» Банка НКЦ (АО), расположенный по адресу: г. Москва, ул. Спартаковская, дом 12.</w:t>
      </w:r>
    </w:p>
    <w:p w:rsidR="00341240" w:rsidRPr="00341240" w:rsidRDefault="00341240" w:rsidP="00341240">
      <w:pPr>
        <w:widowControl w:val="0"/>
        <w:overflowPunct w:val="0"/>
        <w:autoSpaceDE w:val="0"/>
        <w:autoSpaceDN w:val="0"/>
        <w:adjustRightInd w:val="0"/>
        <w:spacing w:before="60" w:after="60" w:line="240" w:lineRule="auto"/>
        <w:jc w:val="both"/>
        <w:textAlignment w:val="baseline"/>
        <w:rPr>
          <w:rFonts w:ascii="Times New Roman" w:eastAsia="Times New Roman" w:hAnsi="Times New Roman" w:cs="Arial"/>
          <w:sz w:val="24"/>
          <w:szCs w:val="28"/>
          <w:lang w:eastAsia="ru-RU"/>
        </w:rPr>
      </w:pPr>
      <w:r w:rsidRPr="00341240">
        <w:rPr>
          <w:rFonts w:ascii="Times New Roman" w:eastAsia="Times New Roman" w:hAnsi="Times New Roman" w:cs="Arial"/>
          <w:sz w:val="24"/>
          <w:szCs w:val="28"/>
          <w:lang w:eastAsia="ru-RU"/>
        </w:rPr>
        <w:t>28.05.2015 решением Правления Банка был закрыт Дополнительный офис «Воздвиженка» Банка НКЦ (АО), расположенный по адресу: г. Москва, ул. Воздвиженка, дом 4/7, строение 1</w:t>
      </w:r>
      <w:r w:rsidRPr="00341240">
        <w:rPr>
          <w:rFonts w:ascii="Times New Roman" w:eastAsia="Times New Roman" w:hAnsi="Times New Roman" w:cs="Times New Roman"/>
          <w:sz w:val="24"/>
          <w:szCs w:val="24"/>
          <w:lang w:eastAsia="ru-RU"/>
        </w:rPr>
        <w:t>.</w:t>
      </w: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Arial"/>
          <w:sz w:val="24"/>
          <w:szCs w:val="28"/>
          <w:lang w:eastAsia="ru-RU"/>
        </w:rPr>
      </w:pPr>
      <w:r w:rsidRPr="00341240">
        <w:rPr>
          <w:rFonts w:ascii="Times New Roman" w:eastAsia="Times New Roman" w:hAnsi="Times New Roman" w:cs="Arial"/>
          <w:sz w:val="24"/>
          <w:szCs w:val="28"/>
          <w:lang w:eastAsia="ru-RU"/>
        </w:rPr>
        <w:tab/>
      </w:r>
    </w:p>
    <w:p w:rsidR="00341240" w:rsidRPr="00341240" w:rsidRDefault="00341240" w:rsidP="00341240">
      <w:pPr>
        <w:widowControl w:val="0"/>
        <w:overflowPunct w:val="0"/>
        <w:autoSpaceDE w:val="0"/>
        <w:autoSpaceDN w:val="0"/>
        <w:adjustRightInd w:val="0"/>
        <w:spacing w:after="120" w:line="240" w:lineRule="auto"/>
        <w:jc w:val="center"/>
        <w:textAlignment w:val="baseline"/>
        <w:rPr>
          <w:rFonts w:ascii="Times New Roman" w:eastAsia="Times New Roman" w:hAnsi="Times New Roman" w:cs="Arial"/>
          <w:b/>
          <w:sz w:val="24"/>
          <w:szCs w:val="28"/>
          <w:lang w:eastAsia="ru-RU"/>
        </w:rPr>
      </w:pPr>
      <w:r w:rsidRPr="00341240">
        <w:rPr>
          <w:rFonts w:ascii="Times New Roman" w:eastAsia="Times New Roman" w:hAnsi="Times New Roman" w:cs="Arial"/>
          <w:b/>
          <w:i/>
          <w:sz w:val="24"/>
          <w:szCs w:val="28"/>
          <w:lang w:eastAsia="ru-RU"/>
        </w:rPr>
        <w:t>Органы управления</w:t>
      </w:r>
    </w:p>
    <w:p w:rsidR="00341240" w:rsidRPr="00341240" w:rsidRDefault="00341240" w:rsidP="00341240">
      <w:pPr>
        <w:widowControl w:val="0"/>
        <w:overflowPunct w:val="0"/>
        <w:autoSpaceDE w:val="0"/>
        <w:autoSpaceDN w:val="0"/>
        <w:adjustRightInd w:val="0"/>
        <w:spacing w:after="120" w:line="240" w:lineRule="auto"/>
        <w:ind w:firstLine="357"/>
        <w:jc w:val="both"/>
        <w:textAlignment w:val="baseline"/>
        <w:rPr>
          <w:rFonts w:ascii="Times New Roman" w:eastAsia="Times New Roman" w:hAnsi="Times New Roman" w:cs="Arial"/>
          <w:sz w:val="24"/>
          <w:szCs w:val="28"/>
          <w:lang w:eastAsia="ru-RU"/>
        </w:rPr>
      </w:pPr>
      <w:r w:rsidRPr="00341240">
        <w:rPr>
          <w:rFonts w:ascii="Times New Roman" w:eastAsia="Times New Roman" w:hAnsi="Times New Roman" w:cs="Arial"/>
          <w:sz w:val="24"/>
          <w:szCs w:val="28"/>
          <w:lang w:eastAsia="ru-RU"/>
        </w:rPr>
        <w:t>В соответствии с Уставом органами управления Банка являются:</w:t>
      </w:r>
    </w:p>
    <w:p w:rsidR="00341240" w:rsidRPr="00341240" w:rsidRDefault="00341240" w:rsidP="00341240">
      <w:pPr>
        <w:widowControl w:val="0"/>
        <w:numPr>
          <w:ilvl w:val="0"/>
          <w:numId w:val="6"/>
        </w:numPr>
        <w:overflowPunct w:val="0"/>
        <w:autoSpaceDE w:val="0"/>
        <w:autoSpaceDN w:val="0"/>
        <w:adjustRightInd w:val="0"/>
        <w:spacing w:after="0" w:line="240" w:lineRule="auto"/>
        <w:jc w:val="both"/>
        <w:textAlignment w:val="baseline"/>
        <w:rPr>
          <w:rFonts w:ascii="Times New Roman" w:eastAsia="Times New Roman" w:hAnsi="Times New Roman" w:cs="Arial"/>
          <w:sz w:val="24"/>
          <w:szCs w:val="28"/>
          <w:lang w:eastAsia="ru-RU"/>
        </w:rPr>
      </w:pPr>
      <w:r w:rsidRPr="00341240">
        <w:rPr>
          <w:rFonts w:ascii="Times New Roman" w:eastAsia="Times New Roman" w:hAnsi="Times New Roman" w:cs="Arial"/>
          <w:sz w:val="24"/>
          <w:szCs w:val="28"/>
          <w:lang w:eastAsia="ru-RU"/>
        </w:rPr>
        <w:t>Общее собрание акционеров - высший орган управления;</w:t>
      </w:r>
    </w:p>
    <w:p w:rsidR="00341240" w:rsidRPr="00341240" w:rsidRDefault="00341240" w:rsidP="00341240">
      <w:pPr>
        <w:widowControl w:val="0"/>
        <w:numPr>
          <w:ilvl w:val="0"/>
          <w:numId w:val="6"/>
        </w:numPr>
        <w:overflowPunct w:val="0"/>
        <w:autoSpaceDE w:val="0"/>
        <w:autoSpaceDN w:val="0"/>
        <w:adjustRightInd w:val="0"/>
        <w:spacing w:after="0" w:line="240" w:lineRule="auto"/>
        <w:jc w:val="both"/>
        <w:textAlignment w:val="baseline"/>
        <w:rPr>
          <w:rFonts w:ascii="Times New Roman" w:eastAsia="Times New Roman" w:hAnsi="Times New Roman" w:cs="Arial"/>
          <w:sz w:val="24"/>
          <w:szCs w:val="28"/>
          <w:lang w:eastAsia="ru-RU"/>
        </w:rPr>
      </w:pPr>
      <w:r w:rsidRPr="00341240">
        <w:rPr>
          <w:rFonts w:ascii="Times New Roman" w:eastAsia="Times New Roman" w:hAnsi="Times New Roman" w:cs="Arial"/>
          <w:sz w:val="24"/>
          <w:szCs w:val="28"/>
          <w:lang w:eastAsia="ru-RU"/>
        </w:rPr>
        <w:t>Наблюдательный совет - орган управления, осуществляющий общее руководство деятельностью Банка; члены Наблюдательного совета избираются Общим собранием акционеров на срок до следующего годового Общего собрания акционеров;</w:t>
      </w:r>
    </w:p>
    <w:p w:rsidR="00341240" w:rsidRPr="00341240" w:rsidRDefault="00341240" w:rsidP="00341240">
      <w:pPr>
        <w:widowControl w:val="0"/>
        <w:numPr>
          <w:ilvl w:val="0"/>
          <w:numId w:val="6"/>
        </w:numPr>
        <w:overflowPunct w:val="0"/>
        <w:autoSpaceDE w:val="0"/>
        <w:autoSpaceDN w:val="0"/>
        <w:adjustRightInd w:val="0"/>
        <w:spacing w:after="0" w:line="240" w:lineRule="auto"/>
        <w:jc w:val="both"/>
        <w:textAlignment w:val="baseline"/>
        <w:rPr>
          <w:rFonts w:ascii="Times New Roman" w:eastAsia="Times New Roman" w:hAnsi="Times New Roman" w:cs="Arial"/>
          <w:sz w:val="24"/>
          <w:szCs w:val="28"/>
          <w:lang w:eastAsia="ru-RU"/>
        </w:rPr>
      </w:pPr>
      <w:r w:rsidRPr="00341240">
        <w:rPr>
          <w:rFonts w:ascii="Times New Roman" w:eastAsia="Times New Roman" w:hAnsi="Times New Roman" w:cs="Arial"/>
          <w:sz w:val="24"/>
          <w:szCs w:val="28"/>
          <w:lang w:eastAsia="ru-RU"/>
        </w:rPr>
        <w:t>Правление (коллегиальный исполнительный орган) - орган управления, осуществляющий руководство текущей деятельностью НКЦ; члены Правления избираются Наблюдательным советом; срок полномочий каждого члена Правления определяется решением Наблюдательного совета Банка, но не может превышать пяти лет;</w:t>
      </w:r>
    </w:p>
    <w:p w:rsidR="00341240" w:rsidRPr="00341240" w:rsidRDefault="00341240" w:rsidP="00341240">
      <w:pPr>
        <w:widowControl w:val="0"/>
        <w:numPr>
          <w:ilvl w:val="0"/>
          <w:numId w:val="6"/>
        </w:numPr>
        <w:overflowPunct w:val="0"/>
        <w:autoSpaceDE w:val="0"/>
        <w:autoSpaceDN w:val="0"/>
        <w:adjustRightInd w:val="0"/>
        <w:spacing w:after="0" w:line="240" w:lineRule="auto"/>
        <w:jc w:val="both"/>
        <w:textAlignment w:val="baseline"/>
        <w:rPr>
          <w:rFonts w:ascii="Times New Roman" w:eastAsia="Times New Roman" w:hAnsi="Times New Roman" w:cs="Arial"/>
          <w:sz w:val="24"/>
          <w:szCs w:val="28"/>
          <w:lang w:eastAsia="ru-RU"/>
        </w:rPr>
      </w:pPr>
      <w:r w:rsidRPr="00341240">
        <w:rPr>
          <w:rFonts w:ascii="Times New Roman" w:eastAsia="Times New Roman" w:hAnsi="Times New Roman" w:cs="Arial"/>
          <w:sz w:val="24"/>
          <w:szCs w:val="28"/>
          <w:lang w:eastAsia="ru-RU"/>
        </w:rPr>
        <w:t xml:space="preserve">Председатель Правления (единоличный исполнительный орган) - орган управления, осуществляющий руководство текущей деятельностью НКЦ, избирается Наблюдательным советом на срок, определяемый Наблюдательным советом, который не может превышать пяти лет. </w:t>
      </w:r>
    </w:p>
    <w:p w:rsidR="00341240" w:rsidRPr="00341240" w:rsidRDefault="00341240" w:rsidP="00341240">
      <w:pPr>
        <w:widowControl w:val="0"/>
        <w:overflowPunct w:val="0"/>
        <w:autoSpaceDE w:val="0"/>
        <w:autoSpaceDN w:val="0"/>
        <w:adjustRightInd w:val="0"/>
        <w:spacing w:after="0" w:line="240" w:lineRule="auto"/>
        <w:ind w:firstLine="660"/>
        <w:jc w:val="both"/>
        <w:textAlignment w:val="baseline"/>
        <w:rPr>
          <w:rFonts w:ascii="Times New Roman" w:eastAsia="Times New Roman" w:hAnsi="Times New Roman" w:cs="Times New Roman"/>
          <w:sz w:val="24"/>
          <w:szCs w:val="28"/>
          <w:lang w:eastAsia="ru-RU"/>
        </w:rPr>
      </w:pPr>
    </w:p>
    <w:p w:rsidR="00341240" w:rsidRPr="00341240" w:rsidRDefault="00341240" w:rsidP="00341240">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Arial"/>
          <w:sz w:val="24"/>
          <w:szCs w:val="28"/>
          <w:lang w:eastAsia="ru-RU"/>
        </w:rPr>
      </w:pPr>
      <w:r w:rsidRPr="00341240">
        <w:rPr>
          <w:rFonts w:ascii="Times New Roman" w:eastAsia="Times New Roman" w:hAnsi="Times New Roman" w:cs="Arial"/>
          <w:sz w:val="24"/>
          <w:szCs w:val="28"/>
          <w:lang w:eastAsia="ru-RU"/>
        </w:rPr>
        <w:t>Независимым аудитором НКЦ на 2015 год в соответствии с решением единственного акционера от 22.05.2015 №25 утверждено ЗАО «Эрнст энд Янг Внешаудит».</w:t>
      </w:r>
    </w:p>
    <w:p w:rsidR="00341240" w:rsidRPr="00341240" w:rsidRDefault="00341240" w:rsidP="00341240">
      <w:pPr>
        <w:spacing w:after="0" w:line="240" w:lineRule="auto"/>
        <w:jc w:val="both"/>
        <w:rPr>
          <w:rFonts w:ascii="Times New Roman" w:eastAsia="Times New Roman" w:hAnsi="Times New Roman" w:cs="Times New Roman"/>
          <w:color w:val="000000"/>
          <w:sz w:val="24"/>
          <w:szCs w:val="24"/>
          <w:lang w:eastAsia="ru-RU"/>
        </w:rPr>
      </w:pPr>
    </w:p>
    <w:p w:rsidR="00341240" w:rsidRPr="00341240" w:rsidRDefault="00341240" w:rsidP="00341240">
      <w:pPr>
        <w:numPr>
          <w:ilvl w:val="12"/>
          <w:numId w:val="0"/>
        </w:numPr>
        <w:tabs>
          <w:tab w:val="left" w:pos="9639"/>
        </w:tabs>
        <w:overflowPunct w:val="0"/>
        <w:autoSpaceDE w:val="0"/>
        <w:autoSpaceDN w:val="0"/>
        <w:adjustRightInd w:val="0"/>
        <w:spacing w:after="0" w:line="240" w:lineRule="auto"/>
        <w:ind w:firstLine="360"/>
        <w:jc w:val="center"/>
        <w:textAlignment w:val="baseline"/>
        <w:outlineLvl w:val="0"/>
        <w:rPr>
          <w:rFonts w:ascii="Times New Roman" w:eastAsia="Times New Roman" w:hAnsi="Times New Roman" w:cs="Times New Roman"/>
          <w:b/>
          <w:bCs/>
          <w:sz w:val="28"/>
          <w:szCs w:val="28"/>
          <w:lang w:eastAsia="ru-RU"/>
        </w:rPr>
      </w:pPr>
      <w:r w:rsidRPr="00341240">
        <w:rPr>
          <w:rFonts w:ascii="Times New Roman" w:eastAsia="Times New Roman" w:hAnsi="Times New Roman" w:cs="Times New Roman"/>
          <w:b/>
          <w:bCs/>
          <w:sz w:val="28"/>
          <w:szCs w:val="28"/>
          <w:lang w:eastAsia="ru-RU"/>
        </w:rPr>
        <w:t xml:space="preserve">2. Уставный капитал и состав акционеров. </w:t>
      </w:r>
    </w:p>
    <w:p w:rsidR="00341240" w:rsidRPr="00341240" w:rsidRDefault="00341240" w:rsidP="00341240">
      <w:pPr>
        <w:numPr>
          <w:ilvl w:val="12"/>
          <w:numId w:val="0"/>
        </w:numPr>
        <w:tabs>
          <w:tab w:val="left" w:pos="9639"/>
        </w:tabs>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b/>
          <w:bCs/>
          <w:sz w:val="28"/>
          <w:szCs w:val="28"/>
          <w:lang w:eastAsia="ru-RU"/>
        </w:rPr>
      </w:pPr>
    </w:p>
    <w:p w:rsidR="00341240" w:rsidRPr="00341240" w:rsidRDefault="00341240" w:rsidP="00341240">
      <w:pPr>
        <w:numPr>
          <w:ilvl w:val="12"/>
          <w:numId w:val="0"/>
        </w:numPr>
        <w:tabs>
          <w:tab w:val="left" w:pos="9639"/>
        </w:tabs>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bCs/>
          <w:sz w:val="24"/>
          <w:szCs w:val="24"/>
          <w:lang w:eastAsia="ru-RU"/>
        </w:rPr>
        <w:t xml:space="preserve">При создании </w:t>
      </w:r>
      <w:r w:rsidRPr="00341240">
        <w:rPr>
          <w:rFonts w:ascii="Times New Roman" w:eastAsia="Times New Roman" w:hAnsi="Times New Roman" w:cs="Times New Roman"/>
          <w:sz w:val="24"/>
          <w:szCs w:val="24"/>
          <w:lang w:eastAsia="ru-RU"/>
        </w:rPr>
        <w:t xml:space="preserve">Банка </w:t>
      </w:r>
      <w:r w:rsidRPr="00341240">
        <w:rPr>
          <w:rFonts w:ascii="Times New Roman" w:eastAsia="Times New Roman" w:hAnsi="Times New Roman" w:cs="Times New Roman"/>
          <w:bCs/>
          <w:sz w:val="24"/>
          <w:szCs w:val="24"/>
          <w:lang w:eastAsia="ru-RU"/>
        </w:rPr>
        <w:t>Общее собрание учредителей</w:t>
      </w:r>
      <w:r w:rsidRPr="00341240">
        <w:rPr>
          <w:rFonts w:ascii="Times New Roman" w:eastAsia="Times New Roman" w:hAnsi="Times New Roman" w:cs="Times New Roman"/>
          <w:sz w:val="24"/>
          <w:szCs w:val="24"/>
          <w:lang w:eastAsia="ru-RU"/>
        </w:rPr>
        <w:t xml:space="preserve"> утвердило уставный капитал Банка в размере 235 000 000 рублей, разделенный на 235 000 обыкновенных именных акций номинальной стоимостью 1 000 рублей каждая. </w:t>
      </w:r>
    </w:p>
    <w:p w:rsidR="00341240" w:rsidRPr="00341240" w:rsidRDefault="00341240" w:rsidP="00341240">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 xml:space="preserve">В течение 2006-2013 годов уставный капитал Банка был увеличен с 235 000 000 рублей до 15 170 000 000 рублей путем размещения дополнительных обыкновенных именных бездокументарных акций Банка, а также в 2014 году, в связи с реорганизацией Банка в форме присоединения, произошло увеличение уставного капитала Банка </w:t>
      </w:r>
      <w:r w:rsidRPr="00341240">
        <w:rPr>
          <w:rFonts w:ascii="Times New Roman" w:eastAsia="Times New Roman" w:hAnsi="Times New Roman" w:cs="Times New Roman"/>
          <w:bCs/>
          <w:sz w:val="24"/>
          <w:szCs w:val="24"/>
          <w:lang w:eastAsia="ru-RU"/>
        </w:rPr>
        <w:t>путем размещения двух дополнительных выпусков обыкновенных именных бездокументарных акций Банка общим количеством 1 500 000 штук (в пределах количества объявленных акций) посредством конвертации в них акций присоединенных НКО «Расчетная палата РТС» (ЗАО) и ЗАО «КЦ РТС»</w:t>
      </w:r>
      <w:r w:rsidRPr="00341240">
        <w:rPr>
          <w:rFonts w:ascii="Times New Roman" w:eastAsia="Times New Roman" w:hAnsi="Times New Roman" w:cs="Times New Roman"/>
          <w:sz w:val="24"/>
          <w:szCs w:val="24"/>
          <w:lang w:eastAsia="ru-RU"/>
        </w:rPr>
        <w:t>.</w:t>
      </w:r>
    </w:p>
    <w:p w:rsidR="00341240" w:rsidRPr="00341240" w:rsidRDefault="00341240" w:rsidP="00341240">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bCs/>
          <w:sz w:val="24"/>
          <w:szCs w:val="24"/>
          <w:lang w:eastAsia="ru-RU"/>
        </w:rPr>
      </w:pPr>
      <w:r w:rsidRPr="00341240">
        <w:rPr>
          <w:rFonts w:ascii="Times New Roman" w:eastAsia="Times New Roman" w:hAnsi="Times New Roman" w:cs="Times New Roman"/>
          <w:bCs/>
          <w:sz w:val="24"/>
          <w:szCs w:val="24"/>
          <w:lang w:eastAsia="ru-RU"/>
        </w:rPr>
        <w:t>По состоянию на конец отчетного периода уставный капитал Банка составляет 16 670 000 000 рублей, разделенный на 16 670 000 обыкновенных именных бездокументарных акций номинальной стоимостью 1 000 рублей каждая.</w:t>
      </w:r>
    </w:p>
    <w:p w:rsidR="00341240" w:rsidRPr="00341240" w:rsidRDefault="00341240" w:rsidP="00341240">
      <w:pPr>
        <w:widowControl w:val="0"/>
        <w:overflowPunct w:val="0"/>
        <w:autoSpaceDE w:val="0"/>
        <w:autoSpaceDN w:val="0"/>
        <w:adjustRightInd w:val="0"/>
        <w:spacing w:after="120" w:line="240" w:lineRule="auto"/>
        <w:ind w:firstLine="567"/>
        <w:jc w:val="center"/>
        <w:textAlignment w:val="baseline"/>
        <w:rPr>
          <w:rFonts w:ascii="Times New Roman" w:eastAsia="Times New Roman" w:hAnsi="Times New Roman" w:cs="Times New Roman"/>
          <w:b/>
          <w:i/>
          <w:sz w:val="24"/>
          <w:szCs w:val="24"/>
          <w:lang w:eastAsia="ru-RU"/>
        </w:rPr>
      </w:pPr>
    </w:p>
    <w:p w:rsidR="00341240" w:rsidRPr="00341240" w:rsidRDefault="00341240" w:rsidP="00341240">
      <w:pPr>
        <w:widowControl w:val="0"/>
        <w:overflowPunct w:val="0"/>
        <w:autoSpaceDE w:val="0"/>
        <w:autoSpaceDN w:val="0"/>
        <w:adjustRightInd w:val="0"/>
        <w:spacing w:after="120" w:line="240" w:lineRule="auto"/>
        <w:ind w:firstLine="567"/>
        <w:jc w:val="center"/>
        <w:textAlignment w:val="baseline"/>
        <w:rPr>
          <w:rFonts w:ascii="Times New Roman" w:eastAsia="Times New Roman" w:hAnsi="Times New Roman" w:cs="Times New Roman"/>
          <w:b/>
          <w:i/>
          <w:sz w:val="24"/>
          <w:szCs w:val="24"/>
          <w:lang w:eastAsia="ru-RU"/>
        </w:rPr>
      </w:pPr>
      <w:r w:rsidRPr="00341240">
        <w:rPr>
          <w:rFonts w:ascii="Times New Roman" w:eastAsia="Times New Roman" w:hAnsi="Times New Roman" w:cs="Times New Roman"/>
          <w:b/>
          <w:i/>
          <w:sz w:val="24"/>
          <w:szCs w:val="24"/>
          <w:lang w:eastAsia="ru-RU"/>
        </w:rPr>
        <w:t>Состав акционеров</w:t>
      </w:r>
    </w:p>
    <w:p w:rsidR="00341240" w:rsidRPr="00341240" w:rsidRDefault="00341240" w:rsidP="00341240">
      <w:pPr>
        <w:widowControl w:val="0"/>
        <w:overflowPunct w:val="0"/>
        <w:autoSpaceDE w:val="0"/>
        <w:autoSpaceDN w:val="0"/>
        <w:adjustRightInd w:val="0"/>
        <w:spacing w:after="120" w:line="240" w:lineRule="auto"/>
        <w:ind w:firstLine="567"/>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По состоянию на 31 декабря 2015 года в реестре акционеров Банка НКЦ (АО) зарегистрирован один акционер – Публичное акционерное общество «Московская Биржа ММВБ-РТС».</w:t>
      </w:r>
    </w:p>
    <w:p w:rsidR="00341240" w:rsidRPr="00341240" w:rsidRDefault="00341240" w:rsidP="00341240">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В течение отчетного периода ведение Реестра акционеров Банка осуществлял Регистратор - Закрытое акционерное общество «Регистраторское общество «СТАТУС».</w:t>
      </w:r>
    </w:p>
    <w:p w:rsidR="00341240" w:rsidRPr="00341240" w:rsidRDefault="00341240" w:rsidP="00341240">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p w:rsidR="00341240" w:rsidRPr="00341240" w:rsidRDefault="00341240" w:rsidP="00341240">
      <w:pPr>
        <w:widowControl w:val="0"/>
        <w:tabs>
          <w:tab w:val="left" w:pos="8820"/>
        </w:tabs>
        <w:overflowPunct w:val="0"/>
        <w:autoSpaceDE w:val="0"/>
        <w:autoSpaceDN w:val="0"/>
        <w:adjustRightInd w:val="0"/>
        <w:spacing w:after="0" w:line="240" w:lineRule="auto"/>
        <w:ind w:left="502" w:right="76"/>
        <w:contextualSpacing/>
        <w:jc w:val="center"/>
        <w:textAlignment w:val="baseline"/>
        <w:rPr>
          <w:rFonts w:ascii="Times New Roman" w:eastAsia="Times New Roman" w:hAnsi="Times New Roman" w:cs="Times New Roman"/>
          <w:b/>
          <w:sz w:val="28"/>
          <w:szCs w:val="28"/>
          <w:lang w:eastAsia="ru-RU"/>
        </w:rPr>
      </w:pPr>
    </w:p>
    <w:p w:rsidR="00341240" w:rsidRPr="00341240" w:rsidRDefault="00341240" w:rsidP="00341240">
      <w:pPr>
        <w:widowControl w:val="0"/>
        <w:tabs>
          <w:tab w:val="left" w:pos="8820"/>
        </w:tabs>
        <w:overflowPunct w:val="0"/>
        <w:autoSpaceDE w:val="0"/>
        <w:autoSpaceDN w:val="0"/>
        <w:adjustRightInd w:val="0"/>
        <w:spacing w:after="0" w:line="240" w:lineRule="auto"/>
        <w:ind w:left="502" w:right="76"/>
        <w:contextualSpacing/>
        <w:jc w:val="center"/>
        <w:textAlignment w:val="baseline"/>
        <w:rPr>
          <w:rFonts w:ascii="Times New Roman" w:eastAsia="Times New Roman" w:hAnsi="Times New Roman" w:cs="Times New Roman"/>
          <w:b/>
          <w:sz w:val="28"/>
          <w:szCs w:val="28"/>
          <w:lang w:eastAsia="ru-RU"/>
        </w:rPr>
      </w:pPr>
      <w:r w:rsidRPr="00341240">
        <w:rPr>
          <w:rFonts w:ascii="Times New Roman" w:eastAsia="Times New Roman" w:hAnsi="Times New Roman" w:cs="Times New Roman"/>
          <w:b/>
          <w:sz w:val="28"/>
          <w:szCs w:val="28"/>
          <w:lang w:eastAsia="ru-RU"/>
        </w:rPr>
        <w:t>3.Положение Банка «Национальный Клиринговый Центр» (Акционерное общество) в отрасли</w:t>
      </w:r>
    </w:p>
    <w:p w:rsidR="00341240" w:rsidRPr="00341240" w:rsidRDefault="00341240" w:rsidP="00341240">
      <w:pPr>
        <w:spacing w:line="240" w:lineRule="auto"/>
        <w:jc w:val="both"/>
        <w:rPr>
          <w:rFonts w:ascii="Times New Roman" w:hAnsi="Times New Roman" w:cs="Times New Roman"/>
          <w:sz w:val="24"/>
          <w:szCs w:val="24"/>
        </w:rPr>
      </w:pPr>
    </w:p>
    <w:p w:rsidR="00341240" w:rsidRPr="00341240" w:rsidRDefault="00341240" w:rsidP="00341240">
      <w:pPr>
        <w:spacing w:line="240" w:lineRule="auto"/>
        <w:jc w:val="both"/>
        <w:rPr>
          <w:rFonts w:ascii="Times New Roman" w:hAnsi="Times New Roman" w:cs="Times New Roman"/>
          <w:sz w:val="24"/>
          <w:szCs w:val="24"/>
        </w:rPr>
      </w:pPr>
      <w:r w:rsidRPr="00341240">
        <w:rPr>
          <w:rFonts w:ascii="Times New Roman" w:hAnsi="Times New Roman" w:cs="Times New Roman"/>
          <w:sz w:val="24"/>
          <w:szCs w:val="24"/>
        </w:rPr>
        <w:t xml:space="preserve">     Деятельность Банка в 2015  году осуществлялась в условиях существенного влияния на нее внешних и внутренних факторов. </w:t>
      </w:r>
    </w:p>
    <w:p w:rsidR="00341240" w:rsidRPr="00341240" w:rsidRDefault="00341240" w:rsidP="00341240">
      <w:pPr>
        <w:spacing w:line="240" w:lineRule="auto"/>
        <w:jc w:val="both"/>
        <w:rPr>
          <w:rFonts w:ascii="Times New Roman" w:hAnsi="Times New Roman" w:cs="Times New Roman"/>
          <w:sz w:val="24"/>
          <w:szCs w:val="24"/>
        </w:rPr>
      </w:pPr>
      <w:r w:rsidRPr="00341240">
        <w:rPr>
          <w:rFonts w:ascii="Times New Roman" w:hAnsi="Times New Roman" w:cs="Times New Roman"/>
          <w:sz w:val="24"/>
          <w:szCs w:val="24"/>
        </w:rPr>
        <w:t xml:space="preserve">      Как и в 2014 году, санкционный режим - санкции против участников клиринга и банков, обслуживающих участников клиринга, - потенциально создавал  угрозу финансовой стабильности и непрерывности критичных сервисов Банка. При осуществлении своей деятельность НКЦ должен был учитывать и угрозу непрерывности бизнеса из-за риска отключения  основного канала связи – SWIFT, используемого для исполнения обязательств в рамках клиринговой деятельности и при взаимодействии с банками-корреспондентами по собственным операциям, а также риска ведения санкций в отношении Банка. НКЦ оперативно реагировал на такие угрозы при формировании стратегии  в части управления системной составляющей операционного риска, реализовав задачу внедрения альтернативных каналов связи. </w:t>
      </w:r>
    </w:p>
    <w:p w:rsidR="00341240" w:rsidRPr="00341240" w:rsidRDefault="00341240" w:rsidP="00341240">
      <w:pPr>
        <w:spacing w:line="240" w:lineRule="auto"/>
        <w:ind w:firstLine="708"/>
        <w:jc w:val="both"/>
        <w:rPr>
          <w:rFonts w:ascii="Times New Roman" w:hAnsi="Times New Roman" w:cs="Times New Roman"/>
          <w:sz w:val="24"/>
          <w:szCs w:val="24"/>
        </w:rPr>
      </w:pPr>
      <w:r w:rsidRPr="00341240">
        <w:rPr>
          <w:rFonts w:ascii="Times New Roman" w:hAnsi="Times New Roman" w:cs="Times New Roman"/>
          <w:sz w:val="24"/>
          <w:szCs w:val="24"/>
        </w:rPr>
        <w:t xml:space="preserve">В  отчетный период продолжалась тенденция сокращения числа кредитных организаций в связи с отзывом Банком России лицензий. В условиях, когда практически все коммерческие банки, как и финансовые компании, в той или иной степени задействованы в операциях на организованном (биржевом) рынке, а значит, они являются клиентами НКЦ, при каждом отзыве лицензии Банк прибегал к обеспечивающим поддержание стабильности рынка мерам с  использованием различных элементов системы управления рисками - от постоянного финансового мониторинга участников клиринга до процедур дефолт-менеджмента.  </w:t>
      </w:r>
    </w:p>
    <w:p w:rsidR="00341240" w:rsidRPr="00341240" w:rsidRDefault="00341240" w:rsidP="00341240">
      <w:pPr>
        <w:spacing w:line="240" w:lineRule="auto"/>
        <w:ind w:firstLine="708"/>
        <w:jc w:val="both"/>
        <w:rPr>
          <w:rFonts w:ascii="Times New Roman" w:hAnsi="Times New Roman" w:cs="Times New Roman"/>
          <w:sz w:val="24"/>
          <w:szCs w:val="24"/>
        </w:rPr>
      </w:pPr>
      <w:r w:rsidRPr="00341240">
        <w:rPr>
          <w:rFonts w:ascii="Times New Roman" w:hAnsi="Times New Roman" w:cs="Times New Roman"/>
          <w:sz w:val="24"/>
          <w:szCs w:val="24"/>
        </w:rPr>
        <w:t>Благодаря активным действиям Банка России в 2015 году  по предотвращению вывода капитала из страны  были выявлены юридически легальные, но, по сути, незаконные схемы вывода капитала с использованием инструментария фондового рынка. В этой связи НКЦ оперативно предпринял меры по адаптации своей системы финансового мониторинга и внутреннего контроля к новым условиям. Благодаря координации этой работы с уполномоченными подразделениями и службами Банка России удалось данный процесс завершить без ущерба для добросовестных участников фондового рынка и его нормального функционирования.</w:t>
      </w:r>
    </w:p>
    <w:p w:rsidR="00341240" w:rsidRPr="00341240" w:rsidRDefault="00341240" w:rsidP="00341240">
      <w:pPr>
        <w:spacing w:line="240" w:lineRule="auto"/>
        <w:ind w:firstLine="708"/>
        <w:jc w:val="both"/>
        <w:rPr>
          <w:rFonts w:ascii="Times New Roman" w:hAnsi="Times New Roman" w:cs="Times New Roman"/>
          <w:sz w:val="24"/>
          <w:szCs w:val="24"/>
        </w:rPr>
      </w:pPr>
      <w:r w:rsidRPr="00341240">
        <w:rPr>
          <w:rFonts w:ascii="Times New Roman" w:hAnsi="Times New Roman" w:cs="Times New Roman"/>
          <w:sz w:val="24"/>
          <w:szCs w:val="24"/>
        </w:rPr>
        <w:t>Возникавшие вызовы и угрозы в течение всего 2015 года испытывали на прочность систему риск–менеджмента, в том числе ее параметров и процедуры дефолт-менеджмента. Тем не менее, они не стали препятствием для реализации запланированных совместно с Группой «Московская Биржа» проектов.</w:t>
      </w:r>
    </w:p>
    <w:p w:rsidR="00341240" w:rsidRPr="00341240" w:rsidRDefault="00341240" w:rsidP="00341240">
      <w:pPr>
        <w:spacing w:line="240" w:lineRule="auto"/>
        <w:jc w:val="both"/>
        <w:rPr>
          <w:rFonts w:ascii="Times New Roman" w:hAnsi="Times New Roman" w:cs="Times New Roman"/>
          <w:sz w:val="24"/>
          <w:szCs w:val="24"/>
        </w:rPr>
      </w:pPr>
      <w:r w:rsidRPr="00341240">
        <w:rPr>
          <w:rFonts w:ascii="Times New Roman" w:hAnsi="Times New Roman" w:cs="Times New Roman"/>
          <w:sz w:val="24"/>
          <w:szCs w:val="24"/>
        </w:rPr>
        <w:t xml:space="preserve">     В    отчетном  году Банк, руководствуясь действовавшей Стратегией Группы на 2012-2015, сосредотачивал усилия на приоритетных направлениях деятельности по реализации следующих проектов и задач:</w:t>
      </w:r>
    </w:p>
    <w:p w:rsidR="00341240" w:rsidRPr="00341240" w:rsidRDefault="00341240" w:rsidP="00AB0ACF">
      <w:pPr>
        <w:numPr>
          <w:ilvl w:val="0"/>
          <w:numId w:val="39"/>
        </w:numPr>
        <w:spacing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развитие клиринговых услуг и процессов; </w:t>
      </w:r>
    </w:p>
    <w:p w:rsidR="00341240" w:rsidRPr="00341240" w:rsidRDefault="00341240" w:rsidP="00AB0ACF">
      <w:pPr>
        <w:numPr>
          <w:ilvl w:val="0"/>
          <w:numId w:val="39"/>
        </w:numPr>
        <w:spacing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совершенствование системы управления рисками, прежде всего в части создания надежной защиты центрального контрагента (ЦК) и повышения качества его управления, соответствующего международным стандартам; </w:t>
      </w:r>
    </w:p>
    <w:p w:rsidR="00341240" w:rsidRPr="00341240" w:rsidRDefault="00341240" w:rsidP="00AB0ACF">
      <w:pPr>
        <w:numPr>
          <w:ilvl w:val="0"/>
          <w:numId w:val="39"/>
        </w:numPr>
        <w:spacing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выполнение планов по росту доходности бизнеса.</w:t>
      </w:r>
    </w:p>
    <w:p w:rsidR="00341240" w:rsidRPr="00341240" w:rsidRDefault="00341240" w:rsidP="00341240">
      <w:pPr>
        <w:spacing w:after="0" w:line="240" w:lineRule="auto"/>
        <w:jc w:val="both"/>
        <w:rPr>
          <w:rFonts w:ascii="Times New Roman" w:hAnsi="Times New Roman" w:cs="Times New Roman"/>
          <w:sz w:val="24"/>
          <w:szCs w:val="24"/>
        </w:rPr>
      </w:pPr>
    </w:p>
    <w:p w:rsidR="00341240" w:rsidRPr="00341240" w:rsidRDefault="00341240" w:rsidP="00341240">
      <w:pPr>
        <w:spacing w:after="0" w:line="240" w:lineRule="auto"/>
        <w:ind w:firstLine="708"/>
        <w:jc w:val="both"/>
        <w:rPr>
          <w:rFonts w:ascii="Times New Roman" w:hAnsi="Times New Roman" w:cs="Times New Roman"/>
          <w:sz w:val="24"/>
          <w:szCs w:val="24"/>
        </w:rPr>
      </w:pPr>
      <w:r w:rsidRPr="00341240">
        <w:rPr>
          <w:rFonts w:ascii="Times New Roman" w:hAnsi="Times New Roman" w:cs="Times New Roman"/>
          <w:sz w:val="24"/>
          <w:szCs w:val="24"/>
        </w:rPr>
        <w:t xml:space="preserve">Благодаря совместной работе Группы «Московская Биржа» и регулятора была создана благоприятная внешняя среда для качественной перестройки  системы управления рисками центрального контрагента, что обеспечило НКЦ  возможность реализовать один из приоритетных проектов года – разработать и внедрить новую структуру защиты центрального контрагента. </w:t>
      </w:r>
    </w:p>
    <w:p w:rsidR="00341240" w:rsidRPr="00341240" w:rsidRDefault="00341240" w:rsidP="00341240">
      <w:pPr>
        <w:spacing w:after="0" w:line="240" w:lineRule="auto"/>
        <w:ind w:firstLine="708"/>
        <w:jc w:val="both"/>
        <w:rPr>
          <w:rFonts w:ascii="Times New Roman" w:hAnsi="Times New Roman" w:cs="Times New Roman"/>
          <w:sz w:val="24"/>
          <w:szCs w:val="24"/>
        </w:rPr>
      </w:pPr>
      <w:r w:rsidRPr="00341240">
        <w:rPr>
          <w:rFonts w:ascii="Times New Roman" w:hAnsi="Times New Roman" w:cs="Times New Roman"/>
          <w:sz w:val="24"/>
          <w:szCs w:val="24"/>
        </w:rPr>
        <w:t>С 1 ноября 2015 г. в законодательстве произошли существенные изменения, влияющие на условия функционирования Банка в части снижения системного риска и повышения достаточности финансовых ресурсов. В результате принятых изменений:</w:t>
      </w:r>
    </w:p>
    <w:p w:rsidR="00341240" w:rsidRPr="00341240" w:rsidRDefault="00341240" w:rsidP="00AB0ACF">
      <w:pPr>
        <w:numPr>
          <w:ilvl w:val="0"/>
          <w:numId w:val="14"/>
        </w:numPr>
        <w:spacing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Нормативно созданы условия для ограничения ответственности Банка при выполнении им функций центрального контрагента, что соответствует международным стандартам деятельности центральных контрагентов и существенным образом положительно влияет на финансовую устойчивость Банка. </w:t>
      </w:r>
    </w:p>
    <w:p w:rsidR="00341240" w:rsidRPr="00341240" w:rsidRDefault="00341240" w:rsidP="00341240">
      <w:pPr>
        <w:spacing w:line="240" w:lineRule="auto"/>
        <w:ind w:firstLine="708"/>
        <w:jc w:val="both"/>
        <w:rPr>
          <w:rFonts w:ascii="Times New Roman" w:hAnsi="Times New Roman" w:cs="Times New Roman"/>
          <w:sz w:val="24"/>
          <w:szCs w:val="24"/>
        </w:rPr>
      </w:pPr>
      <w:r w:rsidRPr="00341240">
        <w:rPr>
          <w:rFonts w:ascii="Times New Roman" w:hAnsi="Times New Roman" w:cs="Times New Roman"/>
          <w:sz w:val="24"/>
          <w:szCs w:val="24"/>
        </w:rPr>
        <w:t xml:space="preserve"> Реализация этих условий обеспечена требованием о формировании выделенного капитала – части собственных средств  (капитала) центрального контрагента, в соответствии с правилами клиринга предназначенной для покрытия возможных потерь, вызванных неисполнением участниками клиринга своих обязательств, и используемой  центральным контрагентом до использования средств, внесенных добросовестными участниками клиринга в коллективное клиринговое обеспечение. Также в качестве одного из критериев положительной оценки для целей определения качества управления ЦК установлено требование о наличии  механизма распределения возможных потерь между участниками клиринга в случае недостаточности средств ЦК, предусмотренных структурой уровней защиты ЦК. </w:t>
      </w:r>
    </w:p>
    <w:p w:rsidR="00341240" w:rsidRPr="00341240" w:rsidRDefault="00341240" w:rsidP="00AB0ACF">
      <w:pPr>
        <w:numPr>
          <w:ilvl w:val="0"/>
          <w:numId w:val="14"/>
        </w:numPr>
        <w:spacing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Повышена  прозрачность критериев достаточности совокупных финансовых ресурсов на случай реализации различных угроз, что позволило создать дополнительные буферы защиты как на случай дефолта участников, так и в случае возникновения негативных факторов, не обусловленных непосредственно дефолтом. Формирование указанных выделенных ресурсов отражается в отчетности Банка (с 1 ноября 2015 года в них включаются средства кредитной организации, осуществляющей функции центрального контрагента,  для целей покрытия возможных потерь, вызванных неисполнением участниками клиринга своих обязательств, и используемые центральным контрагентом до использования средств, внесенных добросовестными участниками клиринга в коллективное клиринговое обеспечение (выделенный капитал центрального контрагента); обеспечения прекращения или реструктуризации деятельности центрального контрагента; покрытия возможных потерь в результате ухудшения финансового положения центрального контрагента вследствие уменьшения его доходов или увеличения расходов, не связанных с неисполнением обязательств участниками клиринга.</w:t>
      </w:r>
    </w:p>
    <w:p w:rsidR="00341240" w:rsidRPr="00341240" w:rsidRDefault="00341240" w:rsidP="00AB0ACF">
      <w:pPr>
        <w:numPr>
          <w:ilvl w:val="0"/>
          <w:numId w:val="13"/>
        </w:numPr>
        <w:spacing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Снижено регуляторное давление на нормативы путем исключения из расчета нормативов определенных клиринговых активов (остатки на балансовых и внебалансовых счетах (их частях), образовавшиеся в результате проведения операций при осуществлении клиринговой деятельности и функций центрального контрагента. Эти исключения не учитывают остатки на клиринговых и корреспондентских счетах Банка). Указанные положения коррелируют с требованиями к формированию выделенного капитала, который в ряду прочих мер финансовой защиты, реализуемых в механизме последовательного восстановления потерь (waterfall)  Банка, минимизируют основные риски, связанные с выполнением Банком функции центрального контрагента при осуществлении им клиринговой деятельности. Аналогичные изменения затронули и создание резервов, что также косвенно оказывает влияние на нормативы. </w:t>
      </w:r>
    </w:p>
    <w:p w:rsidR="00341240" w:rsidRPr="00341240" w:rsidRDefault="00341240" w:rsidP="00341240">
      <w:pPr>
        <w:spacing w:line="240" w:lineRule="auto"/>
        <w:ind w:firstLine="708"/>
        <w:jc w:val="both"/>
        <w:rPr>
          <w:rFonts w:ascii="Times New Roman" w:hAnsi="Times New Roman" w:cs="Times New Roman"/>
          <w:sz w:val="24"/>
          <w:szCs w:val="24"/>
        </w:rPr>
      </w:pPr>
      <w:r w:rsidRPr="00341240">
        <w:rPr>
          <w:rFonts w:ascii="Times New Roman" w:hAnsi="Times New Roman" w:cs="Times New Roman"/>
          <w:sz w:val="24"/>
          <w:szCs w:val="24"/>
        </w:rPr>
        <w:t>Изменения банковского регулирования деятельности центральных контрагентов нашли отражение во внутренних документах Банка и внедрены в бизнес-процессы. С 1 ноября 2015 Банк внедрил на биржевых рынках новую унифицированную для всех биржевых рынков Группы «Московская Биржа» структуру уровней защиты центрального контрагента, соответствующую требованиям Банка России (Указание 2919-У) и рекомендациям международных регуляторов (CPMI-IOSCO, ISDA). Тем самым было введено в действие ограничение размера ответственности ЦК, предусматривающее, что убытки, возникшие в результате дефолта участника клиринга, будут списываться за счет уровней защиты центрального контрагента, что позволит сохранить банковский капитал НКЦ, необходимый для продолжения его деятельности.</w:t>
      </w:r>
    </w:p>
    <w:p w:rsidR="00341240" w:rsidRPr="00341240" w:rsidRDefault="00341240" w:rsidP="00341240">
      <w:pPr>
        <w:spacing w:line="240" w:lineRule="auto"/>
        <w:ind w:firstLine="708"/>
        <w:jc w:val="both"/>
        <w:rPr>
          <w:rFonts w:ascii="Times New Roman" w:hAnsi="Times New Roman" w:cs="Times New Roman"/>
          <w:sz w:val="24"/>
          <w:szCs w:val="24"/>
        </w:rPr>
      </w:pPr>
      <w:r w:rsidRPr="00341240">
        <w:rPr>
          <w:rFonts w:ascii="Times New Roman" w:hAnsi="Times New Roman" w:cs="Times New Roman"/>
          <w:sz w:val="24"/>
          <w:szCs w:val="24"/>
        </w:rPr>
        <w:t xml:space="preserve">В 2015 году  начата реализация стратегической задачи по приведению локальных практик взаимодействия на финансовых рынках в соответствие с международными стандартами в ключевых аспектах. В связи с тем, что получение Банком,  как центральным контрагентом,  квалификации третьей страны предоставило бы возможность для НКЦ принимать на клиринговое обслуживание клиентов, учрежденных на территории Европейской экономической зоны, в 2015 году была начата масштабная работа по приведению внутренних документов Банка в соответствие с требованиями Регламента 648/2012 (законодательный акт Евросоюза </w:t>
      </w:r>
      <w:r w:rsidRPr="00341240">
        <w:rPr>
          <w:rFonts w:ascii="Times New Roman" w:hAnsi="Times New Roman" w:cs="Times New Roman"/>
          <w:sz w:val="24"/>
          <w:szCs w:val="24"/>
          <w:lang w:val="en-US"/>
        </w:rPr>
        <w:t>EMIR</w:t>
      </w:r>
      <w:r w:rsidRPr="00341240">
        <w:rPr>
          <w:rFonts w:ascii="Times New Roman" w:hAnsi="Times New Roman" w:cs="Times New Roman"/>
          <w:sz w:val="24"/>
          <w:szCs w:val="24"/>
        </w:rPr>
        <w:t xml:space="preserve">), а также взаимодействие с Банком России по вопросам гармонизации российского законодательства с европейским регулированием. В первой половине 2015 года Банк России направил в ESMA (регулятор рынка ценных бумаг Евросоюза) заявку на признание юрисдикции Российской Федерации соответствующей требованиям Регламента 648/2012.  2 декабря 2015 года НКЦ направил в ESMA заявление о получении статуса квалифицированного ЦК в соответствии с требованиями </w:t>
      </w:r>
      <w:r w:rsidRPr="00341240">
        <w:rPr>
          <w:rFonts w:ascii="Times New Roman" w:hAnsi="Times New Roman" w:cs="Times New Roman"/>
          <w:sz w:val="24"/>
          <w:szCs w:val="24"/>
          <w:lang w:val="en-US"/>
        </w:rPr>
        <w:t>EMIR</w:t>
      </w:r>
      <w:r w:rsidRPr="00341240">
        <w:rPr>
          <w:rFonts w:ascii="Times New Roman" w:hAnsi="Times New Roman" w:cs="Times New Roman"/>
          <w:sz w:val="24"/>
          <w:szCs w:val="24"/>
        </w:rPr>
        <w:t>. В 2016 году планируется продолжить взаимодействие с ESMA по получению статуса ЦК, соответствующего требованиям Регламента 648/2012.</w:t>
      </w:r>
    </w:p>
    <w:p w:rsidR="00341240" w:rsidRPr="00341240" w:rsidRDefault="00341240" w:rsidP="00341240">
      <w:pPr>
        <w:keepLines/>
        <w:tabs>
          <w:tab w:val="right" w:pos="9356"/>
        </w:tabs>
        <w:spacing w:after="0" w:line="240" w:lineRule="auto"/>
        <w:ind w:firstLine="709"/>
        <w:jc w:val="both"/>
        <w:rPr>
          <w:rFonts w:ascii="Times New Roman" w:hAnsi="Times New Roman" w:cs="Times New Roman"/>
          <w:sz w:val="24"/>
          <w:szCs w:val="24"/>
        </w:rPr>
      </w:pPr>
      <w:r w:rsidRPr="00341240">
        <w:rPr>
          <w:rFonts w:ascii="Times New Roman" w:eastAsia="Calibri" w:hAnsi="Times New Roman" w:cs="Arial"/>
          <w:bCs/>
          <w:noProof/>
          <w:sz w:val="24"/>
          <w:szCs w:val="24"/>
          <w:lang w:eastAsia="ru-RU"/>
        </w:rPr>
        <w:t xml:space="preserve">В отчетном  году усилия  были направлены на поддержание НКЦ высокого статуса квалифицированного центрального контрагента и системно значимой инфраструктурной организации финансового рынка, обеспечивающей  уникальное положение Банка в конкурентной среде  и  характеризующей его как высоконадежный, финансово устойчиваый, технологичный инфраструктурный финансовый институт. В июле 2015 года Банк провел самооценку соответствия своей деятельности  требованиям Банка России в отношении качества управления рисками ЦК и отчитался об этом  регулятору. </w:t>
      </w:r>
      <w:r w:rsidRPr="00341240">
        <w:rPr>
          <w:rFonts w:ascii="Times New Roman" w:hAnsi="Times New Roman" w:cs="Times New Roman"/>
          <w:sz w:val="24"/>
          <w:szCs w:val="24"/>
        </w:rPr>
        <w:t xml:space="preserve">Следуя принципу открытости своей деятельности, Банк заблаговременно обеспечил раскрытие с 1 января 2016 года информации в соответствии с дополнительными требованиями российского регулятора, основанными на международных стандартах CPMI-IOSCO (Committee on Payments and Market Infrastructures  and Board of the International Organization of Securities Commissions).  </w:t>
      </w:r>
    </w:p>
    <w:p w:rsidR="00341240" w:rsidRPr="00341240" w:rsidRDefault="00341240" w:rsidP="00341240">
      <w:pPr>
        <w:spacing w:after="0" w:line="240" w:lineRule="auto"/>
        <w:ind w:right="-1"/>
        <w:jc w:val="both"/>
        <w:rPr>
          <w:rFonts w:ascii="Times New Roman" w:hAnsi="Times New Roman" w:cs="Times New Roman"/>
          <w:sz w:val="24"/>
          <w:szCs w:val="24"/>
        </w:rPr>
      </w:pPr>
      <w:r w:rsidRPr="00341240">
        <w:rPr>
          <w:rFonts w:ascii="Times New Roman" w:hAnsi="Times New Roman" w:cs="Times New Roman"/>
          <w:sz w:val="24"/>
          <w:szCs w:val="24"/>
        </w:rPr>
        <w:t xml:space="preserve">       </w:t>
      </w:r>
    </w:p>
    <w:p w:rsidR="00341240" w:rsidRPr="00341240" w:rsidRDefault="00341240" w:rsidP="00341240">
      <w:pPr>
        <w:spacing w:after="0" w:line="240" w:lineRule="auto"/>
        <w:ind w:right="-1"/>
        <w:jc w:val="both"/>
        <w:rPr>
          <w:rFonts w:ascii="Times New Roman" w:hAnsi="Times New Roman" w:cs="Times New Roman"/>
          <w:sz w:val="24"/>
          <w:szCs w:val="24"/>
        </w:rPr>
      </w:pPr>
      <w:r w:rsidRPr="00341240">
        <w:rPr>
          <w:rFonts w:ascii="Times New Roman" w:hAnsi="Times New Roman" w:cs="Times New Roman"/>
          <w:sz w:val="24"/>
          <w:szCs w:val="24"/>
        </w:rPr>
        <w:t xml:space="preserve">      НКЦ активно участвовал в 2015 году в деятельности российских и международными профессиональными ассоциаций и СРО (Ассоциация «Россия», НФА, РСПП,  </w:t>
      </w:r>
      <w:r w:rsidRPr="00341240">
        <w:rPr>
          <w:rFonts w:ascii="Times New Roman" w:hAnsi="Times New Roman" w:cs="Times New Roman"/>
          <w:sz w:val="24"/>
          <w:szCs w:val="24"/>
          <w:lang w:val="en-US"/>
        </w:rPr>
        <w:t>EACH</w:t>
      </w:r>
      <w:r w:rsidRPr="00341240">
        <w:rPr>
          <w:rFonts w:ascii="Times New Roman" w:hAnsi="Times New Roman" w:cs="Times New Roman"/>
          <w:sz w:val="24"/>
          <w:szCs w:val="24"/>
        </w:rPr>
        <w:t xml:space="preserve"> и СС</w:t>
      </w:r>
      <w:r w:rsidRPr="00341240">
        <w:rPr>
          <w:rFonts w:ascii="Times New Roman" w:hAnsi="Times New Roman" w:cs="Times New Roman"/>
          <w:sz w:val="24"/>
          <w:szCs w:val="24"/>
          <w:lang w:val="en-US"/>
        </w:rPr>
        <w:t>P</w:t>
      </w:r>
      <w:r w:rsidRPr="00341240">
        <w:rPr>
          <w:rFonts w:ascii="Times New Roman" w:hAnsi="Times New Roman" w:cs="Times New Roman"/>
          <w:sz w:val="24"/>
          <w:szCs w:val="24"/>
        </w:rPr>
        <w:t>12)  в целях  использования их, как площадок для обмена мнениями по наиболее важным проблемам регулирования инфраструктуры финансового рынка и продвижения своей позиции по вопросам совершенствования законодательства и регуляторных требований; ведения диалога с представителями ведущих европейских и мировых центральных контрагентов по проблемам международных стандартов деятельности инфраструктурных организаций.</w:t>
      </w:r>
    </w:p>
    <w:p w:rsidR="00341240" w:rsidRPr="00341240" w:rsidRDefault="00341240" w:rsidP="00341240">
      <w:pPr>
        <w:spacing w:after="0" w:line="240" w:lineRule="auto"/>
        <w:ind w:right="-1"/>
        <w:jc w:val="both"/>
        <w:rPr>
          <w:rFonts w:ascii="Times New Roman" w:hAnsi="Times New Roman" w:cs="Times New Roman"/>
          <w:sz w:val="24"/>
          <w:szCs w:val="24"/>
        </w:rPr>
      </w:pPr>
    </w:p>
    <w:p w:rsidR="00341240" w:rsidRPr="00341240" w:rsidRDefault="00341240" w:rsidP="00341240">
      <w:pPr>
        <w:spacing w:line="240" w:lineRule="auto"/>
        <w:jc w:val="both"/>
        <w:rPr>
          <w:rFonts w:ascii="Times New Roman" w:eastAsia="Times New Roman" w:hAnsi="Times New Roman" w:cs="Times New Roman"/>
          <w:sz w:val="24"/>
          <w:szCs w:val="24"/>
          <w:lang w:eastAsia="ru-RU"/>
        </w:rPr>
      </w:pPr>
      <w:r w:rsidRPr="00341240">
        <w:rPr>
          <w:rFonts w:ascii="Times New Roman" w:hAnsi="Times New Roman"/>
          <w:color w:val="000000"/>
          <w:sz w:val="24"/>
          <w:szCs w:val="24"/>
        </w:rPr>
        <w:t xml:space="preserve">       В отчетном году F</w:t>
      </w:r>
      <w:r w:rsidRPr="00341240">
        <w:rPr>
          <w:rFonts w:ascii="Times New Roman" w:hAnsi="Times New Roman"/>
          <w:color w:val="000000"/>
          <w:sz w:val="24"/>
          <w:szCs w:val="24"/>
          <w:lang w:val="en-US"/>
        </w:rPr>
        <w:t>itch</w:t>
      </w:r>
      <w:r w:rsidRPr="00341240">
        <w:rPr>
          <w:rFonts w:ascii="Times New Roman" w:hAnsi="Times New Roman"/>
          <w:color w:val="000000"/>
          <w:sz w:val="24"/>
          <w:szCs w:val="24"/>
        </w:rPr>
        <w:t xml:space="preserve"> Ratings подтвердил Банку долгосрочный рейтинг риска дефолта эмитента (РДЭ) в национальной валюте на уровне “ВВВ” и  рейтинг устойчивости – “</w:t>
      </w:r>
      <w:r w:rsidRPr="00341240">
        <w:rPr>
          <w:rFonts w:ascii="Times New Roman" w:hAnsi="Times New Roman"/>
          <w:color w:val="000000"/>
          <w:sz w:val="24"/>
          <w:szCs w:val="24"/>
          <w:lang w:val="en-US"/>
        </w:rPr>
        <w:t>bbb</w:t>
      </w:r>
      <w:r w:rsidRPr="00341240">
        <w:rPr>
          <w:rFonts w:ascii="Times New Roman" w:hAnsi="Times New Roman"/>
          <w:color w:val="000000"/>
          <w:sz w:val="24"/>
          <w:szCs w:val="24"/>
        </w:rPr>
        <w:t xml:space="preserve">”,  на один пункт выше суверенного рейтинга Российской Федерации – “ВВВ-“. Значения подтвержденных НКЦ долгосрочного рейтинга риска дефолта эмитента в иностранной валюте и прогноза определены на уровне, соответствующем уровню суверенного рейтинга России:  “ВВВ-“, «негативный». </w:t>
      </w:r>
      <w:r w:rsidRPr="00341240">
        <w:rPr>
          <w:rFonts w:ascii="Times New Roman" w:eastAsia="Times New Roman" w:hAnsi="Times New Roman" w:cs="Times New Roman"/>
          <w:sz w:val="24"/>
          <w:szCs w:val="24"/>
          <w:lang w:eastAsia="ru-RU"/>
        </w:rPr>
        <w:t xml:space="preserve">Рейтингование НКЦ международным рейтинговым агентством является дополнительным  источником подтверждения финансовой устойчивости Банка. Получаемый рейтинг </w:t>
      </w:r>
      <w:r w:rsidRPr="00341240">
        <w:rPr>
          <w:rFonts w:ascii="Times New Roman" w:hAnsi="Times New Roman"/>
          <w:color w:val="000000"/>
          <w:sz w:val="24"/>
          <w:szCs w:val="24"/>
        </w:rPr>
        <w:t>F</w:t>
      </w:r>
      <w:r w:rsidRPr="00341240">
        <w:rPr>
          <w:rFonts w:ascii="Times New Roman" w:hAnsi="Times New Roman"/>
          <w:color w:val="000000"/>
          <w:sz w:val="24"/>
          <w:szCs w:val="24"/>
          <w:lang w:val="en-US"/>
        </w:rPr>
        <w:t>itch</w:t>
      </w:r>
      <w:r w:rsidRPr="00341240">
        <w:rPr>
          <w:rFonts w:ascii="Times New Roman" w:hAnsi="Times New Roman"/>
          <w:color w:val="000000"/>
          <w:sz w:val="24"/>
          <w:szCs w:val="24"/>
        </w:rPr>
        <w:t xml:space="preserve"> Ratings</w:t>
      </w:r>
      <w:r w:rsidRPr="00341240">
        <w:rPr>
          <w:rFonts w:ascii="Times New Roman" w:eastAsia="Times New Roman" w:hAnsi="Times New Roman" w:cs="Times New Roman"/>
          <w:sz w:val="24"/>
          <w:szCs w:val="24"/>
          <w:lang w:eastAsia="ru-RU"/>
        </w:rPr>
        <w:t xml:space="preserve">  ориентирован в большей степени на иностранных партнеров, а также на контрагентов, являющихся банками, для которых наличие рейтинга в силу сложившейся банковской практики и банковского регулирования имеет значение в отношениях с НКЦ, в том числе и при установлении лимитов на Банк. </w:t>
      </w:r>
    </w:p>
    <w:p w:rsidR="00341240" w:rsidRPr="00341240" w:rsidRDefault="00341240" w:rsidP="00341240">
      <w:pPr>
        <w:spacing w:line="240" w:lineRule="auto"/>
        <w:jc w:val="both"/>
        <w:rPr>
          <w:rFonts w:ascii="Times New Roman" w:hAnsi="Times New Roman" w:cs="Times New Roman"/>
          <w:sz w:val="24"/>
          <w:szCs w:val="24"/>
        </w:rPr>
      </w:pPr>
      <w:r w:rsidRPr="00341240">
        <w:rPr>
          <w:rFonts w:ascii="Times New Roman" w:hAnsi="Times New Roman" w:cs="Times New Roman"/>
          <w:sz w:val="24"/>
          <w:szCs w:val="24"/>
        </w:rPr>
        <w:t xml:space="preserve">     Банк завершил 2015 год с рекордной прибылью, беспрецедентным ростом собственных средств и основных показателей. Существенное повышение капитализации НКЦ еще более укрепило  позицию Банка, как  одного из самых высоко капитализированных  центральных контрагентов в мире. По данным на 01.012016 г. по форме отчетности  ф.0409123 «Расчет собственных средств (капитала ) (Базель  III)» собственные средства  НКЦ за отчетный период увеличились с 38,54 млрд  рублей  до 54,13 млрд  рублей, то есть на 40,5%.   Повышение капитализации Банка является дополнительным фактором, обеспечивающим  высокую надежность и финансовую устойчивость Банка, его способность противостоять сохраняющимся  внешним угрозам и стрессовым ситуациям на рынке.                                                                                                               </w:t>
      </w: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r w:rsidRPr="00341240">
        <w:rPr>
          <w:rFonts w:ascii="Times New Roman" w:eastAsia="Calibri" w:hAnsi="Times New Roman" w:cs="Arial"/>
          <w:noProof/>
          <w:sz w:val="24"/>
          <w:szCs w:val="24"/>
          <w:lang w:eastAsia="ru-RU"/>
        </w:rPr>
        <w:t xml:space="preserve">В 2015 году Банк продолжил осуществление клиринговой деятельности на всех рынках Группы «Московская Биржа» (валютный рынок и рынок драгоценных металлов, фондовый и денежный рынки, срочный рынок и рынок СПФИ) и срочном товарном и товарном спот рынках АО «Мосэнергобиржа».  В декабре 2015 года в рамках Группы «Московская Биржа» был запущен еще один биржевой рынок – товарный рынок АО «Национальная товарная биржа» (рынок зерна), клиринг на котором также осуществляет НКЦ. </w:t>
      </w: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bCs/>
          <w:noProof/>
          <w:sz w:val="24"/>
          <w:szCs w:val="24"/>
          <w:lang w:eastAsia="ru-RU"/>
        </w:rPr>
      </w:pPr>
      <w:r w:rsidRPr="00341240">
        <w:rPr>
          <w:rFonts w:ascii="Times New Roman" w:eastAsia="Calibri" w:hAnsi="Times New Roman" w:cs="Arial"/>
          <w:noProof/>
          <w:sz w:val="24"/>
          <w:szCs w:val="24"/>
          <w:lang w:eastAsia="ru-RU"/>
        </w:rPr>
        <w:t>Общая схема</w:t>
      </w:r>
      <w:r w:rsidRPr="00341240">
        <w:rPr>
          <w:rFonts w:ascii="Times New Roman" w:eastAsia="Calibri" w:hAnsi="Times New Roman" w:cs="Arial"/>
          <w:bCs/>
          <w:noProof/>
          <w:sz w:val="24"/>
          <w:szCs w:val="24"/>
          <w:lang w:eastAsia="ru-RU"/>
        </w:rPr>
        <w:t xml:space="preserve"> клиринговой </w:t>
      </w:r>
      <w:r w:rsidRPr="00341240">
        <w:rPr>
          <w:rFonts w:ascii="Times New Roman" w:eastAsia="Calibri" w:hAnsi="Times New Roman" w:cs="Arial"/>
          <w:bCs/>
          <w:noProof/>
          <w:color w:val="000000"/>
          <w:sz w:val="24"/>
          <w:szCs w:val="24"/>
          <w:lang w:eastAsia="ru-RU"/>
        </w:rPr>
        <w:t>деятельности</w:t>
      </w:r>
      <w:r w:rsidRPr="00341240">
        <w:rPr>
          <w:rFonts w:ascii="Times New Roman" w:eastAsia="Calibri" w:hAnsi="Times New Roman" w:cs="Arial"/>
          <w:bCs/>
          <w:noProof/>
          <w:sz w:val="24"/>
          <w:szCs w:val="24"/>
          <w:lang w:eastAsia="ru-RU"/>
        </w:rPr>
        <w:t xml:space="preserve"> НКЦ на биржевых рынках в конце 2015 года  выглядела следующим образом:</w:t>
      </w: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p>
    <w:p w:rsidR="00341240" w:rsidRPr="00341240" w:rsidRDefault="00341240" w:rsidP="00341240">
      <w:pPr>
        <w:keepLines/>
        <w:tabs>
          <w:tab w:val="right" w:pos="9356"/>
        </w:tabs>
        <w:spacing w:after="0" w:line="360" w:lineRule="auto"/>
        <w:jc w:val="center"/>
        <w:rPr>
          <w:rFonts w:ascii="Times New Roman" w:eastAsia="Calibri" w:hAnsi="Times New Roman" w:cs="Arial"/>
          <w:bCs/>
          <w:noProof/>
          <w:sz w:val="24"/>
          <w:szCs w:val="24"/>
          <w:lang w:eastAsia="ru-RU"/>
        </w:rPr>
      </w:pPr>
      <w:r w:rsidRPr="00341240">
        <w:rPr>
          <w:rFonts w:ascii="Times New Roman" w:eastAsia="Calibri" w:hAnsi="Times New Roman" w:cs="Arial"/>
          <w:bCs/>
          <w:noProof/>
          <w:sz w:val="24"/>
          <w:szCs w:val="24"/>
          <w:lang w:eastAsia="ru-RU"/>
        </w:rPr>
        <w:drawing>
          <wp:inline distT="0" distB="0" distL="0" distR="0" wp14:anchorId="68112124" wp14:editId="74315697">
            <wp:extent cx="6131859" cy="375749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2558" cy="3757918"/>
                    </a:xfrm>
                    <a:prstGeom prst="rect">
                      <a:avLst/>
                    </a:prstGeom>
                    <a:noFill/>
                  </pic:spPr>
                </pic:pic>
              </a:graphicData>
            </a:graphic>
          </wp:inline>
        </w:drawing>
      </w:r>
    </w:p>
    <w:p w:rsidR="00341240" w:rsidRPr="00341240" w:rsidRDefault="00341240" w:rsidP="00341240">
      <w:pPr>
        <w:keepLines/>
        <w:tabs>
          <w:tab w:val="right" w:pos="9356"/>
        </w:tabs>
        <w:spacing w:after="0" w:line="360" w:lineRule="auto"/>
        <w:ind w:firstLine="709"/>
        <w:jc w:val="center"/>
        <w:rPr>
          <w:rFonts w:ascii="Times New Roman" w:eastAsia="Calibri" w:hAnsi="Times New Roman" w:cs="Arial"/>
          <w:bCs/>
          <w:noProof/>
          <w:sz w:val="24"/>
          <w:szCs w:val="24"/>
          <w:lang w:eastAsia="ru-RU"/>
        </w:rPr>
      </w:pPr>
    </w:p>
    <w:p w:rsidR="00341240" w:rsidRPr="00341240" w:rsidRDefault="00341240" w:rsidP="00341240">
      <w:pPr>
        <w:spacing w:after="0" w:line="240" w:lineRule="auto"/>
        <w:ind w:firstLine="708"/>
        <w:jc w:val="both"/>
        <w:rPr>
          <w:rFonts w:ascii="Times New Roman" w:eastAsia="Calibri" w:hAnsi="Times New Roman" w:cs="Times New Roman"/>
          <w:b/>
          <w:i/>
          <w:sz w:val="24"/>
          <w:szCs w:val="24"/>
          <w:lang w:val="en-US"/>
        </w:rPr>
      </w:pPr>
    </w:p>
    <w:p w:rsidR="00341240" w:rsidRPr="00341240" w:rsidRDefault="00341240" w:rsidP="00341240">
      <w:pPr>
        <w:spacing w:after="0" w:line="240" w:lineRule="auto"/>
        <w:ind w:firstLine="708"/>
        <w:jc w:val="both"/>
        <w:rPr>
          <w:rFonts w:ascii="Times New Roman" w:eastAsia="Calibri" w:hAnsi="Times New Roman" w:cs="Times New Roman"/>
          <w:b/>
          <w:i/>
          <w:sz w:val="24"/>
          <w:szCs w:val="24"/>
          <w:lang w:val="en-US"/>
        </w:rPr>
      </w:pPr>
    </w:p>
    <w:p w:rsidR="00341240" w:rsidRPr="00341240" w:rsidRDefault="00341240" w:rsidP="00341240">
      <w:pPr>
        <w:spacing w:after="0" w:line="240" w:lineRule="auto"/>
        <w:ind w:firstLine="708"/>
        <w:jc w:val="both"/>
        <w:rPr>
          <w:rFonts w:ascii="Times New Roman" w:eastAsia="Calibri" w:hAnsi="Times New Roman" w:cs="Times New Roman"/>
          <w:sz w:val="28"/>
          <w:szCs w:val="28"/>
          <w:u w:val="single"/>
        </w:rPr>
      </w:pPr>
      <w:r w:rsidRPr="00341240">
        <w:rPr>
          <w:rFonts w:ascii="Times New Roman" w:eastAsia="Calibri" w:hAnsi="Times New Roman" w:cs="Times New Roman"/>
          <w:b/>
          <w:i/>
          <w:sz w:val="28"/>
          <w:szCs w:val="28"/>
          <w:u w:val="single"/>
        </w:rPr>
        <w:t>Среди других наиболее знаковых событий прошедшего года необходимо отметить реализацию следующих проектов и задач</w:t>
      </w:r>
      <w:r w:rsidRPr="00341240">
        <w:rPr>
          <w:rFonts w:ascii="Times New Roman" w:eastAsia="Calibri" w:hAnsi="Times New Roman" w:cs="Times New Roman"/>
          <w:sz w:val="28"/>
          <w:szCs w:val="28"/>
          <w:u w:val="single"/>
        </w:rPr>
        <w:t>:</w:t>
      </w:r>
    </w:p>
    <w:p w:rsidR="00341240" w:rsidRPr="00341240" w:rsidRDefault="00341240" w:rsidP="00341240">
      <w:pPr>
        <w:spacing w:after="0" w:line="240" w:lineRule="auto"/>
        <w:ind w:firstLine="708"/>
        <w:jc w:val="both"/>
        <w:rPr>
          <w:rFonts w:ascii="Times New Roman" w:eastAsia="Calibri" w:hAnsi="Times New Roman" w:cs="Times New Roman"/>
          <w:sz w:val="24"/>
          <w:szCs w:val="24"/>
        </w:rPr>
      </w:pPr>
    </w:p>
    <w:p w:rsidR="00341240" w:rsidRPr="00341240" w:rsidRDefault="00341240" w:rsidP="00341240">
      <w:pPr>
        <w:spacing w:after="160" w:line="259" w:lineRule="auto"/>
        <w:contextualSpacing/>
        <w:rPr>
          <w:rFonts w:ascii="Times New Roman" w:eastAsia="Calibri" w:hAnsi="Times New Roman" w:cs="Times New Roman"/>
          <w:b/>
          <w:sz w:val="28"/>
          <w:szCs w:val="28"/>
        </w:rPr>
      </w:pPr>
      <w:r w:rsidRPr="00341240">
        <w:rPr>
          <w:rFonts w:ascii="Times New Roman" w:eastAsia="Calibri" w:hAnsi="Times New Roman" w:cs="Times New Roman"/>
          <w:b/>
          <w:sz w:val="28"/>
          <w:szCs w:val="28"/>
          <w:lang w:val="en-US"/>
        </w:rPr>
        <w:t>I</w:t>
      </w:r>
      <w:r w:rsidRPr="00341240">
        <w:rPr>
          <w:rFonts w:ascii="Times New Roman" w:eastAsia="Calibri" w:hAnsi="Times New Roman" w:cs="Times New Roman"/>
          <w:b/>
          <w:sz w:val="28"/>
          <w:szCs w:val="28"/>
        </w:rPr>
        <w:t>. Проект «Рынок зерна»</w:t>
      </w:r>
    </w:p>
    <w:p w:rsidR="00341240" w:rsidRPr="00341240" w:rsidRDefault="00341240" w:rsidP="00341240">
      <w:pPr>
        <w:spacing w:after="0" w:line="240" w:lineRule="auto"/>
        <w:jc w:val="both"/>
        <w:rPr>
          <w:rFonts w:ascii="Times New Roman" w:hAnsi="Times New Roman"/>
          <w:sz w:val="24"/>
          <w:szCs w:val="24"/>
        </w:rPr>
      </w:pPr>
      <w:r w:rsidRPr="00341240">
        <w:rPr>
          <w:rFonts w:ascii="Times New Roman" w:hAnsi="Times New Roman"/>
          <w:sz w:val="24"/>
          <w:szCs w:val="24"/>
        </w:rPr>
        <w:t xml:space="preserve">Банк НКЦ (АО) обеспечил выполнение функций клиринговой организации - центрального контрагента (в соответствии с условиями сделок) и оператора товарных поставок на новом сегменте товарного биржевого рынка – зерновом, который был запущен </w:t>
      </w:r>
      <w:r w:rsidRPr="00341240">
        <w:rPr>
          <w:rFonts w:ascii="Times New Roman" w:eastAsia="Calibri" w:hAnsi="Times New Roman" w:cs="Times New Roman"/>
          <w:sz w:val="24"/>
          <w:szCs w:val="24"/>
          <w:lang w:eastAsia="ru-RU"/>
        </w:rPr>
        <w:t xml:space="preserve">23 декабря 2015 года на АО "Национальная товарная биржа». </w:t>
      </w:r>
      <w:r w:rsidRPr="00341240">
        <w:rPr>
          <w:rFonts w:ascii="Times New Roman" w:hAnsi="Times New Roman"/>
          <w:sz w:val="24"/>
          <w:szCs w:val="24"/>
        </w:rPr>
        <w:t xml:space="preserve"> Для выполнения этой задачи: </w:t>
      </w:r>
    </w:p>
    <w:p w:rsidR="00341240" w:rsidRPr="00341240" w:rsidRDefault="00341240" w:rsidP="00AB0ACF">
      <w:pPr>
        <w:numPr>
          <w:ilvl w:val="0"/>
          <w:numId w:val="40"/>
        </w:numPr>
        <w:tabs>
          <w:tab w:val="num" w:pos="1418"/>
        </w:tabs>
        <w:spacing w:after="0" w:line="240" w:lineRule="auto"/>
        <w:contextualSpacing/>
        <w:jc w:val="both"/>
        <w:rPr>
          <w:rFonts w:ascii="Times New Roman" w:eastAsia="Times New Roman" w:hAnsi="Times New Roman" w:cs="Arial"/>
          <w:sz w:val="24"/>
          <w:szCs w:val="20"/>
        </w:rPr>
      </w:pPr>
      <w:r w:rsidRPr="00341240">
        <w:rPr>
          <w:rFonts w:ascii="Times New Roman" w:eastAsia="Times New Roman" w:hAnsi="Times New Roman" w:cs="Arial"/>
          <w:sz w:val="24"/>
          <w:szCs w:val="20"/>
        </w:rPr>
        <w:t>получена аккредитация НКЦ в качестве лица, осуществляющего функции оператора товарных поставок;</w:t>
      </w:r>
    </w:p>
    <w:p w:rsidR="00341240" w:rsidRPr="00341240" w:rsidRDefault="00341240" w:rsidP="00AB0ACF">
      <w:pPr>
        <w:numPr>
          <w:ilvl w:val="0"/>
          <w:numId w:val="41"/>
        </w:numPr>
        <w:tabs>
          <w:tab w:val="num" w:pos="1418"/>
        </w:tabs>
        <w:spacing w:after="0" w:line="240" w:lineRule="auto"/>
        <w:contextualSpacing/>
        <w:jc w:val="both"/>
        <w:rPr>
          <w:rFonts w:ascii="Times New Roman" w:eastAsia="Times New Roman" w:hAnsi="Times New Roman" w:cs="Arial"/>
          <w:sz w:val="24"/>
          <w:szCs w:val="20"/>
        </w:rPr>
      </w:pPr>
      <w:r w:rsidRPr="00341240">
        <w:rPr>
          <w:rFonts w:ascii="Times New Roman" w:eastAsia="Times New Roman" w:hAnsi="Times New Roman" w:cs="Arial"/>
          <w:sz w:val="24"/>
          <w:szCs w:val="20"/>
        </w:rPr>
        <w:t>разработаны и утверждены документы, связанные с осуществлением функции оператора товарных поставок;</w:t>
      </w:r>
    </w:p>
    <w:p w:rsidR="00341240" w:rsidRPr="00341240" w:rsidRDefault="00341240" w:rsidP="00AB0ACF">
      <w:pPr>
        <w:numPr>
          <w:ilvl w:val="0"/>
          <w:numId w:val="42"/>
        </w:numPr>
        <w:tabs>
          <w:tab w:val="num" w:pos="1418"/>
        </w:tabs>
        <w:spacing w:after="0" w:line="240" w:lineRule="auto"/>
        <w:contextualSpacing/>
        <w:jc w:val="both"/>
        <w:rPr>
          <w:rFonts w:ascii="Times New Roman" w:eastAsia="Times New Roman" w:hAnsi="Times New Roman" w:cs="Arial"/>
          <w:sz w:val="24"/>
          <w:szCs w:val="20"/>
        </w:rPr>
      </w:pPr>
      <w:r w:rsidRPr="00341240">
        <w:rPr>
          <w:rFonts w:ascii="Times New Roman" w:eastAsia="Times New Roman" w:hAnsi="Times New Roman" w:cs="Arial"/>
          <w:sz w:val="24"/>
          <w:szCs w:val="20"/>
        </w:rPr>
        <w:t>разработаны, согласованы, утверждены, зарегистрированы Банком России и введены в действие правила клиринга на товарном рынке;</w:t>
      </w:r>
    </w:p>
    <w:p w:rsidR="00341240" w:rsidRPr="00341240" w:rsidRDefault="00341240" w:rsidP="00AB0ACF">
      <w:pPr>
        <w:numPr>
          <w:ilvl w:val="0"/>
          <w:numId w:val="42"/>
        </w:numPr>
        <w:tabs>
          <w:tab w:val="num" w:pos="1418"/>
        </w:tabs>
        <w:spacing w:after="0" w:line="240" w:lineRule="auto"/>
        <w:contextualSpacing/>
        <w:jc w:val="both"/>
        <w:rPr>
          <w:rFonts w:ascii="Times New Roman" w:eastAsia="Times New Roman" w:hAnsi="Times New Roman" w:cs="Arial"/>
          <w:sz w:val="24"/>
          <w:szCs w:val="20"/>
        </w:rPr>
      </w:pPr>
      <w:r w:rsidRPr="00341240">
        <w:rPr>
          <w:rFonts w:ascii="Times New Roman" w:eastAsia="Times New Roman" w:hAnsi="Times New Roman" w:cs="Arial"/>
          <w:sz w:val="24"/>
          <w:szCs w:val="20"/>
        </w:rPr>
        <w:t>разработаны и согласованы документы, описывающие изменения в программном обеспечении, необходимые для реализации проекта;</w:t>
      </w:r>
    </w:p>
    <w:p w:rsidR="00341240" w:rsidRPr="00341240" w:rsidRDefault="00341240" w:rsidP="00AB0ACF">
      <w:pPr>
        <w:numPr>
          <w:ilvl w:val="0"/>
          <w:numId w:val="42"/>
        </w:numPr>
        <w:tabs>
          <w:tab w:val="num" w:pos="1418"/>
        </w:tabs>
        <w:spacing w:after="0" w:line="240" w:lineRule="auto"/>
        <w:contextualSpacing/>
        <w:jc w:val="both"/>
        <w:rPr>
          <w:rFonts w:ascii="Times New Roman" w:eastAsia="Times New Roman" w:hAnsi="Times New Roman" w:cs="Arial"/>
          <w:sz w:val="24"/>
          <w:szCs w:val="20"/>
        </w:rPr>
      </w:pPr>
      <w:r w:rsidRPr="00341240">
        <w:rPr>
          <w:rFonts w:ascii="Times New Roman" w:eastAsia="Times New Roman" w:hAnsi="Times New Roman" w:cs="Arial"/>
          <w:sz w:val="24"/>
          <w:szCs w:val="20"/>
        </w:rPr>
        <w:t>разработано и внедрено программное обеспечение, обеспечивающее организацию торгов, осуществление клиринга и выполнение функций ОТП.</w:t>
      </w:r>
    </w:p>
    <w:p w:rsidR="00341240" w:rsidRPr="00341240" w:rsidRDefault="00341240" w:rsidP="00341240">
      <w:pPr>
        <w:spacing w:after="0" w:line="240" w:lineRule="auto"/>
        <w:ind w:left="360" w:hanging="360"/>
        <w:jc w:val="both"/>
        <w:rPr>
          <w:rFonts w:ascii="Times New Roman" w:eastAsia="Times New Roman" w:hAnsi="Times New Roman" w:cs="Arial"/>
          <w:sz w:val="24"/>
          <w:szCs w:val="20"/>
        </w:rPr>
      </w:pPr>
    </w:p>
    <w:p w:rsidR="00341240" w:rsidRPr="00341240" w:rsidRDefault="00341240" w:rsidP="00341240">
      <w:pPr>
        <w:spacing w:before="60" w:after="0" w:line="240" w:lineRule="auto"/>
        <w:jc w:val="both"/>
        <w:rPr>
          <w:rFonts w:ascii="Times New Roman" w:eastAsia="Times New Roman" w:hAnsi="Times New Roman" w:cs="Arial"/>
          <w:sz w:val="24"/>
          <w:szCs w:val="20"/>
        </w:rPr>
      </w:pPr>
      <w:r w:rsidRPr="00341240">
        <w:rPr>
          <w:rFonts w:ascii="Times New Roman" w:eastAsia="Times New Roman" w:hAnsi="Times New Roman" w:cs="Arial"/>
          <w:sz w:val="24"/>
          <w:szCs w:val="20"/>
        </w:rPr>
        <w:t>Далее планируется запуск инструментов на другие виды сельскохозяйственной продукции, что позволит формировать цены на продукцию на основе открытой и прозрачной биржевой торговли с гарантиями центрального контрагента по исполнению всех заключенных сделок. Таким образом, реализация проекта имеет стратегически важное значение для развития одной из важнейших экспортно значимых отраслей производства  России - сельского хозяйства.</w:t>
      </w:r>
    </w:p>
    <w:p w:rsidR="00341240" w:rsidRPr="00341240" w:rsidRDefault="00341240" w:rsidP="00341240">
      <w:pPr>
        <w:spacing w:before="60" w:after="0" w:line="240" w:lineRule="auto"/>
        <w:jc w:val="both"/>
        <w:rPr>
          <w:rFonts w:ascii="Times New Roman" w:eastAsia="Times New Roman" w:hAnsi="Times New Roman" w:cs="Arial"/>
          <w:sz w:val="24"/>
          <w:szCs w:val="20"/>
        </w:rPr>
      </w:pPr>
    </w:p>
    <w:p w:rsidR="00341240" w:rsidRPr="00341240" w:rsidRDefault="00341240" w:rsidP="00341240">
      <w:pPr>
        <w:spacing w:after="160" w:line="259" w:lineRule="auto"/>
        <w:contextualSpacing/>
        <w:rPr>
          <w:rFonts w:ascii="Times New Roman" w:eastAsia="Calibri" w:hAnsi="Times New Roman" w:cs="Times New Roman"/>
          <w:b/>
          <w:sz w:val="28"/>
          <w:szCs w:val="28"/>
        </w:rPr>
      </w:pPr>
      <w:r w:rsidRPr="00341240">
        <w:rPr>
          <w:rFonts w:ascii="Times New Roman" w:eastAsia="Calibri" w:hAnsi="Times New Roman" w:cs="Times New Roman"/>
          <w:b/>
          <w:sz w:val="28"/>
          <w:szCs w:val="28"/>
          <w:lang w:val="en-US"/>
        </w:rPr>
        <w:t>II</w:t>
      </w:r>
      <w:r w:rsidRPr="00341240">
        <w:rPr>
          <w:rFonts w:ascii="Times New Roman" w:eastAsia="Calibri" w:hAnsi="Times New Roman" w:cs="Times New Roman"/>
          <w:b/>
          <w:sz w:val="28"/>
          <w:szCs w:val="28"/>
        </w:rPr>
        <w:t xml:space="preserve">. Проект «РЕПО с клиринговыми сертификатами участия» </w:t>
      </w:r>
    </w:p>
    <w:p w:rsidR="00341240" w:rsidRPr="00341240" w:rsidRDefault="00341240" w:rsidP="00341240">
      <w:pPr>
        <w:contextualSpacing/>
        <w:jc w:val="both"/>
        <w:rPr>
          <w:rFonts w:ascii="Times New Roman" w:eastAsia="Calibri" w:hAnsi="Times New Roman" w:cs="Times New Roman"/>
          <w:sz w:val="24"/>
          <w:szCs w:val="24"/>
        </w:rPr>
      </w:pPr>
    </w:p>
    <w:p w:rsidR="00341240" w:rsidRPr="00341240" w:rsidRDefault="00341240" w:rsidP="00341240">
      <w:pPr>
        <w:spacing w:after="0" w:line="240" w:lineRule="auto"/>
        <w:jc w:val="both"/>
        <w:rPr>
          <w:rFonts w:ascii="Times New Roman" w:hAnsi="Times New Roman"/>
          <w:sz w:val="24"/>
          <w:szCs w:val="24"/>
        </w:rPr>
      </w:pPr>
      <w:r w:rsidRPr="00341240">
        <w:rPr>
          <w:rFonts w:ascii="Times New Roman" w:hAnsi="Times New Roman"/>
          <w:sz w:val="24"/>
          <w:szCs w:val="24"/>
        </w:rPr>
        <w:t>Осуществлен комплекс подготовительных мероприятий к запуску в 2016 году  проекта  «РЕПО с клиринговыми сертификатами участия»,</w:t>
      </w:r>
      <w:r w:rsidRPr="00341240">
        <w:rPr>
          <w:rFonts w:ascii="Times New Roman" w:hAnsi="Times New Roman"/>
          <w:b/>
          <w:sz w:val="24"/>
          <w:szCs w:val="24"/>
        </w:rPr>
        <w:t xml:space="preserve"> </w:t>
      </w:r>
      <w:r w:rsidRPr="00341240">
        <w:rPr>
          <w:rFonts w:ascii="Times New Roman" w:hAnsi="Times New Roman"/>
          <w:sz w:val="24"/>
          <w:szCs w:val="24"/>
        </w:rPr>
        <w:t xml:space="preserve"> в том числе:</w:t>
      </w:r>
    </w:p>
    <w:p w:rsidR="00341240" w:rsidRPr="00341240" w:rsidRDefault="00341240" w:rsidP="00341240">
      <w:pPr>
        <w:spacing w:after="0" w:line="240" w:lineRule="auto"/>
        <w:ind w:left="1680"/>
        <w:contextualSpacing/>
        <w:jc w:val="both"/>
        <w:rPr>
          <w:rFonts w:ascii="Times New Roman" w:eastAsia="Calibri" w:hAnsi="Times New Roman" w:cs="Times New Roman"/>
          <w:sz w:val="24"/>
          <w:szCs w:val="24"/>
        </w:rPr>
      </w:pPr>
    </w:p>
    <w:p w:rsidR="00341240" w:rsidRPr="00341240" w:rsidRDefault="00341240" w:rsidP="00AB0ACF">
      <w:pPr>
        <w:numPr>
          <w:ilvl w:val="0"/>
          <w:numId w:val="43"/>
        </w:numPr>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внесены изменения  в законодательство, необходимые для запуска проекта при непосредственном участии и экспертизе  НКЦ;</w:t>
      </w:r>
    </w:p>
    <w:p w:rsidR="00341240" w:rsidRPr="00341240" w:rsidRDefault="00341240" w:rsidP="00AB0ACF">
      <w:pPr>
        <w:numPr>
          <w:ilvl w:val="0"/>
          <w:numId w:val="43"/>
        </w:numPr>
        <w:spacing w:after="0" w:line="240" w:lineRule="auto"/>
        <w:contextualSpacing/>
        <w:jc w:val="both"/>
        <w:rPr>
          <w:rFonts w:ascii="Times New Roman" w:eastAsia="Times New Roman" w:hAnsi="Times New Roman" w:cs="Times New Roman"/>
          <w:sz w:val="24"/>
          <w:szCs w:val="24"/>
        </w:rPr>
      </w:pPr>
      <w:r w:rsidRPr="00341240">
        <w:rPr>
          <w:rFonts w:ascii="Times New Roman" w:eastAsia="Times New Roman" w:hAnsi="Times New Roman" w:cs="Times New Roman"/>
          <w:sz w:val="24"/>
          <w:szCs w:val="24"/>
        </w:rPr>
        <w:t>разработана, утверждена и зарегистрирована Банком России редакция правил клиринга, содержащая условия договора об имущественном пуле и описание особенностей осуществления клиринга по сделкам РЕПО с клиринговыми сертификатами участия;</w:t>
      </w:r>
    </w:p>
    <w:p w:rsidR="00341240" w:rsidRPr="00341240" w:rsidRDefault="00341240" w:rsidP="00AB0ACF">
      <w:pPr>
        <w:numPr>
          <w:ilvl w:val="0"/>
          <w:numId w:val="43"/>
        </w:numPr>
        <w:spacing w:after="0" w:line="240" w:lineRule="auto"/>
        <w:contextualSpacing/>
        <w:jc w:val="both"/>
        <w:rPr>
          <w:rFonts w:ascii="Times New Roman" w:eastAsia="Times New Roman" w:hAnsi="Times New Roman" w:cs="Times New Roman"/>
          <w:sz w:val="24"/>
          <w:szCs w:val="24"/>
        </w:rPr>
      </w:pPr>
      <w:r w:rsidRPr="00341240">
        <w:rPr>
          <w:rFonts w:ascii="Times New Roman" w:eastAsia="Times New Roman" w:hAnsi="Times New Roman" w:cs="Times New Roman"/>
          <w:sz w:val="24"/>
          <w:szCs w:val="24"/>
        </w:rPr>
        <w:t xml:space="preserve">разработаны и согласованы договоры о взаимодействии с НКО ЗАО НРД, содержащие особенности взаимодействия при выдаче и погашении КСУ, а также при обращении к системе подбора обеспечения НКО ЗАО НРД в целях подбора имущества в имущественные пулы; </w:t>
      </w:r>
    </w:p>
    <w:p w:rsidR="00341240" w:rsidRPr="00341240" w:rsidRDefault="00341240" w:rsidP="00AB0ACF">
      <w:pPr>
        <w:numPr>
          <w:ilvl w:val="0"/>
          <w:numId w:val="43"/>
        </w:numPr>
        <w:spacing w:after="0" w:line="240" w:lineRule="auto"/>
        <w:contextualSpacing/>
        <w:jc w:val="both"/>
        <w:rPr>
          <w:rFonts w:ascii="Times New Roman" w:eastAsia="Times New Roman" w:hAnsi="Times New Roman" w:cs="Times New Roman"/>
          <w:sz w:val="24"/>
          <w:szCs w:val="24"/>
        </w:rPr>
      </w:pPr>
      <w:r w:rsidRPr="00341240">
        <w:rPr>
          <w:rFonts w:ascii="Times New Roman" w:eastAsia="Times New Roman" w:hAnsi="Times New Roman" w:cs="Times New Roman"/>
          <w:sz w:val="24"/>
          <w:szCs w:val="24"/>
        </w:rPr>
        <w:t>разработаны и согласованы документы, описывающие изменения в программном обеспечении, необходимые для реализации проекта;</w:t>
      </w:r>
    </w:p>
    <w:p w:rsidR="00341240" w:rsidRPr="00341240" w:rsidRDefault="00341240" w:rsidP="00AB0ACF">
      <w:pPr>
        <w:numPr>
          <w:ilvl w:val="0"/>
          <w:numId w:val="43"/>
        </w:numPr>
        <w:spacing w:after="0" w:line="240" w:lineRule="auto"/>
        <w:contextualSpacing/>
        <w:jc w:val="both"/>
        <w:rPr>
          <w:rFonts w:ascii="Times New Roman" w:eastAsia="Times New Roman" w:hAnsi="Times New Roman" w:cs="Arial"/>
          <w:sz w:val="24"/>
          <w:szCs w:val="20"/>
        </w:rPr>
      </w:pPr>
      <w:r w:rsidRPr="00341240">
        <w:rPr>
          <w:rFonts w:ascii="Times New Roman" w:eastAsia="Times New Roman" w:hAnsi="Times New Roman" w:cs="Times New Roman"/>
          <w:sz w:val="24"/>
          <w:szCs w:val="24"/>
        </w:rPr>
        <w:t>разработано и запланировано к внедрению программное обеспечение, необходимое для реализации проекта</w:t>
      </w:r>
      <w:r w:rsidRPr="00341240">
        <w:rPr>
          <w:rFonts w:ascii="Times New Roman" w:eastAsia="Times New Roman" w:hAnsi="Times New Roman" w:cs="Arial"/>
          <w:sz w:val="24"/>
          <w:szCs w:val="20"/>
        </w:rPr>
        <w:t>.</w:t>
      </w:r>
    </w:p>
    <w:p w:rsidR="00341240" w:rsidRPr="00341240" w:rsidRDefault="00341240" w:rsidP="00341240">
      <w:pPr>
        <w:spacing w:after="0" w:line="240" w:lineRule="auto"/>
        <w:ind w:left="1680"/>
        <w:contextualSpacing/>
        <w:jc w:val="both"/>
        <w:rPr>
          <w:rFonts w:ascii="Times New Roman" w:eastAsia="Times New Roman" w:hAnsi="Times New Roman" w:cs="Arial"/>
          <w:sz w:val="24"/>
          <w:szCs w:val="20"/>
        </w:rPr>
      </w:pPr>
    </w:p>
    <w:p w:rsidR="00341240" w:rsidRPr="00341240" w:rsidRDefault="00341240" w:rsidP="00341240">
      <w:pPr>
        <w:spacing w:after="160" w:line="259"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Проект предусматривает создание и использование принципиально новых инструментов - клиринговых сертификатов участия (далее - КСУ), которые  являются неэмиссионными  документарными ценными бумагами на предъявителя с обязательным централизованным хранением. КСУ выдаются клиринговой организацией – НКЦ на имущество, внесенное участником клиринга или его клиентами в определенный имущественный пул. НКЦ принимает решение о формировании имущественного пула и передает глобальный сертификат клиринговых сертификатов участия на централизованное хранение в НКО ЗАО НРД. </w:t>
      </w:r>
    </w:p>
    <w:p w:rsidR="00341240" w:rsidRPr="00341240" w:rsidRDefault="00341240" w:rsidP="00341240">
      <w:pPr>
        <w:spacing w:after="160" w:line="259"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Запуск  данного проекта, который запланирован на начало 2016 года, позволит, используя КСУ как универсальное обеспечение: </w:t>
      </w:r>
    </w:p>
    <w:p w:rsidR="00341240" w:rsidRPr="00341240" w:rsidRDefault="00341240" w:rsidP="00AB0ACF">
      <w:pPr>
        <w:numPr>
          <w:ilvl w:val="0"/>
          <w:numId w:val="44"/>
        </w:numPr>
        <w:spacing w:before="120" w:after="120" w:line="240" w:lineRule="auto"/>
        <w:contextualSpacing/>
        <w:rPr>
          <w:rFonts w:ascii="Times New Roman" w:eastAsiaTheme="minorEastAsia" w:hAnsi="Times New Roman" w:cs="Times New Roman"/>
          <w:color w:val="000000" w:themeColor="text1"/>
          <w:kern w:val="24"/>
          <w:sz w:val="24"/>
          <w:szCs w:val="24"/>
          <w:lang w:eastAsia="ru-RU"/>
        </w:rPr>
      </w:pPr>
      <w:r w:rsidRPr="00341240">
        <w:rPr>
          <w:rFonts w:ascii="Times New Roman" w:eastAsiaTheme="minorEastAsia" w:hAnsi="Times New Roman" w:cs="Times New Roman"/>
          <w:color w:val="000000" w:themeColor="text1"/>
          <w:kern w:val="24"/>
          <w:sz w:val="24"/>
          <w:szCs w:val="24"/>
          <w:lang w:eastAsia="ru-RU"/>
        </w:rPr>
        <w:t xml:space="preserve">осуществлять трансмиссию ликвидности посредством РЕПО с КСУ на всех уровнях финансовой системы: от Банка России до небанковских организаций; </w:t>
      </w:r>
    </w:p>
    <w:p w:rsidR="00341240" w:rsidRPr="00341240" w:rsidRDefault="00341240" w:rsidP="00AB0ACF">
      <w:pPr>
        <w:numPr>
          <w:ilvl w:val="0"/>
          <w:numId w:val="44"/>
        </w:numPr>
        <w:spacing w:before="120" w:after="120" w:line="240" w:lineRule="auto"/>
        <w:contextualSpacing/>
        <w:rPr>
          <w:rFonts w:ascii="Times New Roman" w:eastAsia="Times New Roman" w:hAnsi="Times New Roman" w:cs="Times New Roman"/>
          <w:sz w:val="24"/>
          <w:szCs w:val="24"/>
          <w:lang w:eastAsia="ru-RU"/>
        </w:rPr>
      </w:pPr>
      <w:r w:rsidRPr="00341240">
        <w:rPr>
          <w:rFonts w:ascii="Times New Roman" w:eastAsiaTheme="minorEastAsia" w:hAnsi="Times New Roman" w:cs="Times New Roman"/>
          <w:color w:val="000000" w:themeColor="text1"/>
          <w:kern w:val="24"/>
          <w:sz w:val="24"/>
          <w:szCs w:val="24"/>
          <w:lang w:eastAsia="ru-RU"/>
        </w:rPr>
        <w:t>обеспечить сохранение права собственности на активы, внесенные в пул: право на получение доходов и право голоса;</w:t>
      </w:r>
      <w:r w:rsidRPr="00341240">
        <w:rPr>
          <w:rFonts w:ascii="Times New Roman" w:eastAsia="Times New Roman" w:hAnsi="Times New Roman" w:cs="Times New Roman"/>
          <w:sz w:val="24"/>
          <w:szCs w:val="24"/>
          <w:lang w:eastAsia="ru-RU"/>
        </w:rPr>
        <w:t xml:space="preserve"> </w:t>
      </w:r>
    </w:p>
    <w:p w:rsidR="00341240" w:rsidRPr="00341240" w:rsidRDefault="00341240" w:rsidP="00AB0ACF">
      <w:pPr>
        <w:numPr>
          <w:ilvl w:val="0"/>
          <w:numId w:val="44"/>
        </w:numPr>
        <w:spacing w:after="0" w:line="240" w:lineRule="auto"/>
        <w:contextualSpacing/>
        <w:rPr>
          <w:rFonts w:ascii="Times New Roman" w:eastAsia="Times New Roman" w:hAnsi="Times New Roman" w:cs="Times New Roman"/>
          <w:sz w:val="24"/>
          <w:szCs w:val="24"/>
          <w:lang w:eastAsia="ru-RU"/>
        </w:rPr>
      </w:pPr>
      <w:r w:rsidRPr="00341240">
        <w:rPr>
          <w:rFonts w:ascii="Times New Roman" w:eastAsiaTheme="minorEastAsia" w:hAnsi="Times New Roman" w:cs="Times New Roman"/>
          <w:color w:val="000000" w:themeColor="text1"/>
          <w:kern w:val="24"/>
          <w:sz w:val="24"/>
          <w:szCs w:val="24"/>
          <w:lang w:eastAsia="ru-RU"/>
        </w:rPr>
        <w:t>максимально эффективно управлять активами в обеспечении:</w:t>
      </w:r>
    </w:p>
    <w:p w:rsidR="00341240" w:rsidRPr="00341240" w:rsidRDefault="00341240" w:rsidP="00341240">
      <w:pPr>
        <w:spacing w:after="0" w:line="240" w:lineRule="auto"/>
        <w:ind w:left="720"/>
        <w:contextualSpacing/>
        <w:rPr>
          <w:rFonts w:ascii="Times New Roman" w:eastAsiaTheme="minorEastAsia" w:hAnsi="Times New Roman" w:cs="Times New Roman"/>
          <w:color w:val="000000" w:themeColor="text1"/>
          <w:kern w:val="24"/>
          <w:sz w:val="24"/>
          <w:szCs w:val="24"/>
          <w:lang w:eastAsia="ru-RU"/>
        </w:rPr>
      </w:pPr>
      <w:r w:rsidRPr="00341240">
        <w:rPr>
          <w:rFonts w:ascii="Times New Roman" w:eastAsiaTheme="minorEastAsia" w:hAnsi="Times New Roman" w:cs="Times New Roman"/>
          <w:color w:val="000000" w:themeColor="text1"/>
          <w:kern w:val="24"/>
          <w:sz w:val="24"/>
          <w:szCs w:val="24"/>
          <w:lang w:eastAsia="ru-RU"/>
        </w:rPr>
        <w:t>сохраняется возможность расчетов по сделкам за счет активов, внесенных пул.</w:t>
      </w:r>
    </w:p>
    <w:p w:rsidR="00341240" w:rsidRPr="00341240" w:rsidRDefault="00341240" w:rsidP="00341240">
      <w:pPr>
        <w:spacing w:after="160" w:line="259" w:lineRule="auto"/>
        <w:contextualSpacing/>
        <w:rPr>
          <w:rFonts w:ascii="Times New Roman" w:eastAsia="Calibri" w:hAnsi="Times New Roman" w:cs="Times New Roman"/>
          <w:sz w:val="24"/>
          <w:szCs w:val="24"/>
        </w:rPr>
      </w:pPr>
    </w:p>
    <w:p w:rsidR="00341240" w:rsidRPr="00341240" w:rsidRDefault="00341240" w:rsidP="00341240">
      <w:pPr>
        <w:spacing w:after="160" w:line="259" w:lineRule="auto"/>
        <w:contextualSpacing/>
        <w:rPr>
          <w:rFonts w:ascii="Times New Roman" w:eastAsia="Calibri" w:hAnsi="Times New Roman" w:cs="Times New Roman"/>
          <w:sz w:val="24"/>
          <w:szCs w:val="24"/>
        </w:rPr>
      </w:pPr>
      <w:r w:rsidRPr="00341240">
        <w:rPr>
          <w:rFonts w:ascii="Times New Roman" w:eastAsia="Calibri" w:hAnsi="Times New Roman" w:cs="Times New Roman"/>
          <w:sz w:val="24"/>
          <w:szCs w:val="24"/>
        </w:rPr>
        <w:t>Особенности КСУ можно проиллюстрировать следующей схемой:</w:t>
      </w:r>
    </w:p>
    <w:p w:rsidR="00341240" w:rsidRPr="00341240" w:rsidRDefault="00341240" w:rsidP="00341240">
      <w:pPr>
        <w:spacing w:after="160" w:line="259" w:lineRule="auto"/>
        <w:contextualSpacing/>
        <w:rPr>
          <w:rFonts w:ascii="Times New Roman" w:eastAsia="Calibri" w:hAnsi="Times New Roman" w:cs="Times New Roman"/>
          <w:sz w:val="24"/>
          <w:szCs w:val="24"/>
        </w:rPr>
      </w:pPr>
    </w:p>
    <w:p w:rsidR="00341240" w:rsidRPr="00341240" w:rsidRDefault="00341240" w:rsidP="00341240">
      <w:pPr>
        <w:spacing w:after="160" w:line="259" w:lineRule="auto"/>
        <w:contextualSpacing/>
        <w:rPr>
          <w:rFonts w:ascii="Times New Roman" w:eastAsia="Calibri" w:hAnsi="Times New Roman" w:cs="Times New Roman"/>
          <w:sz w:val="24"/>
          <w:szCs w:val="24"/>
        </w:rPr>
      </w:pPr>
      <w:r w:rsidRPr="00341240">
        <w:rPr>
          <w:rFonts w:ascii="Times New Roman" w:hAnsi="Times New Roman"/>
          <w:noProof/>
          <w:sz w:val="24"/>
          <w:szCs w:val="24"/>
          <w:lang w:eastAsia="ru-RU"/>
        </w:rPr>
        <w:drawing>
          <wp:inline distT="0" distB="0" distL="0" distR="0" wp14:anchorId="4579E9B9" wp14:editId="71083C77">
            <wp:extent cx="5930861" cy="434706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0861" cy="4347067"/>
                    </a:xfrm>
                    <a:prstGeom prst="rect">
                      <a:avLst/>
                    </a:prstGeom>
                    <a:noFill/>
                  </pic:spPr>
                </pic:pic>
              </a:graphicData>
            </a:graphic>
          </wp:inline>
        </w:drawing>
      </w:r>
    </w:p>
    <w:p w:rsidR="00341240" w:rsidRPr="00341240" w:rsidRDefault="00341240" w:rsidP="00341240">
      <w:pPr>
        <w:ind w:left="720"/>
        <w:contextualSpacing/>
        <w:jc w:val="both"/>
        <w:rPr>
          <w:rFonts w:ascii="Times New Roman" w:eastAsia="Calibri" w:hAnsi="Times New Roman" w:cs="Times New Roman"/>
          <w:b/>
          <w:sz w:val="24"/>
          <w:szCs w:val="24"/>
        </w:rPr>
      </w:pPr>
    </w:p>
    <w:p w:rsidR="00341240" w:rsidRPr="00341240" w:rsidRDefault="00341240" w:rsidP="00341240">
      <w:pPr>
        <w:contextualSpacing/>
        <w:jc w:val="center"/>
        <w:rPr>
          <w:rFonts w:ascii="Times New Roman" w:eastAsia="Calibri" w:hAnsi="Times New Roman" w:cs="Times New Roman"/>
          <w:b/>
          <w:sz w:val="28"/>
          <w:szCs w:val="28"/>
        </w:rPr>
      </w:pPr>
      <w:r w:rsidRPr="00341240">
        <w:rPr>
          <w:rFonts w:ascii="Times New Roman" w:eastAsia="Calibri" w:hAnsi="Times New Roman" w:cs="Times New Roman"/>
          <w:b/>
          <w:sz w:val="28"/>
          <w:szCs w:val="28"/>
          <w:lang w:val="en-US"/>
        </w:rPr>
        <w:t>III</w:t>
      </w:r>
      <w:r w:rsidRPr="00341240">
        <w:rPr>
          <w:rFonts w:ascii="Times New Roman" w:eastAsia="Calibri" w:hAnsi="Times New Roman" w:cs="Times New Roman"/>
          <w:b/>
          <w:sz w:val="28"/>
          <w:szCs w:val="28"/>
        </w:rPr>
        <w:t>. Формирование единых правил клиринга</w:t>
      </w:r>
    </w:p>
    <w:p w:rsidR="00341240" w:rsidRPr="00341240" w:rsidRDefault="00341240" w:rsidP="00341240">
      <w:pPr>
        <w:contextualSpacing/>
        <w:jc w:val="both"/>
        <w:rPr>
          <w:rFonts w:ascii="Times New Roman" w:hAnsi="Times New Roman"/>
          <w:sz w:val="24"/>
          <w:szCs w:val="24"/>
        </w:rPr>
      </w:pPr>
    </w:p>
    <w:p w:rsidR="00341240" w:rsidRPr="00341240" w:rsidRDefault="00341240" w:rsidP="00341240">
      <w:pPr>
        <w:spacing w:line="240" w:lineRule="auto"/>
        <w:contextualSpacing/>
        <w:jc w:val="both"/>
        <w:rPr>
          <w:rFonts w:ascii="Times New Roman" w:eastAsia="Calibri" w:hAnsi="Times New Roman" w:cs="Times New Roman"/>
          <w:b/>
          <w:sz w:val="28"/>
          <w:szCs w:val="28"/>
        </w:rPr>
      </w:pPr>
      <w:r w:rsidRPr="00341240">
        <w:rPr>
          <w:rFonts w:ascii="Times New Roman" w:hAnsi="Times New Roman"/>
          <w:sz w:val="24"/>
          <w:szCs w:val="24"/>
        </w:rPr>
        <w:t xml:space="preserve">    </w:t>
      </w:r>
      <w:r w:rsidRPr="00341240">
        <w:rPr>
          <w:rFonts w:ascii="Times New Roman" w:hAnsi="Times New Roman"/>
          <w:sz w:val="24"/>
          <w:szCs w:val="24"/>
          <w:lang w:val="en-US"/>
        </w:rPr>
        <w:t>C</w:t>
      </w:r>
      <w:r w:rsidRPr="00341240">
        <w:rPr>
          <w:rFonts w:ascii="Times New Roman" w:hAnsi="Times New Roman"/>
          <w:sz w:val="24"/>
          <w:szCs w:val="24"/>
        </w:rPr>
        <w:t xml:space="preserve"> 3 августа 2015 года введена в действие новая  редакция правил клиринга, общая часть которых едина для валютного рынка и рынка драгоценных металлов, фондового и срочного рынков. Объединение правил клиринга в единую редакцию, содержащую  общие для указанных рынков правила и процедуры, позволило,  в том числе обеспечить реализацию задачи по проведению единого ликвидационного неттинга по обязательствам из сделок,  заключенных на всех указанных рынках.</w:t>
      </w:r>
    </w:p>
    <w:p w:rsidR="00341240" w:rsidRPr="00341240" w:rsidRDefault="00341240" w:rsidP="00341240">
      <w:pPr>
        <w:spacing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w:t>
      </w:r>
    </w:p>
    <w:p w:rsidR="00341240" w:rsidRPr="00341240" w:rsidRDefault="00341240" w:rsidP="00341240">
      <w:pPr>
        <w:contextualSpacing/>
        <w:jc w:val="both"/>
        <w:rPr>
          <w:rFonts w:ascii="Times New Roman" w:eastAsia="Calibri" w:hAnsi="Times New Roman" w:cs="Times New Roman"/>
          <w:sz w:val="24"/>
          <w:szCs w:val="24"/>
        </w:rPr>
      </w:pPr>
    </w:p>
    <w:p w:rsidR="00341240" w:rsidRPr="00341240" w:rsidRDefault="00341240" w:rsidP="00341240">
      <w:pPr>
        <w:ind w:left="720"/>
        <w:contextualSpacing/>
        <w:jc w:val="both"/>
        <w:rPr>
          <w:rFonts w:ascii="Times New Roman" w:eastAsia="Calibri" w:hAnsi="Times New Roman" w:cs="Times New Roman"/>
          <w:sz w:val="24"/>
          <w:szCs w:val="24"/>
        </w:rPr>
      </w:pPr>
    </w:p>
    <w:p w:rsidR="00341240" w:rsidRPr="00341240" w:rsidRDefault="00341240" w:rsidP="00341240">
      <w:pPr>
        <w:contextualSpacing/>
        <w:jc w:val="both"/>
        <w:rPr>
          <w:rFonts w:ascii="Times New Roman" w:eastAsia="Calibri" w:hAnsi="Times New Roman" w:cs="Times New Roman"/>
          <w:b/>
          <w:sz w:val="28"/>
          <w:szCs w:val="28"/>
        </w:rPr>
      </w:pPr>
      <w:r w:rsidRPr="00341240">
        <w:rPr>
          <w:rFonts w:ascii="Times New Roman" w:eastAsia="Calibri" w:hAnsi="Times New Roman" w:cs="Times New Roman"/>
          <w:b/>
          <w:sz w:val="28"/>
          <w:szCs w:val="28"/>
          <w:lang w:val="en-US"/>
        </w:rPr>
        <w:t>IV</w:t>
      </w:r>
      <w:r w:rsidRPr="00341240">
        <w:rPr>
          <w:rFonts w:ascii="Times New Roman" w:eastAsia="Calibri" w:hAnsi="Times New Roman" w:cs="Times New Roman"/>
          <w:b/>
          <w:sz w:val="28"/>
          <w:szCs w:val="28"/>
        </w:rPr>
        <w:t>.</w:t>
      </w:r>
      <w:r w:rsidRPr="00341240">
        <w:rPr>
          <w:rFonts w:ascii="Times New Roman" w:eastAsia="Calibri" w:hAnsi="Times New Roman" w:cs="Times New Roman"/>
          <w:b/>
          <w:sz w:val="28"/>
          <w:szCs w:val="28"/>
        </w:rPr>
        <w:tab/>
        <w:t>Унификация порядка учета средств гарантийных фондов</w:t>
      </w:r>
    </w:p>
    <w:p w:rsidR="00341240" w:rsidRPr="00341240" w:rsidRDefault="00341240" w:rsidP="00341240">
      <w:pPr>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Осуществлена унификация порядка учета средств гарантийных фондов валютного рынка и рынка драгоценных металлов, фондового, срочного, товарного рынков и перечня активов, принимаемых в гарантийные фонды, что создало дополнительные условия для более эффективного и удобного использования участников собственных средств. В результате унификации:</w:t>
      </w:r>
    </w:p>
    <w:p w:rsidR="00341240" w:rsidRPr="00341240" w:rsidRDefault="00341240" w:rsidP="00AB0ACF">
      <w:pPr>
        <w:numPr>
          <w:ilvl w:val="0"/>
          <w:numId w:val="45"/>
        </w:numPr>
        <w:tabs>
          <w:tab w:val="num" w:pos="426"/>
        </w:tabs>
        <w:spacing w:before="60" w:after="0" w:line="240" w:lineRule="auto"/>
        <w:contextualSpacing/>
        <w:jc w:val="both"/>
        <w:rPr>
          <w:rFonts w:ascii="Times New Roman" w:eastAsia="Times New Roman" w:hAnsi="Times New Roman" w:cs="Times New Roman"/>
          <w:bCs/>
          <w:sz w:val="24"/>
          <w:szCs w:val="24"/>
          <w:lang w:eastAsia="ru-RU"/>
        </w:rPr>
      </w:pPr>
      <w:r w:rsidRPr="00341240">
        <w:rPr>
          <w:rFonts w:ascii="Times New Roman" w:eastAsia="Times New Roman" w:hAnsi="Times New Roman" w:cs="Times New Roman"/>
          <w:bCs/>
          <w:sz w:val="24"/>
          <w:szCs w:val="24"/>
          <w:lang w:eastAsia="ru-RU"/>
        </w:rPr>
        <w:t>внесение средств в гарантийные фонды фондового, срочного, товарного, валютного рынка и рынка драгоценных металлов осуществляется на единый счет;</w:t>
      </w:r>
    </w:p>
    <w:p w:rsidR="00341240" w:rsidRPr="00341240" w:rsidRDefault="00341240" w:rsidP="00AB0ACF">
      <w:pPr>
        <w:numPr>
          <w:ilvl w:val="0"/>
          <w:numId w:val="45"/>
        </w:numPr>
        <w:tabs>
          <w:tab w:val="num" w:pos="426"/>
        </w:tabs>
        <w:spacing w:before="60" w:after="0" w:line="240" w:lineRule="auto"/>
        <w:contextualSpacing/>
        <w:jc w:val="both"/>
        <w:rPr>
          <w:rFonts w:ascii="Times New Roman" w:eastAsia="Times New Roman" w:hAnsi="Times New Roman" w:cs="Times New Roman"/>
          <w:bCs/>
          <w:sz w:val="24"/>
          <w:szCs w:val="24"/>
          <w:lang w:eastAsia="ru-RU"/>
        </w:rPr>
      </w:pPr>
      <w:r w:rsidRPr="00341240">
        <w:rPr>
          <w:rFonts w:ascii="Times New Roman" w:eastAsia="Times New Roman" w:hAnsi="Times New Roman" w:cs="Times New Roman"/>
          <w:bCs/>
          <w:sz w:val="24"/>
          <w:szCs w:val="24"/>
          <w:lang w:eastAsia="ru-RU"/>
        </w:rPr>
        <w:t>для учета денежных средств, внесенных в гарантийные фонды, для каждого участника клиринга в учете НКЦ выделяется отдельный расчетный код для учета средств гарантийных фондов;</w:t>
      </w:r>
    </w:p>
    <w:p w:rsidR="00341240" w:rsidRPr="00341240" w:rsidRDefault="00341240" w:rsidP="00AB0ACF">
      <w:pPr>
        <w:numPr>
          <w:ilvl w:val="0"/>
          <w:numId w:val="45"/>
        </w:numPr>
        <w:tabs>
          <w:tab w:val="num" w:pos="426"/>
        </w:tabs>
        <w:spacing w:before="60" w:after="0" w:line="240" w:lineRule="auto"/>
        <w:contextualSpacing/>
        <w:jc w:val="both"/>
        <w:rPr>
          <w:rFonts w:ascii="Times New Roman" w:eastAsia="Times New Roman" w:hAnsi="Times New Roman" w:cs="Times New Roman"/>
          <w:bCs/>
          <w:sz w:val="24"/>
          <w:szCs w:val="24"/>
          <w:lang w:eastAsia="ru-RU"/>
        </w:rPr>
      </w:pPr>
      <w:r w:rsidRPr="00341240">
        <w:rPr>
          <w:rFonts w:ascii="Times New Roman" w:eastAsia="Times New Roman" w:hAnsi="Times New Roman" w:cs="Times New Roman"/>
          <w:bCs/>
          <w:sz w:val="24"/>
          <w:szCs w:val="24"/>
          <w:lang w:eastAsia="ru-RU"/>
        </w:rPr>
        <w:t>учет ценных бумаг в гарантийных фондах осуществляется на субсчетах депо участников клиринга, открытых к клиринговому счету депо НКЦ в НРД:</w:t>
      </w:r>
    </w:p>
    <w:p w:rsidR="00341240" w:rsidRPr="00341240" w:rsidRDefault="00341240" w:rsidP="00AB0ACF">
      <w:pPr>
        <w:numPr>
          <w:ilvl w:val="0"/>
          <w:numId w:val="45"/>
        </w:numPr>
        <w:spacing w:before="60" w:after="0" w:line="240" w:lineRule="auto"/>
        <w:contextualSpacing/>
        <w:jc w:val="both"/>
        <w:rPr>
          <w:rFonts w:ascii="Times New Roman" w:eastAsia="Times New Roman" w:hAnsi="Times New Roman" w:cs="Times New Roman"/>
          <w:bCs/>
          <w:sz w:val="24"/>
          <w:szCs w:val="24"/>
          <w:lang w:eastAsia="ru-RU"/>
        </w:rPr>
      </w:pPr>
      <w:r w:rsidRPr="00341240">
        <w:rPr>
          <w:rFonts w:ascii="Times New Roman" w:eastAsia="Times New Roman" w:hAnsi="Times New Roman" w:cs="Times New Roman"/>
          <w:bCs/>
          <w:sz w:val="24"/>
          <w:szCs w:val="24"/>
          <w:lang w:eastAsia="ru-RU"/>
        </w:rPr>
        <w:t>для одного участника клиринга открывается только один субсчет депо;</w:t>
      </w:r>
    </w:p>
    <w:p w:rsidR="00341240" w:rsidRPr="00341240" w:rsidRDefault="00341240" w:rsidP="00AB0ACF">
      <w:pPr>
        <w:numPr>
          <w:ilvl w:val="0"/>
          <w:numId w:val="45"/>
        </w:numPr>
        <w:spacing w:before="60" w:after="0" w:line="240" w:lineRule="auto"/>
        <w:contextualSpacing/>
        <w:jc w:val="both"/>
        <w:rPr>
          <w:rFonts w:ascii="Times New Roman" w:eastAsia="Times New Roman" w:hAnsi="Times New Roman" w:cs="Times New Roman"/>
          <w:bCs/>
          <w:sz w:val="24"/>
          <w:szCs w:val="24"/>
          <w:lang w:eastAsia="ru-RU"/>
        </w:rPr>
      </w:pPr>
      <w:r w:rsidRPr="00341240">
        <w:rPr>
          <w:rFonts w:ascii="Times New Roman" w:eastAsia="Times New Roman" w:hAnsi="Times New Roman" w:cs="Times New Roman"/>
          <w:bCs/>
          <w:sz w:val="24"/>
          <w:szCs w:val="24"/>
          <w:lang w:eastAsia="ru-RU"/>
        </w:rPr>
        <w:t>информация об открытых субсчетах депо передается от НРД в НКЦ;</w:t>
      </w:r>
    </w:p>
    <w:p w:rsidR="00341240" w:rsidRPr="00341240" w:rsidRDefault="00341240" w:rsidP="00AB0ACF">
      <w:pPr>
        <w:numPr>
          <w:ilvl w:val="0"/>
          <w:numId w:val="45"/>
        </w:numPr>
        <w:spacing w:before="60" w:after="0" w:line="240" w:lineRule="auto"/>
        <w:contextualSpacing/>
        <w:jc w:val="both"/>
        <w:rPr>
          <w:rFonts w:ascii="Times New Roman" w:eastAsia="Times New Roman" w:hAnsi="Times New Roman" w:cs="Times New Roman"/>
          <w:bCs/>
          <w:sz w:val="24"/>
          <w:szCs w:val="24"/>
          <w:lang w:eastAsia="ru-RU"/>
        </w:rPr>
      </w:pPr>
      <w:r w:rsidRPr="00341240">
        <w:rPr>
          <w:rFonts w:ascii="Times New Roman" w:eastAsia="Times New Roman" w:hAnsi="Times New Roman" w:cs="Times New Roman"/>
          <w:bCs/>
          <w:sz w:val="24"/>
          <w:szCs w:val="24"/>
          <w:lang w:eastAsia="ru-RU"/>
        </w:rPr>
        <w:t>информация о количестве ценных бумаг, учитываемых на субсчетах депо, перед началом и в ходе торгов транслируется в Торгово-клиринговую систему фондового рынка;</w:t>
      </w:r>
    </w:p>
    <w:p w:rsidR="00341240" w:rsidRPr="00341240" w:rsidRDefault="00341240" w:rsidP="00AB0ACF">
      <w:pPr>
        <w:numPr>
          <w:ilvl w:val="0"/>
          <w:numId w:val="45"/>
        </w:numPr>
        <w:spacing w:before="60" w:after="0" w:line="240" w:lineRule="auto"/>
        <w:contextualSpacing/>
        <w:jc w:val="both"/>
        <w:rPr>
          <w:rFonts w:ascii="Times New Roman" w:eastAsia="Times New Roman" w:hAnsi="Times New Roman" w:cs="Times New Roman"/>
          <w:bCs/>
          <w:sz w:val="24"/>
          <w:szCs w:val="24"/>
          <w:lang w:eastAsia="ru-RU"/>
        </w:rPr>
      </w:pPr>
      <w:r w:rsidRPr="00341240">
        <w:rPr>
          <w:rFonts w:ascii="Times New Roman" w:eastAsia="Times New Roman" w:hAnsi="Times New Roman" w:cs="Times New Roman"/>
          <w:bCs/>
          <w:sz w:val="24"/>
          <w:szCs w:val="24"/>
          <w:lang w:eastAsia="ru-RU"/>
        </w:rPr>
        <w:t>зачисление/списание ценных бумаг на субсчет депо осуществляется только по поручению НКЦ;</w:t>
      </w:r>
    </w:p>
    <w:p w:rsidR="00341240" w:rsidRPr="00341240" w:rsidRDefault="00341240" w:rsidP="00AB0ACF">
      <w:pPr>
        <w:numPr>
          <w:ilvl w:val="0"/>
          <w:numId w:val="45"/>
        </w:numPr>
        <w:spacing w:before="60" w:after="0" w:line="240" w:lineRule="auto"/>
        <w:contextualSpacing/>
        <w:jc w:val="both"/>
        <w:rPr>
          <w:rFonts w:ascii="Times New Roman" w:eastAsia="Times New Roman" w:hAnsi="Times New Roman" w:cs="Times New Roman"/>
          <w:bCs/>
          <w:sz w:val="24"/>
          <w:szCs w:val="24"/>
          <w:lang w:eastAsia="ru-RU"/>
        </w:rPr>
      </w:pPr>
      <w:r w:rsidRPr="00341240">
        <w:rPr>
          <w:rFonts w:ascii="Times New Roman" w:eastAsia="Times New Roman" w:hAnsi="Times New Roman" w:cs="Times New Roman"/>
          <w:bCs/>
          <w:sz w:val="24"/>
          <w:szCs w:val="24"/>
          <w:lang w:eastAsia="ru-RU"/>
        </w:rPr>
        <w:t>возможен перевод ценных бумаг между субсчетом депо и торговым разделом, открытым на собственном торговом счете депо участника клиринга.</w:t>
      </w:r>
    </w:p>
    <w:p w:rsidR="00341240" w:rsidRPr="00341240" w:rsidRDefault="00341240" w:rsidP="00AB0ACF">
      <w:pPr>
        <w:numPr>
          <w:ilvl w:val="0"/>
          <w:numId w:val="45"/>
        </w:numPr>
        <w:tabs>
          <w:tab w:val="num" w:pos="426"/>
        </w:tabs>
        <w:spacing w:before="60" w:after="0" w:line="240" w:lineRule="auto"/>
        <w:contextualSpacing/>
        <w:jc w:val="both"/>
        <w:rPr>
          <w:rFonts w:ascii="Times New Roman" w:eastAsia="Times New Roman" w:hAnsi="Times New Roman" w:cs="Times New Roman"/>
          <w:bCs/>
          <w:sz w:val="24"/>
          <w:szCs w:val="24"/>
          <w:lang w:eastAsia="ru-RU"/>
        </w:rPr>
      </w:pPr>
      <w:r w:rsidRPr="00341240">
        <w:rPr>
          <w:rFonts w:ascii="Times New Roman" w:eastAsia="Times New Roman" w:hAnsi="Times New Roman" w:cs="Times New Roman"/>
          <w:bCs/>
          <w:sz w:val="24"/>
          <w:szCs w:val="24"/>
          <w:lang w:eastAsia="ru-RU"/>
        </w:rPr>
        <w:t>гарантийные фонды разных биржевых рынков не объединяются;</w:t>
      </w:r>
    </w:p>
    <w:p w:rsidR="00341240" w:rsidRPr="00341240" w:rsidRDefault="00341240" w:rsidP="00AB0ACF">
      <w:pPr>
        <w:numPr>
          <w:ilvl w:val="0"/>
          <w:numId w:val="45"/>
        </w:numPr>
        <w:tabs>
          <w:tab w:val="num" w:pos="426"/>
        </w:tabs>
        <w:spacing w:before="60" w:after="0" w:line="240" w:lineRule="auto"/>
        <w:contextualSpacing/>
        <w:jc w:val="both"/>
        <w:rPr>
          <w:rFonts w:ascii="Times New Roman" w:eastAsia="Times New Roman" w:hAnsi="Times New Roman" w:cs="Times New Roman"/>
          <w:bCs/>
          <w:sz w:val="24"/>
          <w:szCs w:val="24"/>
          <w:lang w:eastAsia="ru-RU"/>
        </w:rPr>
      </w:pPr>
      <w:r w:rsidRPr="00341240">
        <w:rPr>
          <w:rFonts w:ascii="Times New Roman" w:eastAsia="Times New Roman" w:hAnsi="Times New Roman" w:cs="Times New Roman"/>
          <w:bCs/>
          <w:sz w:val="24"/>
          <w:szCs w:val="24"/>
          <w:lang w:eastAsia="ru-RU"/>
        </w:rPr>
        <w:t>задолженность недобросовестного участника клиринга, возникшая на одном из биржевых рынков, может быть погашена за счет взносов недобросовестного участника клиринга в гарантийные фонды всех биржевых рынков и взносов добросовестных участников клиринга на биржевом рынке, на котором возникла задолженность (и не может быть погашена за счет взносов добросовестных участников клиринга в гарантийные фонды других биржевых рынков).</w:t>
      </w:r>
    </w:p>
    <w:p w:rsidR="00341240" w:rsidRPr="00341240" w:rsidRDefault="00341240" w:rsidP="00341240">
      <w:pPr>
        <w:spacing w:after="0" w:line="240" w:lineRule="auto"/>
        <w:contextualSpacing/>
        <w:jc w:val="both"/>
        <w:rPr>
          <w:rFonts w:ascii="Times New Roman" w:eastAsia="Calibri" w:hAnsi="Times New Roman" w:cs="Times New Roman"/>
          <w:sz w:val="24"/>
          <w:szCs w:val="24"/>
        </w:rPr>
      </w:pPr>
    </w:p>
    <w:p w:rsidR="00341240" w:rsidRPr="00341240" w:rsidRDefault="00341240" w:rsidP="00341240">
      <w:pPr>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В рамках унификации порядка учета средств гарантийных фондов установлен единый перечень активов, принимаемых в гарантийные фонды, определен порядок оценки вносимых в эти фонды активов и меры, применяемые к участнику клиринга в случае недостаточности взносов.</w:t>
      </w:r>
    </w:p>
    <w:p w:rsidR="00341240" w:rsidRPr="00341240" w:rsidRDefault="00341240" w:rsidP="00341240">
      <w:pPr>
        <w:ind w:left="720"/>
        <w:contextualSpacing/>
        <w:jc w:val="both"/>
        <w:rPr>
          <w:rFonts w:ascii="Times New Roman" w:eastAsia="Calibri" w:hAnsi="Times New Roman" w:cs="Times New Roman"/>
          <w:sz w:val="24"/>
          <w:szCs w:val="24"/>
        </w:rPr>
      </w:pPr>
    </w:p>
    <w:p w:rsidR="00341240" w:rsidRPr="00341240" w:rsidRDefault="00341240" w:rsidP="00341240">
      <w:pPr>
        <w:contextualSpacing/>
        <w:jc w:val="center"/>
        <w:rPr>
          <w:rFonts w:ascii="Times New Roman" w:eastAsia="Calibri" w:hAnsi="Times New Roman" w:cs="Times New Roman"/>
          <w:b/>
          <w:sz w:val="28"/>
          <w:szCs w:val="28"/>
        </w:rPr>
      </w:pPr>
      <w:r w:rsidRPr="00341240">
        <w:rPr>
          <w:rFonts w:ascii="Times New Roman" w:eastAsia="Calibri" w:hAnsi="Times New Roman" w:cs="Times New Roman"/>
          <w:b/>
          <w:sz w:val="28"/>
          <w:szCs w:val="28"/>
          <w:lang w:val="en-US"/>
        </w:rPr>
        <w:t>V</w:t>
      </w:r>
      <w:r w:rsidRPr="00341240">
        <w:rPr>
          <w:rFonts w:ascii="Times New Roman" w:eastAsia="Calibri" w:hAnsi="Times New Roman" w:cs="Times New Roman"/>
          <w:b/>
          <w:sz w:val="28"/>
          <w:szCs w:val="28"/>
        </w:rPr>
        <w:t>.  Внедрение процедуры  единого ликвидационного неттинга</w:t>
      </w:r>
    </w:p>
    <w:p w:rsidR="00341240" w:rsidRPr="00341240" w:rsidRDefault="00341240" w:rsidP="00341240">
      <w:pPr>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w:t>
      </w:r>
    </w:p>
    <w:p w:rsidR="00341240" w:rsidRPr="00341240" w:rsidRDefault="00341240" w:rsidP="00341240">
      <w:pPr>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В 2015 году была внедрена процедура единого ликвидационного неттинга для валютного рынка и рынка драгоценных металлов, фондового, срочного и товарного рынков.</w:t>
      </w:r>
    </w:p>
    <w:p w:rsidR="00341240" w:rsidRPr="00341240" w:rsidRDefault="00341240" w:rsidP="00341240">
      <w:pPr>
        <w:spacing w:after="0" w:line="240" w:lineRule="auto"/>
        <w:contextualSpacing/>
        <w:jc w:val="both"/>
        <w:rPr>
          <w:rFonts w:ascii="Times New Roman" w:eastAsia="Times New Roman" w:hAnsi="Times New Roman" w:cs="Arial"/>
          <w:sz w:val="24"/>
          <w:szCs w:val="20"/>
        </w:rPr>
      </w:pPr>
      <w:r w:rsidRPr="00341240">
        <w:rPr>
          <w:rFonts w:ascii="Times New Roman" w:eastAsia="Calibri" w:hAnsi="Times New Roman" w:cs="Times New Roman"/>
          <w:sz w:val="24"/>
          <w:szCs w:val="24"/>
        </w:rPr>
        <w:t xml:space="preserve">В процессе ликвидационного неттинга клиринговый центр рассчитывает сумму нетто-обязательств / нетто-требований участника клиринга в российских рублях по сделкам с центральным контрагентом, иным обязательствам между участником клиринга и НКЦ, а также средствам, предоставленным участником клиринга НКЦ в качестве индивидуального, коллективного и иного обеспечения. </w:t>
      </w:r>
      <w:r w:rsidRPr="00341240">
        <w:rPr>
          <w:rFonts w:ascii="Times New Roman" w:eastAsia="Times New Roman" w:hAnsi="Times New Roman" w:cs="Arial"/>
          <w:sz w:val="24"/>
          <w:szCs w:val="20"/>
        </w:rPr>
        <w:t>Реализация данного проекта позволила дополнительно повысить надежность НКЦ, как центрального контрагента.</w:t>
      </w:r>
    </w:p>
    <w:p w:rsidR="00341240" w:rsidRPr="00341240" w:rsidRDefault="00341240" w:rsidP="00341240">
      <w:pPr>
        <w:spacing w:line="240" w:lineRule="auto"/>
        <w:ind w:left="720"/>
        <w:contextualSpacing/>
        <w:jc w:val="both"/>
        <w:rPr>
          <w:rFonts w:ascii="Times New Roman" w:eastAsia="Calibri" w:hAnsi="Times New Roman" w:cs="Times New Roman"/>
          <w:b/>
          <w:sz w:val="24"/>
          <w:szCs w:val="24"/>
          <w:highlight w:val="yellow"/>
        </w:rPr>
      </w:pPr>
    </w:p>
    <w:p w:rsidR="00341240" w:rsidRPr="00341240" w:rsidRDefault="00341240" w:rsidP="00341240">
      <w:pPr>
        <w:widowControl w:val="0"/>
        <w:adjustRightInd w:val="0"/>
        <w:spacing w:before="240" w:after="0" w:line="240" w:lineRule="auto"/>
        <w:jc w:val="center"/>
        <w:textAlignment w:val="baseline"/>
        <w:rPr>
          <w:rFonts w:ascii="Times New Roman" w:eastAsia="Times New Roman" w:hAnsi="Times New Roman" w:cs="Times New Roman"/>
          <w:bCs/>
          <w:sz w:val="28"/>
          <w:szCs w:val="28"/>
        </w:rPr>
      </w:pPr>
      <w:r w:rsidRPr="00341240">
        <w:rPr>
          <w:rFonts w:ascii="Times New Roman" w:eastAsia="Calibri" w:hAnsi="Times New Roman" w:cs="Times New Roman"/>
          <w:b/>
          <w:bCs/>
          <w:sz w:val="28"/>
          <w:szCs w:val="28"/>
          <w:lang w:val="en-US"/>
        </w:rPr>
        <w:t>VI</w:t>
      </w:r>
      <w:r w:rsidRPr="00341240">
        <w:rPr>
          <w:rFonts w:ascii="Times New Roman" w:eastAsia="Calibri" w:hAnsi="Times New Roman" w:cs="Times New Roman"/>
          <w:b/>
          <w:bCs/>
          <w:sz w:val="24"/>
          <w:szCs w:val="24"/>
        </w:rPr>
        <w:t xml:space="preserve">. </w:t>
      </w:r>
      <w:r w:rsidRPr="00341240">
        <w:rPr>
          <w:rFonts w:ascii="Times New Roman" w:eastAsia="Times New Roman" w:hAnsi="Times New Roman" w:cs="Times New Roman"/>
          <w:b/>
          <w:bCs/>
          <w:sz w:val="28"/>
          <w:szCs w:val="28"/>
        </w:rPr>
        <w:t>Реализация проекта, предусматривающего передачу обязательств и обеспечения клиента участника клиринга другому участнику клиринга</w:t>
      </w:r>
    </w:p>
    <w:p w:rsidR="00341240" w:rsidRPr="00341240" w:rsidRDefault="00341240" w:rsidP="00341240">
      <w:pPr>
        <w:widowControl w:val="0"/>
        <w:adjustRightInd w:val="0"/>
        <w:spacing w:before="240" w:after="0" w:line="240" w:lineRule="auto"/>
        <w:jc w:val="both"/>
        <w:textAlignment w:val="baseline"/>
        <w:rPr>
          <w:rFonts w:ascii="Times New Roman" w:eastAsia="Times New Roman" w:hAnsi="Times New Roman" w:cs="Times New Roman"/>
          <w:bCs/>
          <w:sz w:val="24"/>
          <w:szCs w:val="24"/>
        </w:rPr>
      </w:pPr>
      <w:r w:rsidRPr="00341240">
        <w:rPr>
          <w:rFonts w:ascii="Times New Roman" w:eastAsia="Times New Roman" w:hAnsi="Times New Roman" w:cs="Times New Roman"/>
          <w:bCs/>
          <w:sz w:val="24"/>
          <w:szCs w:val="24"/>
        </w:rPr>
        <w:t xml:space="preserve">      В результате осуществления данного проекта создана возможность регистрации по заявлению участника клиринга обособленных клиентов на валютном рынке и рынке драгоценных металлов, на фондовом рынке и обособленных брокерских фирм на срочном рынке. Теперь обособленный клиент / доверенный владелец счетов могут воспользоваться переводом обязательств/требований и обеспечения от своего участника клиринга в случае его дефолта другому участнику клиринга в соответствии с п.4 статьи 22 Федерального закона «О клиринге и клиринговой деятельности». При этом в качестве обособленного клиента может выступать клиент участника клиринга, которым может являться участник торгов или клиент клиента участника клиринга. Передача обязательств и обеспечения клиента участника клиринга другому участнику клиринга осуществляется по следующей схеме:</w:t>
      </w:r>
    </w:p>
    <w:p w:rsidR="00341240" w:rsidRPr="00341240" w:rsidRDefault="00341240" w:rsidP="00341240">
      <w:pPr>
        <w:contextualSpacing/>
        <w:jc w:val="both"/>
        <w:rPr>
          <w:rFonts w:ascii="Times New Roman" w:eastAsia="Calibri" w:hAnsi="Times New Roman" w:cs="Times New Roman"/>
          <w:b/>
          <w:sz w:val="28"/>
          <w:szCs w:val="28"/>
        </w:rPr>
      </w:pPr>
    </w:p>
    <w:p w:rsidR="00341240" w:rsidRPr="00341240" w:rsidRDefault="00341240" w:rsidP="00341240">
      <w:pPr>
        <w:spacing w:before="60" w:after="0" w:line="240" w:lineRule="auto"/>
        <w:jc w:val="both"/>
        <w:rPr>
          <w:rFonts w:ascii="Times New Roman" w:eastAsia="Times New Roman" w:hAnsi="Times New Roman" w:cs="Arial"/>
          <w:sz w:val="24"/>
          <w:szCs w:val="24"/>
        </w:rPr>
      </w:pPr>
    </w:p>
    <w:p w:rsidR="00341240" w:rsidRPr="00341240" w:rsidRDefault="00341240" w:rsidP="00341240">
      <w:pPr>
        <w:spacing w:before="60" w:after="0" w:line="240" w:lineRule="auto"/>
        <w:jc w:val="both"/>
        <w:rPr>
          <w:rFonts w:ascii="Times New Roman" w:eastAsia="Times New Roman" w:hAnsi="Times New Roman" w:cs="Arial"/>
          <w:sz w:val="24"/>
          <w:szCs w:val="20"/>
        </w:rPr>
      </w:pPr>
      <w:r w:rsidRPr="00341240">
        <w:rPr>
          <w:rFonts w:ascii="Times New Roman" w:eastAsia="Times New Roman" w:hAnsi="Times New Roman" w:cs="Arial"/>
          <w:noProof/>
          <w:sz w:val="24"/>
          <w:szCs w:val="20"/>
          <w:lang w:eastAsia="ru-RU"/>
        </w:rPr>
        <w:drawing>
          <wp:inline distT="0" distB="0" distL="0" distR="0" wp14:anchorId="2EB70E96" wp14:editId="3FB75E0B">
            <wp:extent cx="6096635" cy="1976120"/>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635" cy="1976120"/>
                    </a:xfrm>
                    <a:prstGeom prst="rect">
                      <a:avLst/>
                    </a:prstGeom>
                    <a:noFill/>
                  </pic:spPr>
                </pic:pic>
              </a:graphicData>
            </a:graphic>
          </wp:inline>
        </w:drawing>
      </w:r>
    </w:p>
    <w:p w:rsidR="00341240" w:rsidRPr="00341240" w:rsidRDefault="00341240" w:rsidP="00341240">
      <w:pPr>
        <w:spacing w:before="60" w:after="0" w:line="240" w:lineRule="auto"/>
        <w:jc w:val="both"/>
        <w:rPr>
          <w:rFonts w:ascii="Times New Roman" w:eastAsia="Times New Roman" w:hAnsi="Times New Roman" w:cs="Arial"/>
          <w:sz w:val="24"/>
          <w:szCs w:val="20"/>
        </w:rPr>
      </w:pPr>
    </w:p>
    <w:p w:rsidR="00341240" w:rsidRPr="00341240" w:rsidRDefault="00341240" w:rsidP="00341240">
      <w:pPr>
        <w:spacing w:before="60" w:after="0" w:line="240" w:lineRule="auto"/>
        <w:jc w:val="both"/>
        <w:rPr>
          <w:rFonts w:ascii="Times New Roman" w:eastAsia="Times New Roman" w:hAnsi="Times New Roman" w:cs="Arial"/>
          <w:bCs/>
          <w:sz w:val="24"/>
          <w:szCs w:val="20"/>
        </w:rPr>
      </w:pPr>
    </w:p>
    <w:p w:rsidR="00341240" w:rsidRPr="00341240" w:rsidRDefault="00341240" w:rsidP="00341240">
      <w:pPr>
        <w:spacing w:before="60" w:after="0" w:line="240" w:lineRule="auto"/>
        <w:jc w:val="both"/>
        <w:rPr>
          <w:rFonts w:ascii="Times New Roman" w:eastAsia="Times New Roman" w:hAnsi="Times New Roman" w:cs="Arial"/>
          <w:bCs/>
          <w:sz w:val="24"/>
          <w:szCs w:val="20"/>
        </w:rPr>
      </w:pPr>
    </w:p>
    <w:p w:rsidR="00341240" w:rsidRPr="00341240" w:rsidRDefault="00341240" w:rsidP="00341240">
      <w:pPr>
        <w:spacing w:before="60" w:after="0" w:line="240" w:lineRule="auto"/>
        <w:jc w:val="both"/>
        <w:rPr>
          <w:rFonts w:ascii="Times New Roman" w:eastAsia="Times New Roman" w:hAnsi="Times New Roman" w:cs="Arial"/>
          <w:bCs/>
          <w:sz w:val="24"/>
          <w:szCs w:val="20"/>
        </w:rPr>
      </w:pPr>
      <w:r w:rsidRPr="00341240">
        <w:rPr>
          <w:rFonts w:ascii="Times New Roman" w:eastAsia="Times New Roman" w:hAnsi="Times New Roman" w:cs="Arial"/>
          <w:sz w:val="24"/>
          <w:szCs w:val="20"/>
        </w:rPr>
        <w:t xml:space="preserve">     Введенная  процедура перевода обязательств и обеспечения была подвергнута экспертной оценке  международного консультанта (английской юридической фирмой Клиффорд Чанс СНГ Лимитед (</w:t>
      </w:r>
      <w:r w:rsidRPr="00341240">
        <w:rPr>
          <w:rFonts w:ascii="Times New Roman" w:eastAsia="Times New Roman" w:hAnsi="Times New Roman" w:cs="Arial"/>
          <w:sz w:val="24"/>
          <w:szCs w:val="20"/>
          <w:lang w:val="en-US"/>
        </w:rPr>
        <w:t>Clifford</w:t>
      </w:r>
      <w:r w:rsidRPr="00341240">
        <w:rPr>
          <w:rFonts w:ascii="Times New Roman" w:eastAsia="Times New Roman" w:hAnsi="Times New Roman" w:cs="Arial"/>
          <w:sz w:val="24"/>
          <w:szCs w:val="20"/>
        </w:rPr>
        <w:t xml:space="preserve"> </w:t>
      </w:r>
      <w:r w:rsidRPr="00341240">
        <w:rPr>
          <w:rFonts w:ascii="Times New Roman" w:eastAsia="Times New Roman" w:hAnsi="Times New Roman" w:cs="Arial"/>
          <w:sz w:val="24"/>
          <w:szCs w:val="20"/>
          <w:lang w:val="en-US"/>
        </w:rPr>
        <w:t>Chance</w:t>
      </w:r>
      <w:r w:rsidRPr="00341240">
        <w:rPr>
          <w:rFonts w:ascii="Times New Roman" w:eastAsia="Times New Roman" w:hAnsi="Times New Roman" w:cs="Arial"/>
          <w:sz w:val="24"/>
          <w:szCs w:val="20"/>
        </w:rPr>
        <w:t xml:space="preserve"> </w:t>
      </w:r>
      <w:r w:rsidRPr="00341240">
        <w:rPr>
          <w:rFonts w:ascii="Times New Roman" w:eastAsia="Times New Roman" w:hAnsi="Times New Roman" w:cs="Arial"/>
          <w:sz w:val="24"/>
          <w:szCs w:val="20"/>
          <w:lang w:val="en-US"/>
        </w:rPr>
        <w:t>CIS</w:t>
      </w:r>
      <w:r w:rsidRPr="00341240">
        <w:rPr>
          <w:rFonts w:ascii="Times New Roman" w:eastAsia="Times New Roman" w:hAnsi="Times New Roman" w:cs="Arial"/>
          <w:sz w:val="24"/>
          <w:szCs w:val="20"/>
        </w:rPr>
        <w:t xml:space="preserve"> </w:t>
      </w:r>
      <w:r w:rsidRPr="00341240">
        <w:rPr>
          <w:rFonts w:ascii="Times New Roman" w:eastAsia="Times New Roman" w:hAnsi="Times New Roman" w:cs="Arial"/>
          <w:sz w:val="24"/>
          <w:szCs w:val="20"/>
          <w:lang w:val="en-US"/>
        </w:rPr>
        <w:t>Limited</w:t>
      </w:r>
      <w:r w:rsidRPr="00341240">
        <w:rPr>
          <w:rFonts w:ascii="Times New Roman" w:eastAsia="Times New Roman" w:hAnsi="Times New Roman" w:cs="Arial"/>
          <w:sz w:val="24"/>
          <w:szCs w:val="20"/>
        </w:rPr>
        <w:t>)), который сделал заключение  о принципиальном соответствии реализованной в данном проекте технологии требованиям EMIR.</w:t>
      </w:r>
    </w:p>
    <w:p w:rsidR="00341240" w:rsidRPr="00341240" w:rsidRDefault="00341240" w:rsidP="00341240">
      <w:pPr>
        <w:contextualSpacing/>
        <w:jc w:val="both"/>
        <w:rPr>
          <w:rFonts w:ascii="Times New Roman" w:eastAsia="Calibri" w:hAnsi="Times New Roman" w:cs="Times New Roman"/>
          <w:b/>
          <w:sz w:val="28"/>
          <w:szCs w:val="28"/>
        </w:rPr>
      </w:pPr>
    </w:p>
    <w:p w:rsidR="00341240" w:rsidRPr="00341240" w:rsidRDefault="00341240" w:rsidP="00341240">
      <w:pPr>
        <w:keepNext/>
        <w:spacing w:before="240" w:after="0" w:line="240" w:lineRule="auto"/>
        <w:jc w:val="both"/>
        <w:rPr>
          <w:rFonts w:ascii="Times New Roman" w:eastAsia="Times New Roman" w:hAnsi="Times New Roman" w:cs="Times New Roman"/>
          <w:b/>
          <w:sz w:val="28"/>
          <w:szCs w:val="28"/>
        </w:rPr>
      </w:pPr>
    </w:p>
    <w:p w:rsidR="00341240" w:rsidRPr="00341240" w:rsidRDefault="00341240" w:rsidP="00341240">
      <w:pPr>
        <w:spacing w:after="0" w:line="240" w:lineRule="auto"/>
        <w:contextualSpacing/>
        <w:jc w:val="both"/>
        <w:rPr>
          <w:rFonts w:ascii="Times New Roman" w:eastAsia="Calibri" w:hAnsi="Times New Roman" w:cs="Times New Roman"/>
          <w:sz w:val="28"/>
          <w:szCs w:val="28"/>
        </w:rPr>
      </w:pPr>
      <w:r w:rsidRPr="00341240">
        <w:rPr>
          <w:rFonts w:ascii="Times New Roman" w:eastAsia="Calibri" w:hAnsi="Times New Roman" w:cs="Times New Roman"/>
          <w:b/>
          <w:sz w:val="28"/>
          <w:szCs w:val="28"/>
          <w:lang w:val="en-US"/>
        </w:rPr>
        <w:t>VII</w:t>
      </w:r>
      <w:r w:rsidRPr="00341240">
        <w:rPr>
          <w:rFonts w:ascii="Times New Roman" w:eastAsia="Calibri" w:hAnsi="Times New Roman" w:cs="Times New Roman"/>
          <w:b/>
          <w:sz w:val="28"/>
          <w:szCs w:val="28"/>
        </w:rPr>
        <w:t xml:space="preserve"> Разработка и обновление методологических документов в части управления рисками и капиталом Банка</w:t>
      </w:r>
      <w:r w:rsidRPr="00341240">
        <w:rPr>
          <w:rFonts w:ascii="Times New Roman" w:eastAsia="Calibri" w:hAnsi="Times New Roman" w:cs="Times New Roman"/>
          <w:sz w:val="28"/>
          <w:szCs w:val="28"/>
        </w:rPr>
        <w:t xml:space="preserve"> </w:t>
      </w:r>
    </w:p>
    <w:p w:rsidR="00341240" w:rsidRPr="00341240" w:rsidRDefault="00341240" w:rsidP="00341240">
      <w:pPr>
        <w:spacing w:after="0" w:line="240" w:lineRule="auto"/>
        <w:ind w:left="425"/>
        <w:jc w:val="both"/>
        <w:rPr>
          <w:rFonts w:ascii="Times New Roman" w:hAnsi="Times New Roman"/>
          <w:sz w:val="24"/>
          <w:szCs w:val="24"/>
        </w:rPr>
      </w:pPr>
      <w:r w:rsidRPr="00341240">
        <w:rPr>
          <w:rFonts w:ascii="Times New Roman" w:hAnsi="Times New Roman"/>
          <w:sz w:val="24"/>
          <w:szCs w:val="24"/>
        </w:rPr>
        <w:t xml:space="preserve">      </w:t>
      </w:r>
    </w:p>
    <w:p w:rsidR="00341240" w:rsidRPr="00341240" w:rsidRDefault="00341240" w:rsidP="00341240">
      <w:pPr>
        <w:spacing w:after="0" w:line="240" w:lineRule="auto"/>
        <w:ind w:left="425"/>
        <w:jc w:val="both"/>
        <w:rPr>
          <w:rFonts w:ascii="Times New Roman" w:hAnsi="Times New Roman"/>
          <w:sz w:val="24"/>
          <w:szCs w:val="24"/>
        </w:rPr>
      </w:pPr>
      <w:r w:rsidRPr="00341240">
        <w:rPr>
          <w:rFonts w:ascii="Times New Roman" w:hAnsi="Times New Roman"/>
          <w:sz w:val="24"/>
          <w:szCs w:val="24"/>
        </w:rPr>
        <w:t xml:space="preserve">     В целях соответствия системы управления рисками НКЦ требованиям Банка России и международным стандартам, а также в рамках совершенствования внутренних процедур оценки достаточности капитала (ВПОДК) в 2015 году были разработаны и утверждены следующие документы:</w:t>
      </w:r>
    </w:p>
    <w:p w:rsidR="00341240" w:rsidRPr="00341240" w:rsidRDefault="00341240" w:rsidP="00AB0ACF">
      <w:pPr>
        <w:numPr>
          <w:ilvl w:val="0"/>
          <w:numId w:val="47"/>
        </w:numPr>
        <w:spacing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Правила организации системы управлениями рисками Банка;</w:t>
      </w:r>
    </w:p>
    <w:p w:rsidR="00341240" w:rsidRPr="00341240" w:rsidRDefault="00341240" w:rsidP="00AB0ACF">
      <w:pPr>
        <w:numPr>
          <w:ilvl w:val="0"/>
          <w:numId w:val="47"/>
        </w:numPr>
        <w:spacing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Стратегия управления рисками и капиталом Банка;</w:t>
      </w:r>
    </w:p>
    <w:p w:rsidR="00341240" w:rsidRPr="00341240" w:rsidRDefault="00341240" w:rsidP="00AB0ACF">
      <w:pPr>
        <w:numPr>
          <w:ilvl w:val="0"/>
          <w:numId w:val="47"/>
        </w:numPr>
        <w:spacing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Контрольные показатели риск-аппетита Банка на 2016 год.</w:t>
      </w:r>
    </w:p>
    <w:p w:rsidR="00341240" w:rsidRPr="00341240" w:rsidRDefault="00341240" w:rsidP="00341240">
      <w:pPr>
        <w:spacing w:line="240" w:lineRule="auto"/>
        <w:ind w:left="425"/>
        <w:contextualSpacing/>
        <w:jc w:val="both"/>
        <w:rPr>
          <w:rFonts w:ascii="Times New Roman" w:eastAsia="Calibri" w:hAnsi="Times New Roman" w:cs="Times New Roman"/>
          <w:sz w:val="24"/>
          <w:szCs w:val="24"/>
        </w:rPr>
      </w:pPr>
    </w:p>
    <w:p w:rsidR="00341240" w:rsidRPr="00341240" w:rsidRDefault="00341240" w:rsidP="00341240">
      <w:pPr>
        <w:spacing w:line="240" w:lineRule="auto"/>
        <w:ind w:left="425"/>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Правила организации системы управления рисками содержат общие положения, определяющие систему управления рисками Банка как клиринговой организации, кредитной организации, а также оператора товарных поставок. Документ содержит описание процедур по идентификации, мониторингу и контролю за рисками, мер, направленных на снижение рисков, критерии применения таких мер.</w:t>
      </w:r>
    </w:p>
    <w:p w:rsidR="00341240" w:rsidRPr="00341240" w:rsidRDefault="00341240" w:rsidP="00341240">
      <w:pPr>
        <w:spacing w:line="240" w:lineRule="auto"/>
        <w:ind w:left="425"/>
        <w:contextualSpacing/>
        <w:jc w:val="both"/>
        <w:rPr>
          <w:rFonts w:ascii="Times New Roman" w:eastAsia="Calibri" w:hAnsi="Times New Roman" w:cs="Times New Roman"/>
          <w:sz w:val="24"/>
          <w:szCs w:val="24"/>
        </w:rPr>
      </w:pPr>
    </w:p>
    <w:p w:rsidR="00341240" w:rsidRPr="00341240" w:rsidRDefault="00341240" w:rsidP="00341240">
      <w:pPr>
        <w:spacing w:line="240" w:lineRule="auto"/>
        <w:ind w:left="425"/>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Стратегия управления рисками и капиталом направлена на гармонизацию процесса управления рисками банковской деятельности Банка и его связь с управлением достаточностью капитала.</w:t>
      </w:r>
    </w:p>
    <w:p w:rsidR="00341240" w:rsidRPr="00341240" w:rsidRDefault="00341240" w:rsidP="00341240">
      <w:pPr>
        <w:spacing w:line="240" w:lineRule="auto"/>
        <w:ind w:left="425"/>
        <w:contextualSpacing/>
        <w:jc w:val="both"/>
        <w:rPr>
          <w:rFonts w:ascii="Times New Roman" w:eastAsia="Calibri" w:hAnsi="Times New Roman" w:cs="Times New Roman"/>
          <w:sz w:val="24"/>
          <w:szCs w:val="24"/>
        </w:rPr>
      </w:pPr>
    </w:p>
    <w:p w:rsidR="00341240" w:rsidRPr="00341240" w:rsidRDefault="00341240" w:rsidP="00341240">
      <w:pPr>
        <w:spacing w:line="240" w:lineRule="auto"/>
        <w:ind w:left="425"/>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Контрольные показатели риск-аппетита на 2016 год разработаны в рамках реализации положений Стратегии управления рисками и капиталом и задают пороговые значения количественных и качественных показателей уровня значимых рисков на предстоящий год.</w:t>
      </w:r>
    </w:p>
    <w:p w:rsidR="00341240" w:rsidRPr="00341240" w:rsidRDefault="00341240" w:rsidP="00341240">
      <w:pPr>
        <w:spacing w:line="240" w:lineRule="auto"/>
        <w:ind w:left="425"/>
        <w:contextualSpacing/>
        <w:jc w:val="both"/>
        <w:rPr>
          <w:rFonts w:ascii="Times New Roman" w:eastAsia="Calibri" w:hAnsi="Times New Roman" w:cs="Times New Roman"/>
          <w:sz w:val="24"/>
          <w:szCs w:val="24"/>
        </w:rPr>
      </w:pPr>
    </w:p>
    <w:p w:rsidR="00341240" w:rsidRPr="00341240" w:rsidRDefault="00341240" w:rsidP="00341240">
      <w:pPr>
        <w:spacing w:line="240" w:lineRule="auto"/>
        <w:ind w:left="425"/>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Совершенствование методологической базы процессов, связанных с управлением рисками и капиталом, является неотъемлемым этапом развития Банка и будет продолжено в 2016 году.</w:t>
      </w:r>
    </w:p>
    <w:p w:rsidR="00341240" w:rsidRPr="00341240" w:rsidRDefault="00341240" w:rsidP="00341240">
      <w:pPr>
        <w:spacing w:line="240" w:lineRule="auto"/>
        <w:ind w:left="425"/>
        <w:contextualSpacing/>
        <w:jc w:val="both"/>
        <w:rPr>
          <w:rFonts w:ascii="Times New Roman" w:eastAsia="Calibri" w:hAnsi="Times New Roman" w:cs="Times New Roman"/>
          <w:sz w:val="24"/>
          <w:szCs w:val="24"/>
        </w:rPr>
      </w:pPr>
    </w:p>
    <w:p w:rsidR="00341240" w:rsidRPr="00341240" w:rsidRDefault="00341240" w:rsidP="00341240">
      <w:pPr>
        <w:spacing w:after="0"/>
        <w:ind w:left="1077"/>
        <w:contextualSpacing/>
        <w:jc w:val="both"/>
        <w:rPr>
          <w:rFonts w:ascii="Times New Roman" w:eastAsia="Calibri" w:hAnsi="Times New Roman" w:cs="Times New Roman"/>
          <w:sz w:val="24"/>
          <w:szCs w:val="24"/>
        </w:rPr>
      </w:pPr>
    </w:p>
    <w:p w:rsidR="00341240" w:rsidRPr="00341240" w:rsidRDefault="00341240" w:rsidP="00341240">
      <w:pPr>
        <w:spacing w:after="0"/>
        <w:ind w:left="357"/>
        <w:contextualSpacing/>
        <w:jc w:val="both"/>
        <w:rPr>
          <w:rFonts w:ascii="Times New Roman" w:eastAsia="Calibri" w:hAnsi="Times New Roman" w:cs="Times New Roman"/>
          <w:b/>
          <w:sz w:val="24"/>
          <w:szCs w:val="24"/>
        </w:rPr>
      </w:pPr>
    </w:p>
    <w:p w:rsidR="00341240" w:rsidRPr="00341240" w:rsidRDefault="00341240" w:rsidP="00341240">
      <w:pPr>
        <w:spacing w:after="0" w:line="240" w:lineRule="auto"/>
        <w:ind w:left="425" w:firstLine="115"/>
        <w:contextualSpacing/>
        <w:jc w:val="center"/>
        <w:rPr>
          <w:rFonts w:ascii="Times New Roman" w:eastAsia="Calibri" w:hAnsi="Times New Roman" w:cs="Times New Roman"/>
          <w:b/>
          <w:sz w:val="28"/>
          <w:szCs w:val="28"/>
        </w:rPr>
      </w:pPr>
      <w:r w:rsidRPr="00341240">
        <w:rPr>
          <w:rFonts w:ascii="Times New Roman" w:eastAsia="Calibri" w:hAnsi="Times New Roman" w:cs="Times New Roman"/>
          <w:b/>
          <w:sz w:val="28"/>
          <w:szCs w:val="28"/>
          <w:lang w:val="en-US"/>
        </w:rPr>
        <w:t>VIII</w:t>
      </w:r>
      <w:r w:rsidRPr="00341240">
        <w:rPr>
          <w:rFonts w:ascii="Times New Roman" w:eastAsia="Calibri" w:hAnsi="Times New Roman" w:cs="Times New Roman"/>
          <w:b/>
          <w:sz w:val="28"/>
          <w:szCs w:val="28"/>
        </w:rPr>
        <w:t>. Самооценка на соответствие деятельности Банка принципам для инфраструктур финансового рынка CPMI-IOSCO</w:t>
      </w:r>
    </w:p>
    <w:p w:rsidR="00341240" w:rsidRPr="00341240" w:rsidRDefault="00341240" w:rsidP="00341240">
      <w:pPr>
        <w:spacing w:after="0"/>
        <w:ind w:left="425" w:firstLine="115"/>
        <w:contextualSpacing/>
        <w:jc w:val="both"/>
        <w:rPr>
          <w:rFonts w:ascii="Times New Roman" w:eastAsia="Calibri" w:hAnsi="Times New Roman" w:cs="Times New Roman"/>
          <w:sz w:val="24"/>
          <w:szCs w:val="24"/>
        </w:rPr>
      </w:pPr>
    </w:p>
    <w:p w:rsidR="00341240" w:rsidRPr="00341240" w:rsidRDefault="00341240" w:rsidP="00341240">
      <w:pPr>
        <w:spacing w:after="0" w:line="240" w:lineRule="auto"/>
        <w:ind w:left="425" w:firstLine="115"/>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В результате проведения ежегодной самооценки</w:t>
      </w:r>
      <w:r w:rsidRPr="00341240">
        <w:rPr>
          <w:rFonts w:ascii="Times New Roman" w:eastAsia="Calibri" w:hAnsi="Times New Roman" w:cs="Times New Roman"/>
          <w:b/>
          <w:sz w:val="24"/>
          <w:szCs w:val="24"/>
        </w:rPr>
        <w:t xml:space="preserve"> </w:t>
      </w:r>
      <w:r w:rsidRPr="00341240">
        <w:rPr>
          <w:rFonts w:ascii="Times New Roman" w:eastAsia="Calibri" w:hAnsi="Times New Roman" w:cs="Times New Roman"/>
          <w:sz w:val="24"/>
          <w:szCs w:val="24"/>
        </w:rPr>
        <w:t xml:space="preserve">сделан  вывод о том, что  Банк соответствует большинству международных принципов и является современной клиринговой организацией-центральным контрагентом, которая имеет на вооружении надежную систему управления рисками и оказывает участникам клиринга, их клиентам качественные услуги также, как это делает и любая другая инфраструктурная организация на ведущих мировых рынках. </w:t>
      </w:r>
    </w:p>
    <w:p w:rsidR="00341240" w:rsidRPr="00341240" w:rsidRDefault="00341240" w:rsidP="00341240">
      <w:pPr>
        <w:spacing w:after="0" w:line="240" w:lineRule="auto"/>
        <w:ind w:left="708"/>
        <w:contextualSpacing/>
        <w:jc w:val="center"/>
        <w:rPr>
          <w:rFonts w:ascii="Times New Roman" w:eastAsia="Calibri" w:hAnsi="Times New Roman" w:cs="Times New Roman"/>
          <w:b/>
          <w:sz w:val="28"/>
          <w:szCs w:val="28"/>
        </w:rPr>
      </w:pPr>
    </w:p>
    <w:p w:rsidR="00341240" w:rsidRPr="00341240" w:rsidRDefault="00341240" w:rsidP="00341240">
      <w:pPr>
        <w:autoSpaceDE w:val="0"/>
        <w:autoSpaceDN w:val="0"/>
        <w:adjustRightInd w:val="0"/>
        <w:spacing w:after="0" w:line="240" w:lineRule="auto"/>
        <w:ind w:left="360"/>
        <w:jc w:val="center"/>
        <w:rPr>
          <w:rFonts w:ascii="Times New Roman" w:hAnsi="Times New Roman" w:cs="Times New Roman"/>
          <w:b/>
          <w:sz w:val="28"/>
          <w:szCs w:val="28"/>
        </w:rPr>
      </w:pPr>
      <w:r w:rsidRPr="00341240">
        <w:rPr>
          <w:rFonts w:ascii="Times New Roman" w:hAnsi="Times New Roman" w:cs="Times New Roman"/>
          <w:b/>
          <w:bCs/>
          <w:sz w:val="28"/>
          <w:szCs w:val="28"/>
          <w:lang w:val="en-US"/>
        </w:rPr>
        <w:t>IX</w:t>
      </w:r>
      <w:r w:rsidRPr="00341240">
        <w:rPr>
          <w:rFonts w:ascii="Times New Roman" w:hAnsi="Times New Roman" w:cs="Times New Roman"/>
          <w:b/>
          <w:bCs/>
          <w:sz w:val="28"/>
          <w:szCs w:val="28"/>
        </w:rPr>
        <w:t>. Во внутренние документы и практику деятельности Банка внедрено р</w:t>
      </w:r>
      <w:r w:rsidRPr="00341240">
        <w:rPr>
          <w:rFonts w:ascii="Times New Roman" w:hAnsi="Times New Roman" w:cs="Times New Roman"/>
          <w:b/>
          <w:sz w:val="28"/>
          <w:szCs w:val="28"/>
        </w:rPr>
        <w:t>азграничение факторов возникновения правового и регуляторного рисков в его деятельности</w:t>
      </w:r>
    </w:p>
    <w:p w:rsidR="00341240" w:rsidRPr="00341240" w:rsidRDefault="00341240" w:rsidP="00341240">
      <w:pPr>
        <w:autoSpaceDE w:val="0"/>
        <w:autoSpaceDN w:val="0"/>
        <w:adjustRightInd w:val="0"/>
        <w:spacing w:after="0" w:line="240" w:lineRule="auto"/>
        <w:ind w:left="360"/>
        <w:jc w:val="both"/>
        <w:rPr>
          <w:rFonts w:ascii="Times New Roman" w:hAnsi="Times New Roman" w:cs="Times New Roman"/>
          <w:b/>
          <w:sz w:val="24"/>
          <w:szCs w:val="24"/>
        </w:rPr>
      </w:pPr>
      <w:r w:rsidRPr="00341240">
        <w:rPr>
          <w:rFonts w:ascii="Times New Roman" w:hAnsi="Times New Roman" w:cs="Times New Roman"/>
          <w:b/>
          <w:sz w:val="24"/>
          <w:szCs w:val="24"/>
        </w:rPr>
        <w:t xml:space="preserve">      </w:t>
      </w:r>
    </w:p>
    <w:p w:rsidR="00341240" w:rsidRPr="00341240" w:rsidRDefault="00341240" w:rsidP="00341240">
      <w:pPr>
        <w:autoSpaceDE w:val="0"/>
        <w:autoSpaceDN w:val="0"/>
        <w:adjustRightInd w:val="0"/>
        <w:spacing w:after="0" w:line="240" w:lineRule="auto"/>
        <w:ind w:left="360"/>
        <w:jc w:val="both"/>
        <w:rPr>
          <w:rFonts w:ascii="Times New Roman" w:hAnsi="Times New Roman" w:cs="Times New Roman"/>
          <w:bCs/>
          <w:sz w:val="24"/>
          <w:szCs w:val="24"/>
        </w:rPr>
      </w:pPr>
      <w:r w:rsidRPr="00341240">
        <w:rPr>
          <w:rFonts w:ascii="Times New Roman" w:hAnsi="Times New Roman" w:cs="Times New Roman"/>
          <w:b/>
          <w:sz w:val="24"/>
          <w:szCs w:val="24"/>
        </w:rPr>
        <w:t xml:space="preserve">     </w:t>
      </w:r>
      <w:r w:rsidRPr="00341240">
        <w:rPr>
          <w:rFonts w:ascii="Times New Roman" w:hAnsi="Times New Roman" w:cs="Times New Roman"/>
          <w:bCs/>
          <w:sz w:val="24"/>
          <w:szCs w:val="24"/>
        </w:rPr>
        <w:t>В целях приведения системы управления правовым риском НКЦ в соответствие с новыми требованиями Банка России решением Наблюдательного совета НКЦ утверждена новая редакция Положения «Об организации управления правовым риском в Банке «Национальный Клиринговый Центр» (Акционерное общество)». Для создания системы управления регуляторным риском НКЦ решениями Наблюдательного совета Банка утверждены Положение об организации управления регуляторным риском (комплаенс-риском) в НКЦ, а также внутренние документы  - Антикоррупционная политика НКЦ и Порядок предотвращения конфликта интересов НКЦ.</w:t>
      </w:r>
    </w:p>
    <w:p w:rsidR="00341240" w:rsidRPr="00341240" w:rsidRDefault="00341240" w:rsidP="00341240">
      <w:pPr>
        <w:autoSpaceDE w:val="0"/>
        <w:autoSpaceDN w:val="0"/>
        <w:adjustRightInd w:val="0"/>
        <w:spacing w:after="0" w:line="240" w:lineRule="auto"/>
        <w:ind w:left="360"/>
        <w:jc w:val="both"/>
        <w:rPr>
          <w:rFonts w:ascii="Times New Roman" w:hAnsi="Times New Roman" w:cs="Times New Roman"/>
          <w:bCs/>
          <w:sz w:val="24"/>
          <w:szCs w:val="24"/>
        </w:rPr>
      </w:pPr>
    </w:p>
    <w:p w:rsidR="00341240" w:rsidRPr="00341240" w:rsidRDefault="00341240" w:rsidP="00341240">
      <w:pPr>
        <w:autoSpaceDE w:val="0"/>
        <w:autoSpaceDN w:val="0"/>
        <w:adjustRightInd w:val="0"/>
        <w:spacing w:after="0" w:line="240" w:lineRule="auto"/>
        <w:ind w:left="360"/>
        <w:jc w:val="both"/>
        <w:rPr>
          <w:rFonts w:ascii="Times New Roman" w:hAnsi="Times New Roman" w:cs="Times New Roman"/>
          <w:bCs/>
          <w:sz w:val="24"/>
          <w:szCs w:val="24"/>
        </w:rPr>
      </w:pPr>
    </w:p>
    <w:p w:rsidR="00341240" w:rsidRPr="00341240" w:rsidRDefault="00341240" w:rsidP="00341240">
      <w:pPr>
        <w:spacing w:line="240" w:lineRule="auto"/>
        <w:ind w:left="360" w:firstLine="72"/>
        <w:contextualSpacing/>
        <w:jc w:val="center"/>
        <w:rPr>
          <w:rFonts w:ascii="Times New Roman" w:eastAsia="Calibri" w:hAnsi="Times New Roman" w:cs="Times New Roman"/>
          <w:b/>
          <w:bCs/>
          <w:sz w:val="24"/>
          <w:szCs w:val="24"/>
        </w:rPr>
      </w:pPr>
      <w:r w:rsidRPr="00341240">
        <w:rPr>
          <w:rFonts w:ascii="Times New Roman" w:eastAsia="Calibri" w:hAnsi="Times New Roman" w:cs="Times New Roman"/>
          <w:b/>
          <w:bCs/>
          <w:sz w:val="28"/>
          <w:szCs w:val="28"/>
          <w:lang w:val="en-US"/>
        </w:rPr>
        <w:t>X</w:t>
      </w:r>
      <w:r w:rsidRPr="00341240">
        <w:rPr>
          <w:rFonts w:ascii="Times New Roman" w:eastAsia="Calibri" w:hAnsi="Times New Roman" w:cs="Times New Roman"/>
          <w:b/>
          <w:bCs/>
          <w:sz w:val="28"/>
          <w:szCs w:val="28"/>
        </w:rPr>
        <w:t>. Приведение Устава Банка  в  соответствие с новыми требованиями Гражданского кодекса РФ и изменениями в законодательстве РФ</w:t>
      </w:r>
    </w:p>
    <w:p w:rsidR="00341240" w:rsidRPr="00341240" w:rsidRDefault="00341240" w:rsidP="00341240">
      <w:pPr>
        <w:spacing w:line="240" w:lineRule="auto"/>
        <w:ind w:left="360"/>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Работы на этом направление</w:t>
      </w:r>
      <w:r w:rsidRPr="00341240">
        <w:rPr>
          <w:rFonts w:ascii="Times New Roman" w:eastAsia="Calibri" w:hAnsi="Times New Roman" w:cs="Times New Roman"/>
          <w:b/>
          <w:sz w:val="24"/>
          <w:szCs w:val="24"/>
        </w:rPr>
        <w:t xml:space="preserve"> </w:t>
      </w:r>
      <w:r w:rsidRPr="00341240">
        <w:rPr>
          <w:rFonts w:ascii="Times New Roman" w:eastAsia="Calibri" w:hAnsi="Times New Roman" w:cs="Times New Roman"/>
          <w:sz w:val="24"/>
          <w:szCs w:val="24"/>
        </w:rPr>
        <w:t>проводилась во исполнение</w:t>
      </w:r>
      <w:r w:rsidRPr="00341240">
        <w:rPr>
          <w:rFonts w:ascii="Times New Roman" w:eastAsia="Calibri" w:hAnsi="Times New Roman" w:cs="Times New Roman"/>
          <w:b/>
          <w:sz w:val="24"/>
          <w:szCs w:val="24"/>
        </w:rPr>
        <w:t xml:space="preserve"> </w:t>
      </w:r>
      <w:r w:rsidRPr="00341240">
        <w:rPr>
          <w:rFonts w:ascii="Times New Roman" w:eastAsia="Calibri" w:hAnsi="Times New Roman" w:cs="Times New Roman"/>
          <w:sz w:val="24"/>
          <w:szCs w:val="24"/>
        </w:rPr>
        <w:t>новых требований Гражданского кодекса РФ и изменения законодательства России, которые</w:t>
      </w:r>
      <w:r w:rsidRPr="00341240">
        <w:rPr>
          <w:rFonts w:ascii="Times New Roman" w:eastAsia="Calibri" w:hAnsi="Times New Roman" w:cs="Times New Roman"/>
          <w:b/>
          <w:sz w:val="24"/>
          <w:szCs w:val="24"/>
        </w:rPr>
        <w:t xml:space="preserve"> </w:t>
      </w:r>
      <w:r w:rsidRPr="00341240">
        <w:rPr>
          <w:rFonts w:ascii="Times New Roman" w:eastAsia="Calibri" w:hAnsi="Times New Roman" w:cs="Times New Roman"/>
          <w:sz w:val="24"/>
          <w:szCs w:val="24"/>
        </w:rPr>
        <w:t xml:space="preserve"> имеют</w:t>
      </w:r>
      <w:r w:rsidRPr="00341240">
        <w:rPr>
          <w:rFonts w:ascii="Times New Roman" w:eastAsia="Calibri" w:hAnsi="Times New Roman" w:cs="Times New Roman"/>
          <w:b/>
          <w:sz w:val="24"/>
          <w:szCs w:val="24"/>
        </w:rPr>
        <w:t xml:space="preserve"> </w:t>
      </w:r>
      <w:r w:rsidRPr="00341240">
        <w:rPr>
          <w:rFonts w:ascii="Times New Roman" w:eastAsia="Calibri" w:hAnsi="Times New Roman" w:cs="Times New Roman"/>
          <w:sz w:val="24"/>
          <w:szCs w:val="24"/>
        </w:rPr>
        <w:t>непосредственное отношение к клиринговой деятельности и к</w:t>
      </w:r>
      <w:r w:rsidRPr="00341240">
        <w:rPr>
          <w:rFonts w:ascii="Times New Roman" w:eastAsia="Calibri" w:hAnsi="Times New Roman" w:cs="Times New Roman"/>
          <w:b/>
          <w:sz w:val="24"/>
          <w:szCs w:val="24"/>
        </w:rPr>
        <w:t xml:space="preserve">  </w:t>
      </w:r>
      <w:r w:rsidRPr="00341240">
        <w:rPr>
          <w:rFonts w:ascii="Times New Roman" w:eastAsia="Calibri" w:hAnsi="Times New Roman" w:cs="Times New Roman"/>
          <w:sz w:val="24"/>
          <w:szCs w:val="24"/>
        </w:rPr>
        <w:t xml:space="preserve">функции  центрального контрагента,  к  реформированию  Банком России системы оплаты труда в кредитных организациях, а также касаются создания условий реализации проекта «Рынок зерна» Группы «Московская Биржа».                                                                                                                                                         </w:t>
      </w:r>
    </w:p>
    <w:p w:rsidR="00341240" w:rsidRPr="00341240" w:rsidRDefault="00341240" w:rsidP="00341240">
      <w:pPr>
        <w:spacing w:line="240" w:lineRule="auto"/>
        <w:ind w:left="360"/>
        <w:contextualSpacing/>
        <w:jc w:val="both"/>
        <w:rPr>
          <w:rFonts w:ascii="Times New Roman" w:eastAsia="Calibri" w:hAnsi="Times New Roman" w:cs="Times New Roman"/>
          <w:b/>
          <w:bCs/>
          <w:sz w:val="24"/>
          <w:szCs w:val="24"/>
        </w:rPr>
      </w:pPr>
      <w:r w:rsidRPr="00341240">
        <w:rPr>
          <w:rFonts w:ascii="Times New Roman" w:eastAsia="Calibri" w:hAnsi="Times New Roman" w:cs="Times New Roman"/>
          <w:sz w:val="24"/>
          <w:szCs w:val="24"/>
        </w:rPr>
        <w:t xml:space="preserve">     В результате в Устав Банка в течение 2015 года внесены изменения, связанные с:  </w:t>
      </w:r>
    </w:p>
    <w:p w:rsidR="00341240" w:rsidRPr="00341240" w:rsidRDefault="00341240" w:rsidP="00AB0ACF">
      <w:pPr>
        <w:numPr>
          <w:ilvl w:val="0"/>
          <w:numId w:val="46"/>
        </w:numPr>
        <w:spacing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изменением фирменного наименования Банка; </w:t>
      </w:r>
    </w:p>
    <w:p w:rsidR="00341240" w:rsidRPr="00341240" w:rsidRDefault="00341240" w:rsidP="00AB0ACF">
      <w:pPr>
        <w:numPr>
          <w:ilvl w:val="0"/>
          <w:numId w:val="46"/>
        </w:numPr>
        <w:spacing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закреплением за Наблюдательным советом компетенций по избранию единоличного исполнительного органа;</w:t>
      </w:r>
    </w:p>
    <w:p w:rsidR="00341240" w:rsidRPr="00341240" w:rsidRDefault="00341240" w:rsidP="00AB0ACF">
      <w:pPr>
        <w:numPr>
          <w:ilvl w:val="0"/>
          <w:numId w:val="46"/>
        </w:numPr>
        <w:spacing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предоставлением  Банку  права на осуществление функций оператора товарных поставок;</w:t>
      </w:r>
    </w:p>
    <w:p w:rsidR="00341240" w:rsidRPr="00341240" w:rsidRDefault="00341240" w:rsidP="00AB0ACF">
      <w:pPr>
        <w:numPr>
          <w:ilvl w:val="0"/>
          <w:numId w:val="46"/>
        </w:numPr>
        <w:spacing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возможностью использования «выделенного капитала» НКЦ и при необходимости дополнительного выделенного капитала Банка как ЦК.</w:t>
      </w:r>
    </w:p>
    <w:p w:rsidR="00341240" w:rsidRPr="00341240" w:rsidRDefault="00341240" w:rsidP="00341240">
      <w:pPr>
        <w:ind w:left="708"/>
        <w:rPr>
          <w:rFonts w:ascii="Calibri" w:eastAsia="Calibri" w:hAnsi="Calibri" w:cs="Times New Roman"/>
        </w:rPr>
      </w:pPr>
    </w:p>
    <w:p w:rsidR="00341240" w:rsidRPr="00341240" w:rsidRDefault="00341240" w:rsidP="00341240">
      <w:pPr>
        <w:contextualSpacing/>
        <w:jc w:val="both"/>
        <w:rPr>
          <w:rFonts w:ascii="Calibri" w:eastAsia="Calibri" w:hAnsi="Calibri" w:cs="Times New Roman"/>
          <w:b/>
          <w:i/>
        </w:rPr>
      </w:pPr>
      <w:r w:rsidRPr="00341240">
        <w:rPr>
          <w:rFonts w:ascii="Times New Roman" w:eastAsia="Calibri" w:hAnsi="Times New Roman" w:cs="Times New Roman"/>
          <w:b/>
          <w:i/>
          <w:sz w:val="24"/>
          <w:szCs w:val="24"/>
        </w:rPr>
        <w:t>Надежное исполнение своих обязательств перед участниками клиринга  и успешная реализация бизнес проектов по развитию клиентоориентированных  клиринговых услуг позволили обеспечить существенное увеличение объемов оказанных участникам клиринга услуг.</w:t>
      </w:r>
      <w:r w:rsidRPr="00341240">
        <w:rPr>
          <w:rFonts w:ascii="Calibri" w:eastAsia="Calibri" w:hAnsi="Calibri" w:cs="Times New Roman"/>
          <w:b/>
          <w:i/>
        </w:rPr>
        <w:t xml:space="preserve"> </w:t>
      </w:r>
    </w:p>
    <w:p w:rsidR="00341240" w:rsidRPr="00341240" w:rsidRDefault="00341240" w:rsidP="00341240">
      <w:pPr>
        <w:autoSpaceDE w:val="0"/>
        <w:autoSpaceDN w:val="0"/>
        <w:adjustRightInd w:val="0"/>
        <w:spacing w:after="0" w:line="240" w:lineRule="auto"/>
        <w:ind w:left="360"/>
        <w:jc w:val="both"/>
        <w:rPr>
          <w:rFonts w:ascii="Times New Roman" w:hAnsi="Times New Roman" w:cs="Times New Roman"/>
          <w:bCs/>
          <w:sz w:val="24"/>
          <w:szCs w:val="24"/>
        </w:rPr>
      </w:pPr>
    </w:p>
    <w:p w:rsidR="00341240" w:rsidRPr="00341240" w:rsidRDefault="00341240" w:rsidP="00341240">
      <w:pPr>
        <w:tabs>
          <w:tab w:val="right" w:pos="9356"/>
        </w:tabs>
        <w:autoSpaceDE w:val="0"/>
        <w:autoSpaceDN w:val="0"/>
        <w:spacing w:after="0" w:line="360" w:lineRule="auto"/>
        <w:ind w:firstLine="709"/>
        <w:jc w:val="center"/>
        <w:rPr>
          <w:rFonts w:ascii="Times New Roman" w:eastAsia="Calibri" w:hAnsi="Times New Roman" w:cs="Arial"/>
          <w:b/>
          <w:i/>
          <w:noProof/>
          <w:sz w:val="24"/>
          <w:szCs w:val="24"/>
          <w:lang w:eastAsia="ru-RU"/>
        </w:rPr>
      </w:pPr>
      <w:r w:rsidRPr="00341240">
        <w:rPr>
          <w:rFonts w:ascii="Times New Roman" w:eastAsia="Calibri" w:hAnsi="Times New Roman" w:cs="Arial"/>
          <w:b/>
          <w:i/>
          <w:noProof/>
          <w:sz w:val="24"/>
          <w:szCs w:val="24"/>
          <w:lang w:eastAsia="ru-RU"/>
        </w:rPr>
        <w:t>По состоянию на 31 декабря 2015 года:</w:t>
      </w:r>
    </w:p>
    <w:p w:rsidR="00341240" w:rsidRPr="00341240" w:rsidRDefault="00341240" w:rsidP="00AB0ACF">
      <w:pPr>
        <w:widowControl w:val="0"/>
        <w:numPr>
          <w:ilvl w:val="0"/>
          <w:numId w:val="48"/>
        </w:numPr>
        <w:tabs>
          <w:tab w:val="right" w:pos="9356"/>
        </w:tabs>
        <w:overflowPunct w:val="0"/>
        <w:autoSpaceDE w:val="0"/>
        <w:autoSpaceDN w:val="0"/>
        <w:adjustRightInd w:val="0"/>
        <w:spacing w:after="0" w:line="360" w:lineRule="auto"/>
        <w:contextualSpacing/>
        <w:jc w:val="both"/>
        <w:textAlignment w:val="baseline"/>
        <w:rPr>
          <w:rFonts w:ascii="Times New Roman" w:eastAsia="Calibri" w:hAnsi="Times New Roman" w:cs="Times New Roman"/>
          <w:noProof/>
          <w:sz w:val="24"/>
          <w:szCs w:val="24"/>
          <w:lang w:eastAsia="ru-RU"/>
        </w:rPr>
      </w:pPr>
      <w:r w:rsidRPr="00341240">
        <w:rPr>
          <w:rFonts w:ascii="Times New Roman" w:eastAsia="Calibri" w:hAnsi="Times New Roman" w:cs="Times New Roman"/>
          <w:noProof/>
          <w:sz w:val="24"/>
          <w:szCs w:val="24"/>
          <w:lang w:eastAsia="ru-RU"/>
        </w:rPr>
        <w:t>общее число участников клиринга составило 713 организаций;</w:t>
      </w:r>
    </w:p>
    <w:p w:rsidR="00341240" w:rsidRPr="00341240" w:rsidRDefault="00341240" w:rsidP="00AB0ACF">
      <w:pPr>
        <w:widowControl w:val="0"/>
        <w:numPr>
          <w:ilvl w:val="0"/>
          <w:numId w:val="48"/>
        </w:numPr>
        <w:tabs>
          <w:tab w:val="right" w:pos="9356"/>
        </w:tabs>
        <w:overflowPunct w:val="0"/>
        <w:autoSpaceDE w:val="0"/>
        <w:autoSpaceDN w:val="0"/>
        <w:adjustRightInd w:val="0"/>
        <w:spacing w:after="0" w:line="240" w:lineRule="auto"/>
        <w:contextualSpacing/>
        <w:jc w:val="both"/>
        <w:textAlignment w:val="baseline"/>
        <w:rPr>
          <w:rFonts w:ascii="Times New Roman" w:eastAsia="Calibri" w:hAnsi="Times New Roman" w:cs="Times New Roman"/>
          <w:noProof/>
          <w:sz w:val="24"/>
          <w:szCs w:val="24"/>
          <w:lang w:eastAsia="ru-RU"/>
        </w:rPr>
      </w:pPr>
      <w:r w:rsidRPr="00341240">
        <w:rPr>
          <w:rFonts w:ascii="Times New Roman" w:eastAsia="Calibri" w:hAnsi="Times New Roman" w:cs="Times New Roman"/>
          <w:noProof/>
          <w:sz w:val="24"/>
          <w:szCs w:val="24"/>
          <w:lang w:eastAsia="ru-RU"/>
        </w:rPr>
        <w:t>объем определенных по итогам клиринга обязательств участников клиринга за 2015 год превысил 1 989 трлн. руб., что в 1,4 раза больше аналогичного показателя за 2014 год (1 360 трлн. рублей);</w:t>
      </w:r>
    </w:p>
    <w:p w:rsidR="00341240" w:rsidRPr="00341240" w:rsidRDefault="00341240" w:rsidP="00AB0ACF">
      <w:pPr>
        <w:widowControl w:val="0"/>
        <w:numPr>
          <w:ilvl w:val="0"/>
          <w:numId w:val="48"/>
        </w:numPr>
        <w:tabs>
          <w:tab w:val="right" w:pos="9356"/>
        </w:tabs>
        <w:overflowPunct w:val="0"/>
        <w:autoSpaceDE w:val="0"/>
        <w:autoSpaceDN w:val="0"/>
        <w:adjustRightInd w:val="0"/>
        <w:spacing w:after="0" w:line="240" w:lineRule="auto"/>
        <w:contextualSpacing/>
        <w:jc w:val="both"/>
        <w:textAlignment w:val="baseline"/>
        <w:rPr>
          <w:rFonts w:ascii="Times New Roman" w:eastAsia="Calibri" w:hAnsi="Times New Roman" w:cs="Times New Roman"/>
          <w:noProof/>
          <w:sz w:val="24"/>
          <w:szCs w:val="24"/>
          <w:lang w:eastAsia="ru-RU"/>
        </w:rPr>
      </w:pPr>
      <w:r w:rsidRPr="00341240">
        <w:rPr>
          <w:rFonts w:ascii="Times New Roman" w:eastAsia="Calibri" w:hAnsi="Times New Roman" w:cs="Times New Roman"/>
          <w:noProof/>
          <w:sz w:val="24"/>
          <w:szCs w:val="24"/>
          <w:lang w:eastAsia="ru-RU"/>
        </w:rPr>
        <w:t>размер полученного комиссионного вознаграждения составил 5 893 млн. руб., что в 1,3 раза больше аналогичного показателя за 2014 год (4 567  млн. руб.).</w:t>
      </w:r>
    </w:p>
    <w:p w:rsidR="00341240" w:rsidRPr="00341240" w:rsidRDefault="00341240" w:rsidP="00341240">
      <w:pPr>
        <w:widowControl w:val="0"/>
        <w:tabs>
          <w:tab w:val="right" w:pos="9356"/>
        </w:tabs>
        <w:overflowPunct w:val="0"/>
        <w:autoSpaceDE w:val="0"/>
        <w:autoSpaceDN w:val="0"/>
        <w:adjustRightInd w:val="0"/>
        <w:spacing w:after="0" w:line="240" w:lineRule="auto"/>
        <w:ind w:left="720"/>
        <w:contextualSpacing/>
        <w:jc w:val="both"/>
        <w:textAlignment w:val="baseline"/>
        <w:rPr>
          <w:rFonts w:ascii="Times New Roman" w:eastAsia="Calibri" w:hAnsi="Times New Roman" w:cs="Times New Roman"/>
          <w:noProof/>
          <w:sz w:val="24"/>
          <w:szCs w:val="24"/>
          <w:lang w:eastAsia="ru-RU"/>
        </w:rPr>
      </w:pPr>
    </w:p>
    <w:p w:rsidR="00341240" w:rsidRPr="00341240" w:rsidRDefault="00341240" w:rsidP="00341240">
      <w:pPr>
        <w:autoSpaceDE w:val="0"/>
        <w:autoSpaceDN w:val="0"/>
        <w:adjustRightInd w:val="0"/>
        <w:spacing w:after="0" w:line="240" w:lineRule="auto"/>
        <w:ind w:left="720"/>
        <w:jc w:val="both"/>
        <w:rPr>
          <w:rFonts w:ascii="Times New Roman" w:hAnsi="Times New Roman" w:cs="Times New Roman"/>
          <w:b/>
          <w:sz w:val="24"/>
          <w:szCs w:val="24"/>
        </w:rPr>
      </w:pPr>
    </w:p>
    <w:p w:rsidR="00341240" w:rsidRPr="00341240" w:rsidRDefault="00341240" w:rsidP="00341240">
      <w:pPr>
        <w:tabs>
          <w:tab w:val="right" w:pos="9356"/>
        </w:tabs>
        <w:autoSpaceDE w:val="0"/>
        <w:autoSpaceDN w:val="0"/>
        <w:spacing w:after="0" w:line="240" w:lineRule="auto"/>
        <w:ind w:left="708" w:firstLine="1"/>
        <w:jc w:val="both"/>
        <w:rPr>
          <w:rFonts w:ascii="Times New Roman" w:eastAsia="Calibri" w:hAnsi="Times New Roman" w:cs="Arial"/>
          <w:b/>
          <w:i/>
          <w:noProof/>
          <w:sz w:val="24"/>
          <w:szCs w:val="24"/>
          <w:lang w:eastAsia="ru-RU"/>
        </w:rPr>
      </w:pPr>
      <w:r w:rsidRPr="00341240">
        <w:rPr>
          <w:rFonts w:ascii="Times New Roman" w:eastAsia="Calibri" w:hAnsi="Times New Roman" w:cs="Arial"/>
          <w:b/>
          <w:i/>
          <w:noProof/>
          <w:sz w:val="24"/>
          <w:szCs w:val="24"/>
          <w:lang w:eastAsia="ru-RU"/>
        </w:rPr>
        <w:t>Количественные показатели деятельности Бпнка на основных рынках отражены на следующих диаграммах:</w:t>
      </w:r>
    </w:p>
    <w:p w:rsidR="00341240" w:rsidRPr="00341240" w:rsidRDefault="00341240" w:rsidP="00341240">
      <w:pPr>
        <w:tabs>
          <w:tab w:val="right" w:pos="9356"/>
        </w:tabs>
        <w:autoSpaceDE w:val="0"/>
        <w:autoSpaceDN w:val="0"/>
        <w:spacing w:after="0" w:line="240" w:lineRule="auto"/>
        <w:ind w:left="708" w:firstLine="1"/>
        <w:jc w:val="both"/>
        <w:rPr>
          <w:rFonts w:ascii="Times New Roman" w:eastAsia="Calibri" w:hAnsi="Times New Roman" w:cs="Arial"/>
          <w:noProof/>
          <w:sz w:val="24"/>
          <w:szCs w:val="24"/>
          <w:lang w:eastAsia="ru-RU"/>
        </w:rPr>
      </w:pPr>
    </w:p>
    <w:p w:rsidR="00341240" w:rsidRPr="00341240" w:rsidRDefault="00341240" w:rsidP="00341240">
      <w:pPr>
        <w:tabs>
          <w:tab w:val="right" w:pos="9356"/>
        </w:tabs>
        <w:autoSpaceDE w:val="0"/>
        <w:autoSpaceDN w:val="0"/>
        <w:spacing w:after="0" w:line="240" w:lineRule="auto"/>
        <w:ind w:firstLine="1"/>
        <w:jc w:val="both"/>
        <w:rPr>
          <w:rFonts w:ascii="Times New Roman" w:eastAsia="Calibri" w:hAnsi="Times New Roman" w:cs="Arial"/>
          <w:noProof/>
          <w:sz w:val="24"/>
          <w:szCs w:val="24"/>
          <w:lang w:eastAsia="ru-RU"/>
        </w:rPr>
      </w:pPr>
      <w:r w:rsidRPr="00341240">
        <w:rPr>
          <w:rFonts w:ascii="Calibri" w:eastAsia="Calibri" w:hAnsi="Calibri" w:cs="Times New Roman"/>
          <w:noProof/>
          <w:lang w:eastAsia="ru-RU"/>
        </w:rPr>
        <w:drawing>
          <wp:inline distT="0" distB="0" distL="0" distR="0" wp14:anchorId="28A74951" wp14:editId="34B47634">
            <wp:extent cx="5872698" cy="4161253"/>
            <wp:effectExtent l="0" t="0" r="13970" b="10795"/>
            <wp:docPr id="8"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41240" w:rsidRPr="00341240" w:rsidRDefault="00341240" w:rsidP="00341240">
      <w:pPr>
        <w:tabs>
          <w:tab w:val="right" w:pos="9356"/>
        </w:tabs>
        <w:autoSpaceDE w:val="0"/>
        <w:autoSpaceDN w:val="0"/>
        <w:spacing w:after="0" w:line="240" w:lineRule="auto"/>
        <w:ind w:firstLine="1"/>
        <w:jc w:val="both"/>
        <w:rPr>
          <w:rFonts w:ascii="Times New Roman" w:eastAsia="Calibri" w:hAnsi="Times New Roman" w:cs="Arial"/>
          <w:noProof/>
          <w:sz w:val="24"/>
          <w:szCs w:val="24"/>
          <w:lang w:eastAsia="ru-RU"/>
        </w:rPr>
      </w:pPr>
      <w:r w:rsidRPr="00341240">
        <w:rPr>
          <w:rFonts w:ascii="Calibri" w:eastAsia="Calibri" w:hAnsi="Calibri" w:cs="Times New Roman"/>
          <w:noProof/>
          <w:lang w:eastAsia="ru-RU"/>
        </w:rPr>
        <w:drawing>
          <wp:inline distT="0" distB="0" distL="0" distR="0" wp14:anchorId="262E6FDF" wp14:editId="5E867648">
            <wp:extent cx="5872698" cy="4161253"/>
            <wp:effectExtent l="0" t="0" r="13970" b="10795"/>
            <wp:docPr id="9"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41240" w:rsidRPr="00341240" w:rsidRDefault="00341240" w:rsidP="00341240">
      <w:pPr>
        <w:tabs>
          <w:tab w:val="right" w:pos="9356"/>
        </w:tabs>
        <w:autoSpaceDE w:val="0"/>
        <w:autoSpaceDN w:val="0"/>
        <w:spacing w:after="0" w:line="240" w:lineRule="auto"/>
        <w:ind w:left="708" w:firstLine="1"/>
        <w:jc w:val="both"/>
        <w:rPr>
          <w:rFonts w:ascii="Times New Roman" w:eastAsia="Calibri" w:hAnsi="Times New Roman" w:cs="Arial"/>
          <w:noProof/>
          <w:sz w:val="24"/>
          <w:szCs w:val="24"/>
          <w:lang w:eastAsia="ru-RU"/>
        </w:rPr>
      </w:pPr>
    </w:p>
    <w:p w:rsidR="00341240" w:rsidRPr="00341240" w:rsidRDefault="00341240" w:rsidP="00341240">
      <w:pPr>
        <w:tabs>
          <w:tab w:val="right" w:pos="9356"/>
        </w:tabs>
        <w:autoSpaceDE w:val="0"/>
        <w:autoSpaceDN w:val="0"/>
        <w:spacing w:after="0" w:line="360" w:lineRule="auto"/>
        <w:jc w:val="both"/>
        <w:rPr>
          <w:rFonts w:ascii="Times New Roman" w:eastAsia="Calibri" w:hAnsi="Times New Roman" w:cs="Arial"/>
          <w:noProof/>
          <w:sz w:val="24"/>
          <w:szCs w:val="24"/>
          <w:lang w:eastAsia="ru-RU"/>
        </w:rPr>
      </w:pPr>
      <w:r w:rsidRPr="00341240">
        <w:rPr>
          <w:rFonts w:ascii="Times New Roman" w:eastAsia="Calibri" w:hAnsi="Times New Roman" w:cs="Arial"/>
          <w:noProof/>
          <w:sz w:val="24"/>
          <w:szCs w:val="24"/>
          <w:lang w:eastAsia="ru-RU"/>
        </w:rPr>
        <w:drawing>
          <wp:inline distT="0" distB="0" distL="0" distR="0" wp14:anchorId="70922804" wp14:editId="3216185E">
            <wp:extent cx="5676900" cy="2978150"/>
            <wp:effectExtent l="0" t="0" r="0" b="0"/>
            <wp:docPr id="10" name="Объект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41240" w:rsidRPr="00341240" w:rsidRDefault="00341240" w:rsidP="00341240">
      <w:pPr>
        <w:tabs>
          <w:tab w:val="right" w:pos="9356"/>
        </w:tabs>
        <w:autoSpaceDE w:val="0"/>
        <w:autoSpaceDN w:val="0"/>
        <w:spacing w:after="0" w:line="360" w:lineRule="auto"/>
        <w:jc w:val="both"/>
        <w:rPr>
          <w:rFonts w:ascii="Times New Roman" w:eastAsia="Calibri" w:hAnsi="Times New Roman" w:cs="Arial"/>
          <w:noProof/>
          <w:sz w:val="24"/>
          <w:szCs w:val="24"/>
          <w:lang w:eastAsia="ru-RU"/>
        </w:rPr>
      </w:pPr>
      <w:r w:rsidRPr="00341240">
        <w:rPr>
          <w:rFonts w:ascii="Times New Roman" w:eastAsia="Calibri" w:hAnsi="Times New Roman" w:cs="Arial"/>
          <w:noProof/>
          <w:sz w:val="24"/>
          <w:szCs w:val="24"/>
          <w:lang w:eastAsia="ru-RU"/>
        </w:rPr>
        <w:drawing>
          <wp:inline distT="0" distB="0" distL="0" distR="0" wp14:anchorId="7A4D9735" wp14:editId="0DAEB4A2">
            <wp:extent cx="5676900" cy="3492500"/>
            <wp:effectExtent l="0" t="0" r="19050" b="12700"/>
            <wp:docPr id="11"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41240" w:rsidRPr="00341240" w:rsidRDefault="00341240" w:rsidP="00341240">
      <w:pPr>
        <w:tabs>
          <w:tab w:val="right" w:pos="9356"/>
        </w:tabs>
        <w:autoSpaceDE w:val="0"/>
        <w:autoSpaceDN w:val="0"/>
        <w:spacing w:after="0" w:line="360" w:lineRule="auto"/>
        <w:ind w:firstLine="709"/>
        <w:jc w:val="both"/>
        <w:rPr>
          <w:rFonts w:ascii="Times New Roman" w:eastAsia="Calibri" w:hAnsi="Times New Roman" w:cs="Arial"/>
          <w:noProof/>
          <w:sz w:val="24"/>
          <w:szCs w:val="24"/>
          <w:lang w:eastAsia="ru-RU"/>
        </w:rPr>
      </w:pPr>
    </w:p>
    <w:p w:rsidR="00341240" w:rsidRPr="00341240" w:rsidRDefault="00341240" w:rsidP="00341240">
      <w:pPr>
        <w:tabs>
          <w:tab w:val="right" w:pos="9356"/>
        </w:tabs>
        <w:autoSpaceDE w:val="0"/>
        <w:autoSpaceDN w:val="0"/>
        <w:spacing w:after="0" w:line="360" w:lineRule="auto"/>
        <w:ind w:firstLine="709"/>
        <w:jc w:val="both"/>
        <w:rPr>
          <w:rFonts w:ascii="Times New Roman" w:eastAsia="Calibri" w:hAnsi="Times New Roman" w:cs="Arial"/>
          <w:noProof/>
          <w:sz w:val="24"/>
          <w:szCs w:val="24"/>
          <w:lang w:eastAsia="ru-RU"/>
        </w:rPr>
      </w:pPr>
    </w:p>
    <w:p w:rsidR="00341240" w:rsidRPr="00341240" w:rsidRDefault="00341240" w:rsidP="00341240">
      <w:pPr>
        <w:tabs>
          <w:tab w:val="right" w:pos="9356"/>
        </w:tabs>
        <w:autoSpaceDE w:val="0"/>
        <w:autoSpaceDN w:val="0"/>
        <w:spacing w:after="0" w:line="360" w:lineRule="auto"/>
        <w:jc w:val="both"/>
        <w:rPr>
          <w:rFonts w:ascii="Times New Roman" w:eastAsia="Calibri" w:hAnsi="Times New Roman" w:cs="Arial"/>
          <w:noProof/>
          <w:sz w:val="24"/>
          <w:szCs w:val="24"/>
          <w:lang w:eastAsia="ru-RU"/>
        </w:rPr>
      </w:pPr>
      <w:r w:rsidRPr="00341240">
        <w:rPr>
          <w:rFonts w:ascii="Times New Roman" w:eastAsia="Calibri" w:hAnsi="Times New Roman" w:cs="Arial"/>
          <w:noProof/>
          <w:sz w:val="24"/>
          <w:szCs w:val="24"/>
          <w:lang w:eastAsia="ru-RU"/>
        </w:rPr>
        <w:drawing>
          <wp:inline distT="0" distB="0" distL="0" distR="0" wp14:anchorId="28ED2D16" wp14:editId="2DE75CBE">
            <wp:extent cx="5664200" cy="3987800"/>
            <wp:effectExtent l="0" t="0" r="12700" b="12700"/>
            <wp:docPr id="1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41240" w:rsidRPr="00341240" w:rsidRDefault="00341240" w:rsidP="00341240">
      <w:pPr>
        <w:tabs>
          <w:tab w:val="right" w:pos="9356"/>
        </w:tabs>
        <w:autoSpaceDE w:val="0"/>
        <w:autoSpaceDN w:val="0"/>
        <w:spacing w:after="0" w:line="360" w:lineRule="auto"/>
        <w:ind w:firstLine="709"/>
        <w:jc w:val="both"/>
        <w:rPr>
          <w:rFonts w:ascii="Times New Roman" w:eastAsia="Calibri" w:hAnsi="Times New Roman" w:cs="Times New Roman"/>
          <w:noProof/>
          <w:color w:val="000000"/>
          <w:sz w:val="24"/>
          <w:szCs w:val="24"/>
          <w:lang w:eastAsia="ru-RU"/>
        </w:rPr>
      </w:pPr>
    </w:p>
    <w:p w:rsidR="00341240" w:rsidRPr="00341240" w:rsidRDefault="00341240" w:rsidP="00341240">
      <w:pPr>
        <w:tabs>
          <w:tab w:val="right" w:pos="9356"/>
        </w:tabs>
        <w:autoSpaceDE w:val="0"/>
        <w:autoSpaceDN w:val="0"/>
        <w:spacing w:after="0" w:line="360" w:lineRule="auto"/>
        <w:ind w:firstLine="709"/>
        <w:jc w:val="both"/>
        <w:rPr>
          <w:rFonts w:ascii="Times New Roman" w:eastAsia="Calibri" w:hAnsi="Times New Roman" w:cs="Arial"/>
          <w:b/>
          <w:noProof/>
          <w:sz w:val="28"/>
          <w:szCs w:val="28"/>
          <w:lang w:eastAsia="ru-RU"/>
        </w:rPr>
      </w:pPr>
      <w:r w:rsidRPr="00341240">
        <w:rPr>
          <w:rFonts w:ascii="Times New Roman" w:eastAsia="Calibri" w:hAnsi="Times New Roman" w:cs="Arial"/>
          <w:noProof/>
          <w:sz w:val="24"/>
          <w:szCs w:val="24"/>
          <w:lang w:eastAsia="ru-RU"/>
        </w:rPr>
        <w:t xml:space="preserve">  </w:t>
      </w:r>
    </w:p>
    <w:p w:rsidR="00341240" w:rsidRPr="00341240" w:rsidRDefault="00341240" w:rsidP="00341240">
      <w:pPr>
        <w:spacing w:after="0" w:line="240" w:lineRule="auto"/>
        <w:rPr>
          <w:rFonts w:ascii="Times New Roman" w:eastAsia="Calibri" w:hAnsi="Times New Roman" w:cs="Arial"/>
          <w:b/>
          <w:bCs/>
          <w:noProof/>
          <w:sz w:val="32"/>
          <w:szCs w:val="24"/>
          <w:lang w:eastAsia="ru-RU"/>
        </w:rPr>
      </w:pPr>
      <w:r w:rsidRPr="00341240">
        <w:rPr>
          <w:rFonts w:ascii="Times New Roman" w:eastAsia="Calibri" w:hAnsi="Times New Roman" w:cs="Arial"/>
          <w:noProof/>
          <w:sz w:val="24"/>
          <w:szCs w:val="24"/>
          <w:lang w:eastAsia="ru-RU"/>
        </w:rPr>
        <w:br w:type="page"/>
      </w:r>
    </w:p>
    <w:p w:rsidR="00341240" w:rsidRPr="00341240" w:rsidRDefault="00341240" w:rsidP="00341240">
      <w:pPr>
        <w:widowControl w:val="0"/>
        <w:tabs>
          <w:tab w:val="left" w:pos="8820"/>
        </w:tabs>
        <w:overflowPunct w:val="0"/>
        <w:autoSpaceDE w:val="0"/>
        <w:autoSpaceDN w:val="0"/>
        <w:adjustRightInd w:val="0"/>
        <w:spacing w:after="0" w:line="240" w:lineRule="auto"/>
        <w:ind w:left="142" w:right="76"/>
        <w:jc w:val="center"/>
        <w:textAlignment w:val="baseline"/>
        <w:rPr>
          <w:rFonts w:ascii="Times New Roman" w:eastAsia="Times New Roman" w:hAnsi="Times New Roman" w:cs="Times New Roman"/>
          <w:b/>
          <w:sz w:val="28"/>
          <w:szCs w:val="28"/>
          <w:lang w:eastAsia="ru-RU"/>
        </w:rPr>
      </w:pPr>
      <w:r w:rsidRPr="00341240">
        <w:rPr>
          <w:rFonts w:ascii="Times New Roman" w:eastAsia="Times New Roman" w:hAnsi="Times New Roman" w:cs="Times New Roman"/>
          <w:b/>
          <w:sz w:val="28"/>
          <w:szCs w:val="28"/>
          <w:lang w:eastAsia="ru-RU"/>
        </w:rPr>
        <w:t>4. Перспективы развития</w:t>
      </w:r>
    </w:p>
    <w:p w:rsidR="00341240" w:rsidRPr="00341240" w:rsidRDefault="00341240" w:rsidP="00341240">
      <w:pPr>
        <w:widowControl w:val="0"/>
        <w:tabs>
          <w:tab w:val="left" w:pos="8820"/>
        </w:tabs>
        <w:overflowPunct w:val="0"/>
        <w:autoSpaceDE w:val="0"/>
        <w:autoSpaceDN w:val="0"/>
        <w:adjustRightInd w:val="0"/>
        <w:spacing w:after="0" w:line="240" w:lineRule="auto"/>
        <w:ind w:left="142" w:right="76"/>
        <w:jc w:val="center"/>
        <w:textAlignment w:val="baseline"/>
        <w:rPr>
          <w:rFonts w:ascii="Times New Roman" w:eastAsia="Times New Roman" w:hAnsi="Times New Roman" w:cs="Times New Roman"/>
          <w:b/>
          <w:sz w:val="28"/>
          <w:szCs w:val="28"/>
          <w:lang w:eastAsia="ru-RU"/>
        </w:rPr>
      </w:pPr>
    </w:p>
    <w:p w:rsidR="00341240" w:rsidRPr="00341240" w:rsidRDefault="00341240" w:rsidP="00341240">
      <w:pPr>
        <w:spacing w:after="0" w:line="240" w:lineRule="auto"/>
        <w:jc w:val="both"/>
        <w:rPr>
          <w:rFonts w:ascii="Times New Roman" w:hAnsi="Times New Roman"/>
          <w:sz w:val="24"/>
          <w:szCs w:val="24"/>
        </w:rPr>
      </w:pPr>
      <w:r w:rsidRPr="00341240">
        <w:rPr>
          <w:rFonts w:ascii="Times New Roman" w:eastAsia="Times New Roman" w:hAnsi="Times New Roman" w:cs="Times New Roman"/>
          <w:sz w:val="24"/>
          <w:szCs w:val="24"/>
          <w:lang w:eastAsia="ru-RU"/>
        </w:rPr>
        <w:t xml:space="preserve">      В 2016 году основные усилия  НКЦ будут направлены на реализацию  проектов, направленных на достижение целей, которые поставлены  перед Банком  в </w:t>
      </w:r>
      <w:r w:rsidRPr="00341240">
        <w:rPr>
          <w:rFonts w:ascii="Times New Roman" w:hAnsi="Times New Roman" w:cs="Times New Roman"/>
          <w:sz w:val="24"/>
          <w:szCs w:val="24"/>
        </w:rPr>
        <w:t>Стратегии Группы на 2015-2020 гг., утвержденной Наблюдательным советом ОАО «Московская Биржа» - совершенствование и унификация системы риск менеджмента на всех рынках, создание единого клирингового и расчетного пула для всех рынков Московской Биржи, создание единого пула обеспечения; внедрение лучших мировых практик и следование международным стандартам в клиринговой  деятельности и при выполнении функций центрального контрагента. Наряду с этим планируется, строго придерживаясь утвержденной Наблюдательным советом НКЦ политики осуществления казначейской деятельности, добиваться выполнения установленных Группой на 2016 год показателей доходности собственных финансовых операций Банка.  В планах на 2016 год также предусмотрено осуществить</w:t>
      </w:r>
      <w:r w:rsidRPr="00341240">
        <w:rPr>
          <w:rFonts w:ascii="Times New Roman" w:hAnsi="Times New Roman"/>
          <w:sz w:val="24"/>
          <w:szCs w:val="24"/>
        </w:rPr>
        <w:t xml:space="preserve"> комплекс мероприятий, связанных с трансформацией статуса НКЦ с Банка на небанковскую кредитную организацию – центральный контрагент в соответствии с внесенными в 2015 году изменениям в ФЗ «О клиринге, клиринговой деятельности и центральном контрагенте». </w:t>
      </w:r>
    </w:p>
    <w:p w:rsidR="00341240" w:rsidRPr="00341240" w:rsidRDefault="00341240" w:rsidP="00341240">
      <w:pPr>
        <w:spacing w:after="0" w:line="240" w:lineRule="auto"/>
        <w:jc w:val="both"/>
        <w:rPr>
          <w:rFonts w:ascii="Times New Roman" w:hAnsi="Times New Roman" w:cs="Times New Roman"/>
          <w:sz w:val="24"/>
          <w:szCs w:val="24"/>
        </w:rPr>
      </w:pPr>
      <w:r w:rsidRPr="00341240">
        <w:rPr>
          <w:rFonts w:ascii="Times New Roman" w:hAnsi="Times New Roman" w:cs="Times New Roman"/>
          <w:sz w:val="24"/>
          <w:szCs w:val="24"/>
        </w:rPr>
        <w:t xml:space="preserve">     Прогнозируя сохранение, а  возможно и усиление в 2016 году негативного внешнего фона, вызванного санкционным режимом,  а также имея в виду большую вероятность сохранения тенденции к оздоровлению банковского сектора регулятором, Банк будет уделять самое серьезное внимание мониторингу ситуации на мировом и российском финансовых рынков, непосредственно участников клиринга, партнеров и контрагентов для своевременной реакции на внешние и внутренние вызовы, обеспечивая таким образом </w:t>
      </w:r>
      <w:r w:rsidRPr="00341240">
        <w:rPr>
          <w:rFonts w:ascii="Times New Roman" w:eastAsia="Calibri" w:hAnsi="Times New Roman" w:cs="Times New Roman"/>
          <w:sz w:val="24"/>
          <w:szCs w:val="24"/>
        </w:rPr>
        <w:t xml:space="preserve">непрерывность критичных сервисов, осуществляемых НКЦ в области клиринга и при выполнении функции центрального контрагента. </w:t>
      </w:r>
    </w:p>
    <w:p w:rsidR="00341240" w:rsidRPr="00341240" w:rsidRDefault="00341240" w:rsidP="00341240">
      <w:pPr>
        <w:spacing w:after="120" w:line="240" w:lineRule="auto"/>
        <w:ind w:left="360"/>
        <w:contextualSpacing/>
        <w:jc w:val="both"/>
        <w:rPr>
          <w:rFonts w:ascii="Times New Roman" w:eastAsia="Calibri" w:hAnsi="Times New Roman" w:cs="Times New Roman"/>
          <w:bCs/>
          <w:kern w:val="24"/>
          <w:sz w:val="24"/>
          <w:szCs w:val="24"/>
        </w:rPr>
      </w:pPr>
      <w:r w:rsidRPr="00341240">
        <w:rPr>
          <w:rFonts w:ascii="Times New Roman" w:eastAsia="Calibri" w:hAnsi="Times New Roman" w:cs="Times New Roman"/>
          <w:bCs/>
          <w:kern w:val="24"/>
          <w:sz w:val="24"/>
          <w:szCs w:val="24"/>
        </w:rPr>
        <w:t xml:space="preserve">   </w:t>
      </w:r>
    </w:p>
    <w:p w:rsidR="00341240" w:rsidRPr="00341240" w:rsidRDefault="00341240" w:rsidP="00341240">
      <w:pPr>
        <w:spacing w:after="120" w:line="240" w:lineRule="auto"/>
        <w:contextualSpacing/>
        <w:jc w:val="both"/>
        <w:rPr>
          <w:rFonts w:ascii="Times New Roman" w:eastAsia="Calibri" w:hAnsi="Times New Roman" w:cs="Times New Roman"/>
          <w:bCs/>
          <w:kern w:val="24"/>
          <w:sz w:val="24"/>
          <w:szCs w:val="24"/>
        </w:rPr>
      </w:pPr>
      <w:r w:rsidRPr="00341240">
        <w:rPr>
          <w:rFonts w:ascii="Times New Roman" w:eastAsia="Calibri" w:hAnsi="Times New Roman" w:cs="Times New Roman"/>
          <w:bCs/>
          <w:kern w:val="24"/>
          <w:sz w:val="24"/>
          <w:szCs w:val="24"/>
        </w:rPr>
        <w:t xml:space="preserve">      Перспективы развития Банка в 2016 году связаны с реализацией значимых инфраструктурных бизнес проектов Группы.</w:t>
      </w:r>
    </w:p>
    <w:p w:rsidR="00341240" w:rsidRPr="00341240" w:rsidRDefault="00341240" w:rsidP="00341240">
      <w:pPr>
        <w:spacing w:after="0" w:line="240" w:lineRule="auto"/>
        <w:ind w:left="720" w:right="-1"/>
        <w:contextualSpacing/>
        <w:jc w:val="center"/>
        <w:textAlignment w:val="baseline"/>
        <w:rPr>
          <w:rFonts w:ascii="Times New Roman" w:eastAsia="Times New Roman" w:hAnsi="Times New Roman" w:cs="Times New Roman"/>
          <w:b/>
          <w:bCs/>
          <w:kern w:val="24"/>
          <w:sz w:val="28"/>
          <w:szCs w:val="28"/>
          <w:lang w:eastAsia="ru-RU"/>
        </w:rPr>
      </w:pPr>
    </w:p>
    <w:p w:rsidR="00341240" w:rsidRPr="00341240" w:rsidRDefault="00341240" w:rsidP="00341240">
      <w:pPr>
        <w:spacing w:after="0" w:line="240" w:lineRule="auto"/>
        <w:ind w:left="720" w:right="-1"/>
        <w:contextualSpacing/>
        <w:jc w:val="center"/>
        <w:textAlignment w:val="baseline"/>
        <w:rPr>
          <w:rFonts w:ascii="Times New Roman" w:eastAsia="Times New Roman" w:hAnsi="Times New Roman" w:cs="Times New Roman"/>
          <w:b/>
          <w:bCs/>
          <w:kern w:val="24"/>
          <w:sz w:val="28"/>
          <w:szCs w:val="28"/>
          <w:lang w:eastAsia="ru-RU"/>
        </w:rPr>
      </w:pPr>
      <w:r w:rsidRPr="00341240">
        <w:rPr>
          <w:rFonts w:ascii="Times New Roman" w:eastAsia="Times New Roman" w:hAnsi="Times New Roman" w:cs="Times New Roman"/>
          <w:b/>
          <w:bCs/>
          <w:kern w:val="24"/>
          <w:sz w:val="28"/>
          <w:szCs w:val="28"/>
          <w:lang w:val="en-US" w:eastAsia="ru-RU"/>
        </w:rPr>
        <w:t>I</w:t>
      </w:r>
      <w:r w:rsidRPr="00341240">
        <w:rPr>
          <w:rFonts w:ascii="Times New Roman" w:eastAsia="Times New Roman" w:hAnsi="Times New Roman" w:cs="Times New Roman"/>
          <w:b/>
          <w:bCs/>
          <w:kern w:val="24"/>
          <w:sz w:val="28"/>
          <w:szCs w:val="28"/>
          <w:lang w:eastAsia="ru-RU"/>
        </w:rPr>
        <w:t>.В сфере клиринговой деятельности и риск-менеджмента планируется реализовать следующие проекты:</w:t>
      </w:r>
    </w:p>
    <w:p w:rsidR="00341240" w:rsidRPr="00341240" w:rsidRDefault="00341240" w:rsidP="00341240">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341240" w:rsidRPr="00341240" w:rsidRDefault="00341240" w:rsidP="00341240">
      <w:pPr>
        <w:keepNext/>
        <w:tabs>
          <w:tab w:val="num" w:pos="851"/>
        </w:tabs>
        <w:spacing w:before="360" w:after="0" w:line="240" w:lineRule="auto"/>
        <w:ind w:left="851" w:hanging="851"/>
        <w:jc w:val="both"/>
        <w:rPr>
          <w:rFonts w:ascii="Times New Roman" w:eastAsia="Times New Roman" w:hAnsi="Times New Roman" w:cs="Times New Roman"/>
          <w:b/>
          <w:sz w:val="28"/>
          <w:szCs w:val="28"/>
          <w:lang w:eastAsia="ru-RU"/>
        </w:rPr>
      </w:pPr>
      <w:r w:rsidRPr="00341240">
        <w:rPr>
          <w:rFonts w:ascii="Times New Roman" w:eastAsia="Times New Roman" w:hAnsi="Times New Roman" w:cs="Times New Roman"/>
          <w:b/>
          <w:sz w:val="28"/>
          <w:szCs w:val="28"/>
          <w:lang w:eastAsia="ru-RU"/>
        </w:rPr>
        <w:t>А. Проект «Единый пул обеспечения» - стратегическое направление развития клиринговой деятельности НКЦ</w:t>
      </w:r>
    </w:p>
    <w:p w:rsidR="00341240" w:rsidRPr="00341240" w:rsidRDefault="00341240" w:rsidP="00341240">
      <w:pPr>
        <w:keepNext/>
        <w:tabs>
          <w:tab w:val="num" w:pos="851"/>
        </w:tabs>
        <w:autoSpaceDE w:val="0"/>
        <w:autoSpaceDN w:val="0"/>
        <w:spacing w:before="240" w:after="0" w:line="360" w:lineRule="auto"/>
        <w:ind w:left="851" w:hanging="851"/>
        <w:jc w:val="center"/>
        <w:outlineLvl w:val="2"/>
        <w:rPr>
          <w:rFonts w:ascii="Times New Roman" w:eastAsia="MS Mincho" w:hAnsi="Times New Roman" w:cs="Arial"/>
          <w:b/>
          <w:bCs/>
          <w:noProof/>
          <w:sz w:val="24"/>
          <w:szCs w:val="20"/>
          <w:lang w:eastAsia="ru-RU"/>
        </w:rPr>
      </w:pPr>
      <w:r w:rsidRPr="00341240">
        <w:rPr>
          <w:rFonts w:ascii="Times New Roman" w:eastAsia="MS Mincho" w:hAnsi="Times New Roman" w:cs="Arial"/>
          <w:b/>
          <w:bCs/>
          <w:i/>
          <w:noProof/>
          <w:sz w:val="24"/>
          <w:szCs w:val="20"/>
          <w:lang w:eastAsia="ru-RU"/>
        </w:rPr>
        <w:t>Основные цели проекта</w:t>
      </w:r>
    </w:p>
    <w:p w:rsidR="00341240" w:rsidRPr="00341240" w:rsidRDefault="00341240" w:rsidP="00AB0ACF">
      <w:pPr>
        <w:numPr>
          <w:ilvl w:val="0"/>
          <w:numId w:val="49"/>
        </w:numPr>
        <w:tabs>
          <w:tab w:val="num" w:pos="426"/>
        </w:tabs>
        <w:spacing w:before="60" w:after="0" w:line="240" w:lineRule="auto"/>
        <w:contextualSpacing/>
        <w:jc w:val="both"/>
        <w:rPr>
          <w:rFonts w:ascii="Times New Roman" w:eastAsia="Times New Roman" w:hAnsi="Times New Roman" w:cs="Times New Roman"/>
          <w:bCs/>
          <w:sz w:val="24"/>
          <w:szCs w:val="24"/>
          <w:lang w:eastAsia="ru-RU"/>
        </w:rPr>
      </w:pPr>
      <w:r w:rsidRPr="00341240">
        <w:rPr>
          <w:rFonts w:ascii="Times New Roman" w:eastAsia="Times New Roman" w:hAnsi="Times New Roman" w:cs="Times New Roman"/>
          <w:bCs/>
          <w:sz w:val="24"/>
          <w:szCs w:val="24"/>
          <w:lang w:eastAsia="ru-RU"/>
        </w:rPr>
        <w:t>снижение издержек на фондирование операций на срочном, валютном рынке и рынке драгоценных металлов за счет использования широкого спектра активов, учитываемых на счетах фондового рынка, а также за счет снятия существующих ограничений на прием активов (доли активов) в качестве индивидуального клирингового обеспечения;</w:t>
      </w:r>
    </w:p>
    <w:p w:rsidR="00341240" w:rsidRPr="00341240" w:rsidRDefault="00341240" w:rsidP="00AB0ACF">
      <w:pPr>
        <w:numPr>
          <w:ilvl w:val="0"/>
          <w:numId w:val="49"/>
        </w:numPr>
        <w:tabs>
          <w:tab w:val="num" w:pos="426"/>
        </w:tabs>
        <w:spacing w:before="60" w:after="0" w:line="240" w:lineRule="auto"/>
        <w:contextualSpacing/>
        <w:jc w:val="both"/>
        <w:rPr>
          <w:rFonts w:ascii="Times New Roman" w:eastAsia="Times New Roman" w:hAnsi="Times New Roman" w:cs="Times New Roman"/>
          <w:bCs/>
          <w:sz w:val="24"/>
          <w:szCs w:val="24"/>
          <w:lang w:eastAsia="ru-RU"/>
        </w:rPr>
      </w:pPr>
      <w:r w:rsidRPr="00341240">
        <w:rPr>
          <w:rFonts w:ascii="Times New Roman" w:eastAsia="Times New Roman" w:hAnsi="Times New Roman" w:cs="Times New Roman"/>
          <w:bCs/>
          <w:sz w:val="24"/>
          <w:szCs w:val="24"/>
          <w:lang w:eastAsia="ru-RU"/>
        </w:rPr>
        <w:t>обеспечение легкости и удобства доступа к проведению кросс-рыночных операций за счет унификации процедур внесения индивидуального клирингового обеспечения и исполнения обязательств;</w:t>
      </w:r>
    </w:p>
    <w:p w:rsidR="00341240" w:rsidRPr="00341240" w:rsidRDefault="00341240" w:rsidP="00AB0ACF">
      <w:pPr>
        <w:numPr>
          <w:ilvl w:val="0"/>
          <w:numId w:val="49"/>
        </w:numPr>
        <w:tabs>
          <w:tab w:val="num" w:pos="426"/>
        </w:tabs>
        <w:spacing w:before="60" w:after="0" w:line="240" w:lineRule="auto"/>
        <w:contextualSpacing/>
        <w:jc w:val="both"/>
        <w:rPr>
          <w:rFonts w:ascii="Times New Roman" w:eastAsia="Times New Roman" w:hAnsi="Times New Roman" w:cs="Times New Roman"/>
          <w:bCs/>
          <w:sz w:val="24"/>
          <w:szCs w:val="24"/>
          <w:lang w:eastAsia="ru-RU"/>
        </w:rPr>
      </w:pPr>
      <w:r w:rsidRPr="00341240">
        <w:rPr>
          <w:rFonts w:ascii="Times New Roman" w:eastAsia="Times New Roman" w:hAnsi="Times New Roman" w:cs="Times New Roman"/>
          <w:bCs/>
          <w:sz w:val="24"/>
          <w:szCs w:val="24"/>
          <w:lang w:eastAsia="ru-RU"/>
        </w:rPr>
        <w:t>снижение издержек на проведение операций в инфраструктуре Группы «Московская Биржа» за счет унификации процедур клиринга.</w:t>
      </w:r>
    </w:p>
    <w:p w:rsidR="00341240" w:rsidRPr="00341240" w:rsidRDefault="00341240" w:rsidP="00341240">
      <w:pPr>
        <w:keepNext/>
        <w:tabs>
          <w:tab w:val="num" w:pos="851"/>
        </w:tabs>
        <w:autoSpaceDE w:val="0"/>
        <w:autoSpaceDN w:val="0"/>
        <w:spacing w:before="240" w:after="0" w:line="360" w:lineRule="auto"/>
        <w:ind w:left="851" w:hanging="851"/>
        <w:jc w:val="center"/>
        <w:outlineLvl w:val="2"/>
        <w:rPr>
          <w:rFonts w:ascii="Times New Roman" w:eastAsia="MS Mincho" w:hAnsi="Times New Roman" w:cs="Arial"/>
          <w:b/>
          <w:bCs/>
          <w:i/>
          <w:noProof/>
          <w:sz w:val="24"/>
          <w:szCs w:val="20"/>
          <w:lang w:eastAsia="ru-RU"/>
        </w:rPr>
      </w:pPr>
      <w:r w:rsidRPr="00341240">
        <w:rPr>
          <w:rFonts w:ascii="Times New Roman" w:eastAsia="MS Mincho" w:hAnsi="Times New Roman" w:cs="Arial"/>
          <w:b/>
          <w:bCs/>
          <w:i/>
          <w:noProof/>
          <w:sz w:val="24"/>
          <w:szCs w:val="20"/>
          <w:lang w:eastAsia="ru-RU"/>
        </w:rPr>
        <w:t>Основные задачи и направления реализации проекта</w:t>
      </w:r>
    </w:p>
    <w:p w:rsidR="00341240" w:rsidRPr="00341240" w:rsidRDefault="00341240" w:rsidP="00AB0ACF">
      <w:pPr>
        <w:numPr>
          <w:ilvl w:val="0"/>
          <w:numId w:val="50"/>
        </w:numPr>
        <w:tabs>
          <w:tab w:val="num" w:pos="426"/>
        </w:tabs>
        <w:spacing w:before="60" w:after="0" w:line="240" w:lineRule="auto"/>
        <w:contextualSpacing/>
        <w:jc w:val="both"/>
        <w:rPr>
          <w:rFonts w:ascii="Times New Roman" w:eastAsia="Times New Roman" w:hAnsi="Times New Roman" w:cs="Times New Roman"/>
          <w:bCs/>
          <w:sz w:val="24"/>
          <w:szCs w:val="24"/>
          <w:lang w:eastAsia="ru-RU"/>
        </w:rPr>
      </w:pPr>
      <w:r w:rsidRPr="00341240">
        <w:rPr>
          <w:rFonts w:ascii="Times New Roman" w:eastAsia="Times New Roman" w:hAnsi="Times New Roman" w:cs="Times New Roman"/>
          <w:bCs/>
          <w:sz w:val="24"/>
          <w:szCs w:val="24"/>
          <w:lang w:eastAsia="ru-RU"/>
        </w:rPr>
        <w:t>использование единого торгово-клирингового счета (набор счетов во всех валютах, ценных бумагах, характеризуемых одним идентификатором) для индивидуального клирингового обеспечения на фондовом, срочном и валютном рынках;</w:t>
      </w:r>
    </w:p>
    <w:p w:rsidR="00341240" w:rsidRPr="00341240" w:rsidRDefault="00341240" w:rsidP="00AB0ACF">
      <w:pPr>
        <w:numPr>
          <w:ilvl w:val="0"/>
          <w:numId w:val="50"/>
        </w:numPr>
        <w:tabs>
          <w:tab w:val="num" w:pos="426"/>
        </w:tabs>
        <w:spacing w:before="60" w:after="0" w:line="240" w:lineRule="auto"/>
        <w:contextualSpacing/>
        <w:jc w:val="both"/>
        <w:rPr>
          <w:rFonts w:ascii="Times New Roman" w:eastAsia="Times New Roman" w:hAnsi="Times New Roman" w:cs="Times New Roman"/>
          <w:bCs/>
          <w:sz w:val="24"/>
          <w:szCs w:val="24"/>
          <w:lang w:eastAsia="ru-RU"/>
        </w:rPr>
      </w:pPr>
      <w:r w:rsidRPr="00341240">
        <w:rPr>
          <w:rFonts w:ascii="Times New Roman" w:eastAsia="Times New Roman" w:hAnsi="Times New Roman" w:cs="Times New Roman"/>
          <w:bCs/>
          <w:sz w:val="24"/>
          <w:szCs w:val="24"/>
          <w:lang w:eastAsia="ru-RU"/>
        </w:rPr>
        <w:t>использование индивидуального клирингового обеспечения для обеспечения исполнения и исполнения обязательств по сделкам, заключенным на разных рынках, если участник клиринга не установил иное;</w:t>
      </w:r>
    </w:p>
    <w:p w:rsidR="00341240" w:rsidRPr="00341240" w:rsidRDefault="00341240" w:rsidP="00AB0ACF">
      <w:pPr>
        <w:numPr>
          <w:ilvl w:val="0"/>
          <w:numId w:val="50"/>
        </w:numPr>
        <w:tabs>
          <w:tab w:val="num" w:pos="426"/>
        </w:tabs>
        <w:spacing w:before="60" w:after="0" w:line="240" w:lineRule="auto"/>
        <w:contextualSpacing/>
        <w:jc w:val="both"/>
        <w:rPr>
          <w:rFonts w:ascii="Times New Roman" w:eastAsia="Times New Roman" w:hAnsi="Times New Roman" w:cs="Times New Roman"/>
          <w:bCs/>
          <w:sz w:val="24"/>
          <w:szCs w:val="24"/>
          <w:lang w:eastAsia="ru-RU"/>
        </w:rPr>
      </w:pPr>
      <w:r w:rsidRPr="00341240">
        <w:rPr>
          <w:rFonts w:ascii="Times New Roman" w:eastAsia="Times New Roman" w:hAnsi="Times New Roman" w:cs="Times New Roman"/>
          <w:bCs/>
          <w:sz w:val="24"/>
          <w:szCs w:val="24"/>
          <w:lang w:eastAsia="ru-RU"/>
        </w:rPr>
        <w:t>выбор количества и типов торгово-клиринговых счетов, регистрируемых участниками клиринга в НКЦ, в соответствии с требованиями законодательства, а также потребностями участника клиринга;</w:t>
      </w:r>
    </w:p>
    <w:p w:rsidR="00341240" w:rsidRPr="00341240" w:rsidRDefault="00341240" w:rsidP="00AB0ACF">
      <w:pPr>
        <w:numPr>
          <w:ilvl w:val="0"/>
          <w:numId w:val="50"/>
        </w:numPr>
        <w:tabs>
          <w:tab w:val="num" w:pos="426"/>
        </w:tabs>
        <w:spacing w:before="60" w:after="0" w:line="240" w:lineRule="auto"/>
        <w:contextualSpacing/>
        <w:jc w:val="both"/>
        <w:rPr>
          <w:rFonts w:ascii="Times New Roman" w:eastAsia="Times New Roman" w:hAnsi="Times New Roman" w:cs="Times New Roman"/>
          <w:bCs/>
          <w:sz w:val="24"/>
          <w:szCs w:val="24"/>
          <w:lang w:eastAsia="ru-RU"/>
        </w:rPr>
      </w:pPr>
      <w:r w:rsidRPr="00341240">
        <w:rPr>
          <w:rFonts w:ascii="Times New Roman" w:eastAsia="Times New Roman" w:hAnsi="Times New Roman" w:cs="Times New Roman"/>
          <w:bCs/>
          <w:sz w:val="24"/>
          <w:szCs w:val="24"/>
          <w:lang w:eastAsia="ru-RU"/>
        </w:rPr>
        <w:t>унификация правил и процедур приема активов в качестве индивидуального клирингового обеспечения на разных рынках (унификация перечня, унификация ставок обеспечения и лимитов концентрации, унификация порядка использования, в том числе для исполнения маржинальных требований и погашения задолженности);</w:t>
      </w:r>
    </w:p>
    <w:p w:rsidR="00341240" w:rsidRPr="00341240" w:rsidRDefault="00341240" w:rsidP="00AB0ACF">
      <w:pPr>
        <w:numPr>
          <w:ilvl w:val="0"/>
          <w:numId w:val="50"/>
        </w:numPr>
        <w:tabs>
          <w:tab w:val="num" w:pos="426"/>
        </w:tabs>
        <w:spacing w:before="60" w:after="0" w:line="240" w:lineRule="auto"/>
        <w:contextualSpacing/>
        <w:jc w:val="both"/>
        <w:rPr>
          <w:rFonts w:ascii="Times New Roman" w:eastAsia="Times New Roman" w:hAnsi="Times New Roman" w:cs="Times New Roman"/>
          <w:bCs/>
          <w:sz w:val="24"/>
          <w:szCs w:val="24"/>
          <w:lang w:eastAsia="ru-RU"/>
        </w:rPr>
      </w:pPr>
      <w:r w:rsidRPr="00341240">
        <w:rPr>
          <w:rFonts w:ascii="Times New Roman" w:eastAsia="Times New Roman" w:hAnsi="Times New Roman" w:cs="Times New Roman"/>
          <w:bCs/>
          <w:sz w:val="24"/>
          <w:szCs w:val="24"/>
          <w:lang w:eastAsia="ru-RU"/>
        </w:rPr>
        <w:t>межпродуктовые спреды по альфа зависимым позициям - по позициям в EUR и в USD на валютном рынке, по позициям в ОФЗ разных выпусков на фондовом рынке и т.д. (при расчете единого лимита будет устанавливаться скидка за межпродуктовый спред, которая будет уменьшать требование к обеспечению позиций, входящих в спред, по сравнению с обеспечением, взимаемым по таким позициям, когда они рассматриваются как изолированные).</w:t>
      </w:r>
    </w:p>
    <w:p w:rsidR="00341240" w:rsidRPr="00341240" w:rsidRDefault="00341240" w:rsidP="00AB0ACF">
      <w:pPr>
        <w:numPr>
          <w:ilvl w:val="0"/>
          <w:numId w:val="50"/>
        </w:numPr>
        <w:tabs>
          <w:tab w:val="num" w:pos="426"/>
        </w:tabs>
        <w:spacing w:before="60" w:after="0" w:line="240" w:lineRule="auto"/>
        <w:contextualSpacing/>
        <w:jc w:val="both"/>
        <w:rPr>
          <w:rFonts w:ascii="Times New Roman" w:eastAsia="Times New Roman" w:hAnsi="Times New Roman" w:cs="Times New Roman"/>
          <w:bCs/>
          <w:sz w:val="24"/>
          <w:szCs w:val="24"/>
          <w:lang w:eastAsia="ru-RU"/>
        </w:rPr>
      </w:pPr>
      <w:r w:rsidRPr="00341240">
        <w:rPr>
          <w:rFonts w:ascii="Times New Roman" w:eastAsia="Times New Roman" w:hAnsi="Times New Roman" w:cs="Times New Roman"/>
          <w:bCs/>
          <w:sz w:val="24"/>
          <w:szCs w:val="24"/>
          <w:lang w:eastAsia="ru-RU"/>
        </w:rPr>
        <w:t>введение единого порядка расчетов по вариационной марже (обязательства участников клиринга по вариационной марже, рассчитанные в ходе клиринговых сессий, проводимых на срочном и валютном рынках, должны исполняться со счетов единого пула обеспечения).</w:t>
      </w:r>
    </w:p>
    <w:p w:rsidR="00341240" w:rsidRPr="00341240" w:rsidRDefault="00341240" w:rsidP="00AB0ACF">
      <w:pPr>
        <w:numPr>
          <w:ilvl w:val="0"/>
          <w:numId w:val="50"/>
        </w:numPr>
        <w:tabs>
          <w:tab w:val="num" w:pos="426"/>
        </w:tabs>
        <w:spacing w:before="60" w:after="0" w:line="240" w:lineRule="auto"/>
        <w:contextualSpacing/>
        <w:jc w:val="both"/>
        <w:rPr>
          <w:rFonts w:ascii="Times New Roman" w:eastAsia="Times New Roman" w:hAnsi="Times New Roman" w:cs="Times New Roman"/>
          <w:bCs/>
          <w:sz w:val="24"/>
          <w:szCs w:val="24"/>
          <w:lang w:eastAsia="ru-RU"/>
        </w:rPr>
      </w:pPr>
      <w:r w:rsidRPr="00341240">
        <w:rPr>
          <w:rFonts w:ascii="Times New Roman" w:eastAsia="Times New Roman" w:hAnsi="Times New Roman" w:cs="Times New Roman"/>
          <w:bCs/>
          <w:sz w:val="24"/>
          <w:szCs w:val="24"/>
          <w:lang w:eastAsia="ru-RU"/>
        </w:rPr>
        <w:t xml:space="preserve">вывод в размере расчетной позиции (вывод денежных средств по запросам участников клиринга со счетов единого пула обеспечения должен осуществляться с учетом обязательств НКЦ с наступившей датой исполнения, учитываемых по данным счетам, непрерывно в ходе торгового дня с учетом установленных </w:t>
      </w:r>
      <w:r w:rsidRPr="00341240">
        <w:rPr>
          <w:rFonts w:ascii="Times New Roman" w:eastAsia="Times New Roman" w:hAnsi="Times New Roman" w:cs="Times New Roman"/>
          <w:bCs/>
          <w:sz w:val="24"/>
          <w:szCs w:val="24"/>
          <w:lang w:val="en-US" w:eastAsia="ru-RU"/>
        </w:rPr>
        <w:t>cut</w:t>
      </w:r>
      <w:r w:rsidRPr="00341240">
        <w:rPr>
          <w:rFonts w:ascii="Times New Roman" w:eastAsia="Times New Roman" w:hAnsi="Times New Roman" w:cs="Times New Roman"/>
          <w:bCs/>
          <w:sz w:val="24"/>
          <w:szCs w:val="24"/>
          <w:lang w:eastAsia="ru-RU"/>
        </w:rPr>
        <w:t>-</w:t>
      </w:r>
      <w:r w:rsidRPr="00341240">
        <w:rPr>
          <w:rFonts w:ascii="Times New Roman" w:eastAsia="Times New Roman" w:hAnsi="Times New Roman" w:cs="Times New Roman"/>
          <w:bCs/>
          <w:sz w:val="24"/>
          <w:szCs w:val="24"/>
          <w:lang w:val="en-US" w:eastAsia="ru-RU"/>
        </w:rPr>
        <w:t>of</w:t>
      </w:r>
      <w:r w:rsidRPr="00341240">
        <w:rPr>
          <w:rFonts w:ascii="Times New Roman" w:eastAsia="Times New Roman" w:hAnsi="Times New Roman" w:cs="Times New Roman"/>
          <w:bCs/>
          <w:sz w:val="24"/>
          <w:szCs w:val="24"/>
          <w:lang w:eastAsia="ru-RU"/>
        </w:rPr>
        <w:t xml:space="preserve"> </w:t>
      </w:r>
      <w:r w:rsidRPr="00341240">
        <w:rPr>
          <w:rFonts w:ascii="Times New Roman" w:eastAsia="Times New Roman" w:hAnsi="Times New Roman" w:cs="Times New Roman"/>
          <w:bCs/>
          <w:sz w:val="24"/>
          <w:szCs w:val="24"/>
          <w:lang w:val="en-US" w:eastAsia="ru-RU"/>
        </w:rPr>
        <w:t>time</w:t>
      </w:r>
      <w:r w:rsidRPr="00341240">
        <w:rPr>
          <w:rFonts w:ascii="Times New Roman" w:eastAsia="Times New Roman" w:hAnsi="Times New Roman" w:cs="Times New Roman"/>
          <w:bCs/>
          <w:sz w:val="24"/>
          <w:szCs w:val="24"/>
          <w:lang w:eastAsia="ru-RU"/>
        </w:rPr>
        <w:t xml:space="preserve"> по соответствующим валютам).</w:t>
      </w:r>
    </w:p>
    <w:p w:rsidR="00341240" w:rsidRPr="00341240" w:rsidRDefault="00341240" w:rsidP="00341240">
      <w:pPr>
        <w:keepNext/>
        <w:tabs>
          <w:tab w:val="num" w:pos="851"/>
        </w:tabs>
        <w:autoSpaceDE w:val="0"/>
        <w:autoSpaceDN w:val="0"/>
        <w:spacing w:before="240" w:after="0" w:line="360" w:lineRule="auto"/>
        <w:ind w:left="851" w:hanging="851"/>
        <w:jc w:val="center"/>
        <w:outlineLvl w:val="2"/>
        <w:rPr>
          <w:rFonts w:ascii="Times New Roman" w:eastAsia="MS Mincho" w:hAnsi="Times New Roman" w:cs="Arial"/>
          <w:b/>
          <w:bCs/>
          <w:i/>
          <w:noProof/>
          <w:sz w:val="24"/>
          <w:szCs w:val="20"/>
          <w:lang w:eastAsia="ru-RU"/>
        </w:rPr>
      </w:pPr>
      <w:r w:rsidRPr="00341240">
        <w:rPr>
          <w:rFonts w:ascii="Times New Roman" w:eastAsia="MS Mincho" w:hAnsi="Times New Roman" w:cs="Arial"/>
          <w:b/>
          <w:bCs/>
          <w:i/>
          <w:noProof/>
          <w:sz w:val="24"/>
          <w:szCs w:val="20"/>
          <w:lang w:eastAsia="ru-RU"/>
        </w:rPr>
        <w:t>Порядок учета средств в едином пуле обеспечения</w:t>
      </w:r>
    </w:p>
    <w:p w:rsidR="00341240" w:rsidRPr="00341240" w:rsidRDefault="00341240" w:rsidP="00341240">
      <w:pPr>
        <w:tabs>
          <w:tab w:val="num" w:pos="426"/>
        </w:tabs>
        <w:spacing w:before="60" w:after="0" w:line="240" w:lineRule="auto"/>
        <w:ind w:left="426" w:hanging="426"/>
        <w:jc w:val="both"/>
        <w:rPr>
          <w:rFonts w:ascii="Times New Roman" w:eastAsia="Times New Roman" w:hAnsi="Times New Roman" w:cs="Times New Roman"/>
          <w:bCs/>
          <w:sz w:val="24"/>
          <w:szCs w:val="24"/>
          <w:lang w:eastAsia="ru-RU"/>
        </w:rPr>
      </w:pPr>
      <w:r w:rsidRPr="00341240">
        <w:rPr>
          <w:rFonts w:ascii="Times New Roman" w:eastAsiaTheme="minorEastAsia" w:hAnsi="Times New Roman" w:cs="Times New Roman"/>
          <w:bCs/>
          <w:sz w:val="24"/>
          <w:szCs w:val="24"/>
          <w:lang w:eastAsia="ru-RU"/>
        </w:rPr>
        <w:tab/>
        <w:t>В качестве счетов единого пула обеспечения будут использоваться:</w:t>
      </w:r>
    </w:p>
    <w:p w:rsidR="00341240" w:rsidRPr="00341240" w:rsidRDefault="00341240" w:rsidP="00AB0ACF">
      <w:pPr>
        <w:numPr>
          <w:ilvl w:val="0"/>
          <w:numId w:val="51"/>
        </w:numPr>
        <w:spacing w:before="60" w:after="0" w:line="240" w:lineRule="auto"/>
        <w:contextualSpacing/>
        <w:jc w:val="both"/>
        <w:rPr>
          <w:rFonts w:ascii="Times New Roman" w:eastAsia="Times New Roman" w:hAnsi="Times New Roman" w:cs="Times New Roman"/>
          <w:bCs/>
          <w:sz w:val="24"/>
          <w:szCs w:val="24"/>
          <w:lang w:eastAsia="ru-RU"/>
        </w:rPr>
      </w:pPr>
      <w:r w:rsidRPr="00341240">
        <w:rPr>
          <w:rFonts w:ascii="Times New Roman" w:eastAsia="Times New Roman" w:hAnsi="Times New Roman" w:cs="Times New Roman"/>
          <w:bCs/>
          <w:sz w:val="24"/>
          <w:szCs w:val="24"/>
          <w:lang w:eastAsia="ru-RU"/>
        </w:rPr>
        <w:t>клиринговые банковские счета фондового рынка;</w:t>
      </w:r>
    </w:p>
    <w:p w:rsidR="00341240" w:rsidRPr="00341240" w:rsidRDefault="00341240" w:rsidP="00AB0ACF">
      <w:pPr>
        <w:numPr>
          <w:ilvl w:val="0"/>
          <w:numId w:val="51"/>
        </w:numPr>
        <w:spacing w:before="60" w:after="0" w:line="240" w:lineRule="auto"/>
        <w:contextualSpacing/>
        <w:jc w:val="both"/>
        <w:rPr>
          <w:rFonts w:ascii="Times New Roman" w:eastAsia="Times New Roman" w:hAnsi="Times New Roman" w:cs="Times New Roman"/>
          <w:bCs/>
          <w:sz w:val="24"/>
          <w:szCs w:val="24"/>
          <w:lang w:eastAsia="ru-RU"/>
        </w:rPr>
      </w:pPr>
      <w:r w:rsidRPr="00341240">
        <w:rPr>
          <w:rFonts w:ascii="Times New Roman" w:eastAsia="Times New Roman" w:hAnsi="Times New Roman" w:cs="Times New Roman"/>
          <w:bCs/>
          <w:sz w:val="24"/>
          <w:szCs w:val="24"/>
          <w:lang w:eastAsia="ru-RU"/>
        </w:rPr>
        <w:t>торговые счета депо фондового рынка;</w:t>
      </w:r>
    </w:p>
    <w:p w:rsidR="00341240" w:rsidRPr="00341240" w:rsidRDefault="00341240" w:rsidP="00AB0ACF">
      <w:pPr>
        <w:numPr>
          <w:ilvl w:val="0"/>
          <w:numId w:val="51"/>
        </w:numPr>
        <w:spacing w:before="60" w:after="0" w:line="240" w:lineRule="auto"/>
        <w:contextualSpacing/>
        <w:jc w:val="both"/>
        <w:rPr>
          <w:rFonts w:ascii="Times New Roman" w:eastAsia="Times New Roman" w:hAnsi="Times New Roman" w:cs="Times New Roman"/>
          <w:bCs/>
          <w:sz w:val="24"/>
          <w:szCs w:val="24"/>
          <w:lang w:eastAsia="ru-RU"/>
        </w:rPr>
      </w:pPr>
      <w:r w:rsidRPr="00341240">
        <w:rPr>
          <w:rFonts w:ascii="Times New Roman" w:eastAsia="Times New Roman" w:hAnsi="Times New Roman" w:cs="Times New Roman"/>
          <w:bCs/>
          <w:sz w:val="24"/>
          <w:szCs w:val="24"/>
          <w:lang w:eastAsia="ru-RU"/>
        </w:rPr>
        <w:t>торгово-клиринговые счета фондового рынка.</w:t>
      </w:r>
    </w:p>
    <w:p w:rsidR="00341240" w:rsidRPr="00341240" w:rsidRDefault="00341240" w:rsidP="00341240">
      <w:pPr>
        <w:tabs>
          <w:tab w:val="num" w:pos="426"/>
        </w:tabs>
        <w:spacing w:before="60" w:after="0" w:line="240" w:lineRule="auto"/>
        <w:ind w:left="426" w:hanging="426"/>
        <w:jc w:val="both"/>
        <w:rPr>
          <w:rFonts w:ascii="Times New Roman" w:eastAsia="Times New Roman" w:hAnsi="Times New Roman" w:cs="Times New Roman"/>
          <w:bCs/>
          <w:sz w:val="24"/>
          <w:szCs w:val="24"/>
          <w:lang w:eastAsia="ru-RU"/>
        </w:rPr>
      </w:pPr>
      <w:r w:rsidRPr="00341240">
        <w:rPr>
          <w:rFonts w:ascii="Times New Roman" w:eastAsiaTheme="minorEastAsia" w:hAnsi="Times New Roman" w:cs="Times New Roman"/>
          <w:bCs/>
          <w:sz w:val="24"/>
          <w:szCs w:val="24"/>
          <w:lang w:eastAsia="ru-RU"/>
        </w:rPr>
        <w:tab/>
        <w:t>В перечень активов, принимаемых в Единый пул обеспечения, будут входить:</w:t>
      </w:r>
    </w:p>
    <w:p w:rsidR="00341240" w:rsidRPr="00341240" w:rsidRDefault="00341240" w:rsidP="00AB0ACF">
      <w:pPr>
        <w:numPr>
          <w:ilvl w:val="0"/>
          <w:numId w:val="52"/>
        </w:numPr>
        <w:spacing w:before="60" w:after="0" w:line="240" w:lineRule="auto"/>
        <w:contextualSpacing/>
        <w:jc w:val="both"/>
        <w:rPr>
          <w:rFonts w:ascii="Times New Roman" w:eastAsia="Times New Roman" w:hAnsi="Times New Roman" w:cs="Times New Roman"/>
          <w:bCs/>
          <w:sz w:val="24"/>
          <w:szCs w:val="24"/>
          <w:lang w:eastAsia="ru-RU"/>
        </w:rPr>
      </w:pPr>
      <w:r w:rsidRPr="00341240">
        <w:rPr>
          <w:rFonts w:ascii="Times New Roman" w:eastAsia="Times New Roman" w:hAnsi="Times New Roman" w:cs="Times New Roman"/>
          <w:bCs/>
          <w:sz w:val="24"/>
          <w:szCs w:val="24"/>
          <w:lang w:eastAsia="ru-RU"/>
        </w:rPr>
        <w:t>рубли;</w:t>
      </w:r>
    </w:p>
    <w:p w:rsidR="00341240" w:rsidRPr="00341240" w:rsidRDefault="00341240" w:rsidP="00AB0ACF">
      <w:pPr>
        <w:numPr>
          <w:ilvl w:val="0"/>
          <w:numId w:val="52"/>
        </w:numPr>
        <w:spacing w:before="60" w:after="0" w:line="240" w:lineRule="auto"/>
        <w:contextualSpacing/>
        <w:jc w:val="both"/>
        <w:rPr>
          <w:rFonts w:ascii="Times New Roman" w:eastAsia="Times New Roman" w:hAnsi="Times New Roman" w:cs="Times New Roman"/>
          <w:bCs/>
          <w:sz w:val="24"/>
          <w:szCs w:val="24"/>
          <w:lang w:eastAsia="ru-RU"/>
        </w:rPr>
      </w:pPr>
      <w:r w:rsidRPr="00341240">
        <w:rPr>
          <w:rFonts w:ascii="Times New Roman" w:eastAsia="Times New Roman" w:hAnsi="Times New Roman" w:cs="Times New Roman"/>
          <w:bCs/>
          <w:sz w:val="24"/>
          <w:szCs w:val="24"/>
          <w:lang w:eastAsia="ru-RU"/>
        </w:rPr>
        <w:t>иностранная валюта;</w:t>
      </w:r>
    </w:p>
    <w:p w:rsidR="00341240" w:rsidRPr="00341240" w:rsidRDefault="00341240" w:rsidP="00AB0ACF">
      <w:pPr>
        <w:numPr>
          <w:ilvl w:val="0"/>
          <w:numId w:val="52"/>
        </w:numPr>
        <w:spacing w:before="60" w:after="0" w:line="240" w:lineRule="auto"/>
        <w:contextualSpacing/>
        <w:jc w:val="both"/>
        <w:rPr>
          <w:rFonts w:ascii="Times New Roman" w:eastAsia="Times New Roman" w:hAnsi="Times New Roman" w:cs="Times New Roman"/>
          <w:bCs/>
          <w:sz w:val="24"/>
          <w:szCs w:val="24"/>
          <w:lang w:eastAsia="ru-RU"/>
        </w:rPr>
      </w:pPr>
      <w:r w:rsidRPr="00341240">
        <w:rPr>
          <w:rFonts w:ascii="Times New Roman" w:eastAsia="Times New Roman" w:hAnsi="Times New Roman" w:cs="Times New Roman"/>
          <w:bCs/>
          <w:sz w:val="24"/>
          <w:szCs w:val="24"/>
          <w:lang w:eastAsia="ru-RU"/>
        </w:rPr>
        <w:t>ценные бумаги.</w:t>
      </w:r>
    </w:p>
    <w:p w:rsidR="00341240" w:rsidRPr="00341240" w:rsidRDefault="00341240" w:rsidP="00341240">
      <w:pPr>
        <w:spacing w:before="60" w:after="0" w:line="240" w:lineRule="auto"/>
        <w:jc w:val="both"/>
        <w:rPr>
          <w:rFonts w:ascii="Times New Roman" w:eastAsia="Times New Roman" w:hAnsi="Times New Roman" w:cs="Arial"/>
          <w:sz w:val="24"/>
          <w:szCs w:val="20"/>
        </w:rPr>
      </w:pPr>
      <w:r w:rsidRPr="00341240">
        <w:rPr>
          <w:rFonts w:ascii="Times New Roman" w:eastAsiaTheme="minorEastAsia" w:hAnsi="Times New Roman" w:cs="Arial"/>
          <w:sz w:val="24"/>
          <w:szCs w:val="20"/>
        </w:rPr>
        <w:t xml:space="preserve">       Для выбора и оценки иностранных валют и ценных бумаг, принимаемых в качестве индивидуального клирингового обеспечения, будет использоваться единая методика на базе действующей методики фондового рынка.</w:t>
      </w:r>
    </w:p>
    <w:p w:rsidR="00341240" w:rsidRPr="00341240" w:rsidRDefault="00341240" w:rsidP="00341240">
      <w:pPr>
        <w:spacing w:before="60" w:after="0" w:line="240" w:lineRule="auto"/>
        <w:jc w:val="both"/>
        <w:rPr>
          <w:rFonts w:ascii="Times New Roman" w:eastAsia="Times New Roman" w:hAnsi="Times New Roman" w:cs="Arial"/>
          <w:sz w:val="24"/>
          <w:szCs w:val="20"/>
        </w:rPr>
      </w:pPr>
      <w:r w:rsidRPr="00341240">
        <w:rPr>
          <w:rFonts w:ascii="Times New Roman" w:eastAsiaTheme="minorEastAsia" w:hAnsi="Times New Roman" w:cs="Arial"/>
          <w:bCs/>
          <w:sz w:val="24"/>
          <w:szCs w:val="20"/>
        </w:rPr>
        <w:t xml:space="preserve">       Передача информации об обеспечении, учитываемом в едином пуле обеспечения, на срочный рынок, валютный рынок и рынок драгоценных металлов</w:t>
      </w:r>
      <w:r w:rsidRPr="00341240">
        <w:rPr>
          <w:rFonts w:ascii="Times New Roman" w:eastAsiaTheme="minorEastAsia" w:hAnsi="Times New Roman" w:cs="Arial"/>
          <w:sz w:val="24"/>
          <w:szCs w:val="20"/>
        </w:rPr>
        <w:t xml:space="preserve"> будет осуществляться за счет передачи в торгово-клиринговые системы срочного рынка, валютного рынка и рынка драгоценных металлов части единого лимита или профиля позиций по активам, учитываемым на счетах единого пула обеспечения.</w:t>
      </w:r>
    </w:p>
    <w:p w:rsidR="00341240" w:rsidRPr="00341240" w:rsidRDefault="00341240" w:rsidP="00341240">
      <w:pPr>
        <w:spacing w:before="60" w:after="0" w:line="240" w:lineRule="auto"/>
        <w:jc w:val="both"/>
        <w:rPr>
          <w:rFonts w:ascii="Times New Roman" w:eastAsiaTheme="minorEastAsia" w:hAnsi="Times New Roman" w:cs="Arial"/>
          <w:sz w:val="24"/>
          <w:szCs w:val="20"/>
        </w:rPr>
      </w:pPr>
      <w:r w:rsidRPr="00341240">
        <w:rPr>
          <w:rFonts w:ascii="Times New Roman" w:eastAsiaTheme="minorEastAsia" w:hAnsi="Times New Roman" w:cs="Arial"/>
          <w:sz w:val="24"/>
          <w:szCs w:val="20"/>
        </w:rPr>
        <w:t xml:space="preserve">      Использование счетов единого пула обеспечения будет осуществляться исключительно по желанию участника клиринга, т.е. будет сохранена возможность использования разных (отдельных) счетов для внесения обеспечения для разных рынков.</w:t>
      </w:r>
    </w:p>
    <w:p w:rsidR="00341240" w:rsidRPr="00341240" w:rsidRDefault="00341240" w:rsidP="00341240">
      <w:pPr>
        <w:keepNext/>
        <w:tabs>
          <w:tab w:val="num" w:pos="851"/>
        </w:tabs>
        <w:autoSpaceDE w:val="0"/>
        <w:autoSpaceDN w:val="0"/>
        <w:spacing w:before="240" w:after="0" w:line="240" w:lineRule="auto"/>
        <w:ind w:left="851" w:hanging="851"/>
        <w:jc w:val="center"/>
        <w:outlineLvl w:val="2"/>
        <w:rPr>
          <w:rFonts w:ascii="Times New Roman" w:eastAsia="MS Mincho" w:hAnsi="Times New Roman" w:cs="Arial"/>
          <w:b/>
          <w:bCs/>
          <w:i/>
          <w:noProof/>
          <w:sz w:val="24"/>
          <w:szCs w:val="20"/>
          <w:lang w:eastAsia="ru-RU"/>
        </w:rPr>
      </w:pPr>
      <w:r w:rsidRPr="00341240">
        <w:rPr>
          <w:rFonts w:ascii="Times New Roman" w:eastAsia="MS Mincho" w:hAnsi="Times New Roman" w:cs="Arial"/>
          <w:b/>
          <w:bCs/>
          <w:i/>
          <w:noProof/>
          <w:sz w:val="24"/>
          <w:szCs w:val="20"/>
          <w:lang w:eastAsia="ru-RU"/>
        </w:rPr>
        <w:t>Порядок передачи информации об обеспечении между различными рынками определяется по следующей схемой</w:t>
      </w:r>
    </w:p>
    <w:p w:rsidR="00341240" w:rsidRPr="00341240" w:rsidRDefault="00341240" w:rsidP="00341240">
      <w:pPr>
        <w:keepNext/>
        <w:autoSpaceDE w:val="0"/>
        <w:autoSpaceDN w:val="0"/>
        <w:spacing w:before="240" w:after="0" w:line="360" w:lineRule="auto"/>
        <w:jc w:val="both"/>
        <w:outlineLvl w:val="2"/>
        <w:rPr>
          <w:rFonts w:ascii="Times New Roman" w:eastAsia="MS Mincho" w:hAnsi="Times New Roman" w:cs="Arial"/>
          <w:b/>
          <w:bCs/>
          <w:noProof/>
          <w:sz w:val="24"/>
          <w:szCs w:val="20"/>
          <w:lang w:eastAsia="ru-RU"/>
        </w:rPr>
      </w:pPr>
      <w:r w:rsidRPr="00341240">
        <w:rPr>
          <w:rFonts w:ascii="Times New Roman" w:eastAsia="MS Mincho" w:hAnsi="Times New Roman" w:cs="Arial"/>
          <w:b/>
          <w:bCs/>
          <w:noProof/>
          <w:sz w:val="24"/>
          <w:szCs w:val="20"/>
          <w:lang w:eastAsia="ru-RU"/>
        </w:rPr>
        <w:drawing>
          <wp:inline distT="0" distB="0" distL="0" distR="0" wp14:anchorId="2DE4815D" wp14:editId="32439E75">
            <wp:extent cx="5949950" cy="2888287"/>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3977" cy="2890242"/>
                    </a:xfrm>
                    <a:prstGeom prst="rect">
                      <a:avLst/>
                    </a:prstGeom>
                    <a:noFill/>
                  </pic:spPr>
                </pic:pic>
              </a:graphicData>
            </a:graphic>
          </wp:inline>
        </w:drawing>
      </w:r>
    </w:p>
    <w:p w:rsidR="00341240" w:rsidRPr="00341240" w:rsidRDefault="00341240" w:rsidP="00341240">
      <w:pPr>
        <w:keepNext/>
        <w:tabs>
          <w:tab w:val="num" w:pos="851"/>
        </w:tabs>
        <w:autoSpaceDE w:val="0"/>
        <w:autoSpaceDN w:val="0"/>
        <w:spacing w:before="240" w:after="0" w:line="360" w:lineRule="auto"/>
        <w:ind w:left="851" w:hanging="851"/>
        <w:jc w:val="center"/>
        <w:outlineLvl w:val="2"/>
        <w:rPr>
          <w:rFonts w:ascii="Times New Roman" w:eastAsia="MS Mincho" w:hAnsi="Times New Roman" w:cs="Arial"/>
          <w:b/>
          <w:bCs/>
          <w:i/>
          <w:noProof/>
          <w:sz w:val="24"/>
          <w:szCs w:val="20"/>
          <w:lang w:eastAsia="ru-RU"/>
        </w:rPr>
      </w:pPr>
      <w:r w:rsidRPr="00341240">
        <w:rPr>
          <w:rFonts w:ascii="Times New Roman" w:eastAsia="MS Mincho" w:hAnsi="Times New Roman" w:cs="Arial"/>
          <w:b/>
          <w:bCs/>
          <w:i/>
          <w:noProof/>
          <w:sz w:val="24"/>
          <w:szCs w:val="20"/>
          <w:lang w:eastAsia="ru-RU"/>
        </w:rPr>
        <w:t>Особенности реализации единого пула обеспечения на разных рынках</w:t>
      </w:r>
    </w:p>
    <w:p w:rsidR="00341240" w:rsidRPr="00341240" w:rsidRDefault="00341240" w:rsidP="00341240">
      <w:pPr>
        <w:tabs>
          <w:tab w:val="left" w:pos="851"/>
        </w:tabs>
        <w:spacing w:before="240" w:after="0" w:line="240" w:lineRule="auto"/>
        <w:ind w:left="360"/>
        <w:jc w:val="center"/>
        <w:rPr>
          <w:rFonts w:ascii="Times New Roman" w:eastAsia="Times New Roman" w:hAnsi="Times New Roman" w:cs="Times New Roman"/>
          <w:b/>
          <w:i/>
          <w:sz w:val="24"/>
          <w:szCs w:val="24"/>
          <w:lang w:bidi="en-US"/>
        </w:rPr>
      </w:pPr>
      <w:r w:rsidRPr="00341240">
        <w:rPr>
          <w:rFonts w:ascii="Times New Roman" w:eastAsiaTheme="minorEastAsia" w:hAnsi="Times New Roman" w:cs="Times New Roman"/>
          <w:b/>
          <w:i/>
          <w:sz w:val="24"/>
          <w:szCs w:val="24"/>
          <w:lang w:bidi="en-US"/>
        </w:rPr>
        <w:t>На срочном рынке</w:t>
      </w:r>
    </w:p>
    <w:p w:rsidR="00341240" w:rsidRPr="00341240" w:rsidRDefault="00341240" w:rsidP="00AB0ACF">
      <w:pPr>
        <w:numPr>
          <w:ilvl w:val="0"/>
          <w:numId w:val="11"/>
        </w:numPr>
        <w:spacing w:before="240"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произойдет отказ от разделов </w:t>
      </w:r>
      <w:r w:rsidRPr="00341240">
        <w:rPr>
          <w:rFonts w:ascii="Times New Roman" w:eastAsia="Calibri" w:hAnsi="Times New Roman" w:cs="Times New Roman"/>
          <w:sz w:val="24"/>
          <w:szCs w:val="24"/>
          <w:lang w:val="en-US"/>
        </w:rPr>
        <w:t>FORTS</w:t>
      </w:r>
      <w:r w:rsidRPr="00341240">
        <w:rPr>
          <w:rFonts w:ascii="Times New Roman" w:eastAsia="Calibri" w:hAnsi="Times New Roman" w:cs="Times New Roman"/>
          <w:sz w:val="24"/>
          <w:szCs w:val="24"/>
        </w:rPr>
        <w:t>, используемых в настоящее время для зачисления на срочный рынок индивидуального клирингового обеспечения в ценных бумагах, и переход на использование для этих целей 36-х разделов счетов депо фондового рынка;</w:t>
      </w:r>
    </w:p>
    <w:p w:rsidR="00341240" w:rsidRPr="00341240" w:rsidRDefault="00341240" w:rsidP="00AB0ACF">
      <w:pPr>
        <w:numPr>
          <w:ilvl w:val="0"/>
          <w:numId w:val="11"/>
        </w:numPr>
        <w:spacing w:before="240"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обязательства по уплате вариационной маржи по сделкам, заключенным на срочном рынке, будут исполняться по счетам единого пула обеспечения;</w:t>
      </w:r>
    </w:p>
    <w:p w:rsidR="00341240" w:rsidRPr="00341240" w:rsidRDefault="00341240" w:rsidP="00AB0ACF">
      <w:pPr>
        <w:numPr>
          <w:ilvl w:val="0"/>
          <w:numId w:val="11"/>
        </w:numPr>
        <w:spacing w:before="240"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технология расчета размера гарантийного обеспечения на срочном рынке принципиально не изменится. Будет работать </w:t>
      </w:r>
      <w:r w:rsidRPr="00341240">
        <w:rPr>
          <w:rFonts w:ascii="Times New Roman" w:eastAsia="Calibri" w:hAnsi="Times New Roman" w:cs="Times New Roman"/>
          <w:sz w:val="24"/>
          <w:szCs w:val="24"/>
          <w:lang w:val="en-US"/>
        </w:rPr>
        <w:t>pre</w:t>
      </w:r>
      <w:r w:rsidRPr="00341240">
        <w:rPr>
          <w:rFonts w:ascii="Times New Roman" w:eastAsia="Calibri" w:hAnsi="Times New Roman" w:cs="Times New Roman"/>
          <w:sz w:val="24"/>
          <w:szCs w:val="24"/>
        </w:rPr>
        <w:t>-</w:t>
      </w:r>
      <w:r w:rsidRPr="00341240">
        <w:rPr>
          <w:rFonts w:ascii="Times New Roman" w:eastAsia="Calibri" w:hAnsi="Times New Roman" w:cs="Times New Roman"/>
          <w:sz w:val="24"/>
          <w:szCs w:val="24"/>
          <w:lang w:val="en-US"/>
        </w:rPr>
        <w:t>order</w:t>
      </w:r>
      <w:r w:rsidRPr="00341240">
        <w:rPr>
          <w:rFonts w:ascii="Times New Roman" w:eastAsia="Calibri" w:hAnsi="Times New Roman" w:cs="Times New Roman"/>
          <w:sz w:val="24"/>
          <w:szCs w:val="24"/>
        </w:rPr>
        <w:t>-</w:t>
      </w:r>
      <w:r w:rsidRPr="00341240">
        <w:rPr>
          <w:rFonts w:ascii="Times New Roman" w:eastAsia="Calibri" w:hAnsi="Times New Roman" w:cs="Times New Roman"/>
          <w:sz w:val="24"/>
          <w:szCs w:val="24"/>
          <w:lang w:val="en-US"/>
        </w:rPr>
        <w:t>validation</w:t>
      </w:r>
      <w:r w:rsidRPr="00341240">
        <w:rPr>
          <w:rFonts w:ascii="Times New Roman" w:eastAsia="Calibri" w:hAnsi="Times New Roman" w:cs="Times New Roman"/>
          <w:sz w:val="24"/>
          <w:szCs w:val="24"/>
        </w:rPr>
        <w:t xml:space="preserve">. Переданный в </w:t>
      </w:r>
      <w:r w:rsidRPr="00341240">
        <w:rPr>
          <w:rFonts w:ascii="Times New Roman" w:eastAsia="Calibri" w:hAnsi="Times New Roman" w:cs="Times New Roman"/>
          <w:sz w:val="24"/>
          <w:szCs w:val="24"/>
          <w:lang w:val="en-US"/>
        </w:rPr>
        <w:t>SPECTRA</w:t>
      </w:r>
      <w:r w:rsidRPr="00341240">
        <w:rPr>
          <w:rFonts w:ascii="Times New Roman" w:eastAsia="Calibri" w:hAnsi="Times New Roman" w:cs="Times New Roman"/>
          <w:sz w:val="24"/>
          <w:szCs w:val="24"/>
        </w:rPr>
        <w:t xml:space="preserve"> единый лимит будет учитываться в расчете как рубли, переданные профили активов – как «залоги» или как активы (после реализации в расчете гарантийного обеспечения на срочном рынке «покрытых продаж»);</w:t>
      </w:r>
    </w:p>
    <w:p w:rsidR="00341240" w:rsidRPr="00341240" w:rsidRDefault="00341240" w:rsidP="00AB0ACF">
      <w:pPr>
        <w:numPr>
          <w:ilvl w:val="0"/>
          <w:numId w:val="11"/>
        </w:numPr>
        <w:spacing w:before="240"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улучшится технология поставки по срочным контрактам, применяемая на срочном рынке (обеспечение под поставку будет «блокироваться» в одном месте – в Едином пуле обеспечения, а не в двух торгово-клиринговых системах, как сейчас).</w:t>
      </w:r>
    </w:p>
    <w:p w:rsidR="00341240" w:rsidRPr="00341240" w:rsidRDefault="00341240" w:rsidP="00341240">
      <w:pPr>
        <w:spacing w:before="240" w:after="0" w:line="240" w:lineRule="auto"/>
        <w:jc w:val="center"/>
        <w:rPr>
          <w:rFonts w:ascii="Times New Roman" w:eastAsia="Calibri" w:hAnsi="Times New Roman" w:cs="Times New Roman"/>
          <w:i/>
          <w:sz w:val="24"/>
          <w:szCs w:val="24"/>
        </w:rPr>
      </w:pPr>
      <w:r w:rsidRPr="00341240">
        <w:rPr>
          <w:rFonts w:ascii="Times New Roman" w:eastAsia="Calibri" w:hAnsi="Times New Roman" w:cs="Times New Roman"/>
          <w:b/>
          <w:bCs/>
          <w:i/>
          <w:sz w:val="24"/>
          <w:szCs w:val="24"/>
        </w:rPr>
        <w:t>На валютном рынке и рынке драгоценных металлов</w:t>
      </w:r>
    </w:p>
    <w:p w:rsidR="00341240" w:rsidRPr="00341240" w:rsidRDefault="00341240" w:rsidP="00AB0ACF">
      <w:pPr>
        <w:numPr>
          <w:ilvl w:val="0"/>
          <w:numId w:val="12"/>
        </w:numPr>
        <w:spacing w:before="240"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обязательства по уплате вариационной маржи и обязательства по сделкам с наступившей датой исполнения будут исполняться по счетам единого пулу обеспечения;</w:t>
      </w:r>
    </w:p>
    <w:p w:rsidR="00341240" w:rsidRPr="00341240" w:rsidRDefault="00341240" w:rsidP="00AB0ACF">
      <w:pPr>
        <w:numPr>
          <w:ilvl w:val="0"/>
          <w:numId w:val="12"/>
        </w:numPr>
        <w:spacing w:before="240"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технология расчета единого лимита на валютном рынке не изменится. Будет работать </w:t>
      </w:r>
      <w:r w:rsidRPr="00341240">
        <w:rPr>
          <w:rFonts w:ascii="Times New Roman" w:eastAsia="Calibri" w:hAnsi="Times New Roman" w:cs="Times New Roman"/>
          <w:sz w:val="24"/>
          <w:szCs w:val="24"/>
          <w:lang w:val="en-US"/>
        </w:rPr>
        <w:t>pre</w:t>
      </w:r>
      <w:r w:rsidRPr="00341240">
        <w:rPr>
          <w:rFonts w:ascii="Times New Roman" w:eastAsia="Calibri" w:hAnsi="Times New Roman" w:cs="Times New Roman"/>
          <w:sz w:val="24"/>
          <w:szCs w:val="24"/>
        </w:rPr>
        <w:t>-</w:t>
      </w:r>
      <w:r w:rsidRPr="00341240">
        <w:rPr>
          <w:rFonts w:ascii="Times New Roman" w:eastAsia="Calibri" w:hAnsi="Times New Roman" w:cs="Times New Roman"/>
          <w:sz w:val="24"/>
          <w:szCs w:val="24"/>
          <w:lang w:val="en-US"/>
        </w:rPr>
        <w:t>order</w:t>
      </w:r>
      <w:r w:rsidRPr="00341240">
        <w:rPr>
          <w:rFonts w:ascii="Times New Roman" w:eastAsia="Calibri" w:hAnsi="Times New Roman" w:cs="Times New Roman"/>
          <w:sz w:val="24"/>
          <w:szCs w:val="24"/>
        </w:rPr>
        <w:t>-</w:t>
      </w:r>
      <w:r w:rsidRPr="00341240">
        <w:rPr>
          <w:rFonts w:ascii="Times New Roman" w:eastAsia="Calibri" w:hAnsi="Times New Roman" w:cs="Times New Roman"/>
          <w:sz w:val="24"/>
          <w:szCs w:val="24"/>
          <w:lang w:val="en-US"/>
        </w:rPr>
        <w:t>validation</w:t>
      </w:r>
      <w:r w:rsidRPr="00341240">
        <w:rPr>
          <w:rFonts w:ascii="Times New Roman" w:eastAsia="Calibri" w:hAnsi="Times New Roman" w:cs="Times New Roman"/>
          <w:sz w:val="24"/>
          <w:szCs w:val="24"/>
        </w:rPr>
        <w:t>. Переданный в торгово-клиринговую систему валютного рынка единый лимит будет учитываться в расчете как рубли, переданные профили активов – как валюта или драгоценный металл.</w:t>
      </w:r>
    </w:p>
    <w:p w:rsidR="00341240" w:rsidRPr="00341240" w:rsidRDefault="00341240" w:rsidP="00341240">
      <w:pPr>
        <w:keepNext/>
        <w:tabs>
          <w:tab w:val="num" w:pos="851"/>
        </w:tabs>
        <w:spacing w:before="360" w:after="0" w:line="240" w:lineRule="auto"/>
        <w:ind w:left="851" w:hanging="851"/>
        <w:jc w:val="both"/>
        <w:rPr>
          <w:rFonts w:ascii="Times New Roman" w:eastAsia="Times New Roman" w:hAnsi="Times New Roman" w:cs="Times New Roman"/>
          <w:b/>
          <w:sz w:val="28"/>
          <w:szCs w:val="28"/>
          <w:lang w:eastAsia="ru-RU"/>
        </w:rPr>
      </w:pPr>
    </w:p>
    <w:p w:rsidR="00341240" w:rsidRPr="00341240" w:rsidRDefault="00341240" w:rsidP="00341240">
      <w:pPr>
        <w:keepNext/>
        <w:tabs>
          <w:tab w:val="num" w:pos="851"/>
        </w:tabs>
        <w:spacing w:before="360" w:after="0" w:line="240" w:lineRule="auto"/>
        <w:jc w:val="center"/>
        <w:rPr>
          <w:rFonts w:ascii="Times New Roman" w:eastAsia="Times New Roman" w:hAnsi="Times New Roman" w:cs="Times New Roman"/>
          <w:b/>
          <w:sz w:val="28"/>
          <w:szCs w:val="28"/>
          <w:lang w:eastAsia="ru-RU"/>
        </w:rPr>
      </w:pPr>
      <w:r w:rsidRPr="00341240">
        <w:rPr>
          <w:rFonts w:ascii="Times New Roman" w:eastAsia="Times New Roman" w:hAnsi="Times New Roman" w:cs="Times New Roman"/>
          <w:b/>
          <w:sz w:val="28"/>
          <w:szCs w:val="28"/>
          <w:lang w:eastAsia="ru-RU"/>
        </w:rPr>
        <w:t>Б. Развитие валютного рынка</w:t>
      </w:r>
      <w:r w:rsidRPr="00341240">
        <w:rPr>
          <w:rFonts w:ascii="Times New Roman" w:eastAsia="Calibri" w:hAnsi="Times New Roman" w:cs="Times New Roman"/>
          <w:b/>
          <w:bCs/>
          <w:sz w:val="28"/>
          <w:szCs w:val="28"/>
        </w:rPr>
        <w:t xml:space="preserve"> </w:t>
      </w:r>
      <w:r w:rsidRPr="00341240">
        <w:rPr>
          <w:rFonts w:ascii="Times New Roman" w:eastAsia="Times New Roman" w:hAnsi="Times New Roman" w:cs="Times New Roman"/>
          <w:b/>
          <w:bCs/>
          <w:sz w:val="28"/>
          <w:szCs w:val="28"/>
          <w:lang w:eastAsia="ru-RU"/>
        </w:rPr>
        <w:t>и рынка драгоценных металлов</w:t>
      </w:r>
    </w:p>
    <w:p w:rsidR="00341240" w:rsidRPr="00341240" w:rsidRDefault="00341240" w:rsidP="00341240">
      <w:pPr>
        <w:numPr>
          <w:ilvl w:val="1"/>
          <w:numId w:val="0"/>
        </w:numPr>
        <w:tabs>
          <w:tab w:val="num" w:pos="851"/>
        </w:tabs>
        <w:spacing w:before="240" w:after="0" w:line="240" w:lineRule="auto"/>
        <w:ind w:left="851" w:hanging="851"/>
        <w:jc w:val="center"/>
        <w:rPr>
          <w:rFonts w:ascii="Times New Roman" w:eastAsia="Calibri" w:hAnsi="Times New Roman" w:cs="Times New Roman"/>
          <w:b/>
          <w:i/>
          <w:sz w:val="24"/>
          <w:szCs w:val="24"/>
        </w:rPr>
      </w:pPr>
      <w:r w:rsidRPr="00341240">
        <w:rPr>
          <w:rFonts w:ascii="Times New Roman" w:eastAsia="Calibri" w:hAnsi="Times New Roman" w:cs="Times New Roman"/>
          <w:b/>
          <w:i/>
          <w:sz w:val="24"/>
          <w:szCs w:val="24"/>
        </w:rPr>
        <w:t xml:space="preserve">Основные направления </w:t>
      </w:r>
    </w:p>
    <w:p w:rsidR="00341240" w:rsidRPr="00341240" w:rsidRDefault="00341240" w:rsidP="00AB0ACF">
      <w:pPr>
        <w:numPr>
          <w:ilvl w:val="1"/>
          <w:numId w:val="53"/>
        </w:numPr>
        <w:tabs>
          <w:tab w:val="num" w:pos="851"/>
        </w:tabs>
        <w:spacing w:before="240" w:after="0" w:line="240" w:lineRule="auto"/>
        <w:contextualSpacing/>
        <w:rPr>
          <w:rFonts w:ascii="Times New Roman" w:eastAsia="Times New Roman" w:hAnsi="Times New Roman" w:cs="Times New Roman"/>
          <w:bCs/>
          <w:sz w:val="24"/>
          <w:szCs w:val="24"/>
          <w:lang w:eastAsia="ru-RU"/>
        </w:rPr>
      </w:pPr>
      <w:r w:rsidRPr="00341240">
        <w:rPr>
          <w:rFonts w:ascii="Times New Roman" w:eastAsia="Calibri" w:hAnsi="Times New Roman" w:cs="Times New Roman"/>
          <w:sz w:val="24"/>
          <w:szCs w:val="24"/>
        </w:rPr>
        <w:t>дальнейшее развитие проекта «Разделение статусов участников торгов и участников клиринга на валютном рынке и рынке драгоценных металлов» с целью р</w:t>
      </w:r>
      <w:r w:rsidRPr="00341240">
        <w:rPr>
          <w:rFonts w:ascii="Times New Roman" w:eastAsia="Times New Roman" w:hAnsi="Times New Roman" w:cs="Times New Roman"/>
          <w:bCs/>
          <w:sz w:val="24"/>
          <w:szCs w:val="24"/>
          <w:lang w:eastAsia="ru-RU"/>
        </w:rPr>
        <w:t>азвитие сервисов по ведению обязательств и обеспечения по торгово-клиринговым счетам и расчетным кодам 2-го и 3-го уровней;</w:t>
      </w:r>
    </w:p>
    <w:p w:rsidR="00341240" w:rsidRPr="00341240" w:rsidRDefault="00341240" w:rsidP="00AB0ACF">
      <w:pPr>
        <w:numPr>
          <w:ilvl w:val="1"/>
          <w:numId w:val="53"/>
        </w:numPr>
        <w:tabs>
          <w:tab w:val="num" w:pos="851"/>
        </w:tabs>
        <w:spacing w:before="240" w:after="0" w:line="240" w:lineRule="auto"/>
        <w:contextualSpacing/>
        <w:jc w:val="both"/>
        <w:rPr>
          <w:rFonts w:ascii="Times New Roman" w:eastAsia="Times New Roman" w:hAnsi="Times New Roman" w:cs="Times New Roman"/>
          <w:bCs/>
          <w:sz w:val="24"/>
          <w:szCs w:val="24"/>
          <w:lang w:eastAsia="ru-RU"/>
        </w:rPr>
      </w:pPr>
      <w:r w:rsidRPr="00341240">
        <w:rPr>
          <w:rFonts w:ascii="Times New Roman" w:eastAsia="Calibri" w:hAnsi="Times New Roman" w:cs="Times New Roman"/>
          <w:sz w:val="24"/>
          <w:szCs w:val="24"/>
        </w:rPr>
        <w:t xml:space="preserve">дополнение правил клиринга НКЦ еще одной моделью разделения статусов   участников торгов и участников клиринга – создание возможности заключения участником торгов сделок от имени участника клиринга, что </w:t>
      </w:r>
      <w:r w:rsidRPr="00341240">
        <w:rPr>
          <w:rFonts w:ascii="Times New Roman" w:eastAsia="Times New Roman" w:hAnsi="Times New Roman" w:cs="Times New Roman"/>
          <w:bCs/>
          <w:sz w:val="24"/>
          <w:szCs w:val="24"/>
          <w:lang w:eastAsia="ru-RU"/>
        </w:rPr>
        <w:t>необходимо для предоставления участнику клиринга возможности становиться стороной по сделке в своих интересах в отличие от модели клирингового брокера;</w:t>
      </w:r>
    </w:p>
    <w:p w:rsidR="00341240" w:rsidRPr="00341240" w:rsidRDefault="00341240" w:rsidP="00AB0ACF">
      <w:pPr>
        <w:numPr>
          <w:ilvl w:val="1"/>
          <w:numId w:val="53"/>
        </w:numPr>
        <w:tabs>
          <w:tab w:val="num" w:pos="851"/>
        </w:tabs>
        <w:spacing w:before="240" w:after="0" w:line="240" w:lineRule="auto"/>
        <w:contextualSpacing/>
        <w:jc w:val="both"/>
        <w:rPr>
          <w:rFonts w:ascii="Times New Roman" w:eastAsia="Times New Roman" w:hAnsi="Times New Roman" w:cs="Times New Roman"/>
          <w:bCs/>
          <w:sz w:val="24"/>
          <w:szCs w:val="24"/>
          <w:lang w:eastAsia="ru-RU"/>
        </w:rPr>
      </w:pPr>
      <w:r w:rsidRPr="00341240">
        <w:rPr>
          <w:rFonts w:ascii="Times New Roman" w:eastAsia="Calibri" w:hAnsi="Times New Roman" w:cs="Times New Roman"/>
          <w:sz w:val="24"/>
          <w:szCs w:val="24"/>
        </w:rPr>
        <w:t xml:space="preserve">запуск новых инструментов - поставочных фьючерсов на валюту; </w:t>
      </w:r>
      <w:r w:rsidRPr="00341240">
        <w:rPr>
          <w:rFonts w:ascii="Times New Roman" w:eastAsia="Times New Roman" w:hAnsi="Times New Roman" w:cs="Arial"/>
          <w:sz w:val="24"/>
          <w:szCs w:val="20"/>
        </w:rPr>
        <w:t xml:space="preserve">на первом этапе планируется запустить </w:t>
      </w:r>
      <w:r w:rsidRPr="00341240">
        <w:rPr>
          <w:rFonts w:ascii="Times New Roman" w:eastAsia="Times New Roman" w:hAnsi="Times New Roman" w:cs="Times New Roman"/>
          <w:bCs/>
          <w:sz w:val="24"/>
          <w:szCs w:val="24"/>
          <w:lang w:eastAsia="ru-RU"/>
        </w:rPr>
        <w:tab/>
        <w:t>фьючерсный контракт на поставку   долларов США за российские рубли,  фьючерсный контракт на поставку евро за  российские рубли и фьючерсный контракт на поставку юаней за российские рубли.</w:t>
      </w:r>
    </w:p>
    <w:p w:rsidR="00341240" w:rsidRPr="00341240" w:rsidRDefault="00341240" w:rsidP="00341240">
      <w:pPr>
        <w:spacing w:before="60" w:after="0" w:line="240" w:lineRule="auto"/>
        <w:jc w:val="both"/>
        <w:rPr>
          <w:rFonts w:ascii="Times New Roman" w:eastAsia="Times New Roman" w:hAnsi="Times New Roman" w:cs="Arial"/>
          <w:sz w:val="24"/>
          <w:szCs w:val="20"/>
        </w:rPr>
      </w:pPr>
    </w:p>
    <w:p w:rsidR="00341240" w:rsidRPr="00341240" w:rsidRDefault="00341240" w:rsidP="00341240">
      <w:pPr>
        <w:keepNext/>
        <w:tabs>
          <w:tab w:val="num" w:pos="851"/>
        </w:tabs>
        <w:spacing w:before="360" w:after="0" w:line="240" w:lineRule="auto"/>
        <w:ind w:left="851" w:hanging="851"/>
        <w:jc w:val="center"/>
        <w:rPr>
          <w:rFonts w:ascii="Times New Roman" w:eastAsia="Times New Roman" w:hAnsi="Times New Roman" w:cs="Times New Roman"/>
          <w:b/>
          <w:sz w:val="28"/>
          <w:szCs w:val="28"/>
          <w:lang w:eastAsia="ru-RU"/>
        </w:rPr>
      </w:pPr>
      <w:r w:rsidRPr="00341240">
        <w:rPr>
          <w:rFonts w:ascii="Times New Roman" w:eastAsia="Times New Roman" w:hAnsi="Times New Roman" w:cs="Times New Roman"/>
          <w:b/>
          <w:sz w:val="28"/>
          <w:szCs w:val="28"/>
          <w:lang w:eastAsia="ru-RU"/>
        </w:rPr>
        <w:t>В. Проект создания клирингового  терминала участника клиринга</w:t>
      </w:r>
    </w:p>
    <w:p w:rsidR="00341240" w:rsidRPr="00341240" w:rsidRDefault="00341240" w:rsidP="00341240">
      <w:pPr>
        <w:spacing w:before="60" w:after="0" w:line="240" w:lineRule="auto"/>
        <w:jc w:val="center"/>
        <w:rPr>
          <w:rFonts w:ascii="Times New Roman" w:eastAsia="Times New Roman" w:hAnsi="Times New Roman" w:cs="Arial"/>
          <w:sz w:val="24"/>
          <w:szCs w:val="20"/>
        </w:rPr>
      </w:pPr>
    </w:p>
    <w:p w:rsidR="00341240" w:rsidRPr="00341240" w:rsidRDefault="00341240" w:rsidP="00341240">
      <w:pPr>
        <w:spacing w:before="60" w:after="0" w:line="240" w:lineRule="auto"/>
        <w:jc w:val="center"/>
        <w:rPr>
          <w:rFonts w:ascii="Times New Roman" w:eastAsia="Times New Roman" w:hAnsi="Times New Roman" w:cs="Arial"/>
          <w:i/>
          <w:sz w:val="24"/>
          <w:szCs w:val="20"/>
        </w:rPr>
      </w:pPr>
      <w:r w:rsidRPr="00341240">
        <w:rPr>
          <w:rFonts w:ascii="Times New Roman" w:eastAsia="Times New Roman" w:hAnsi="Times New Roman" w:cs="Arial"/>
          <w:b/>
          <w:i/>
          <w:sz w:val="24"/>
          <w:szCs w:val="20"/>
        </w:rPr>
        <w:t xml:space="preserve">Цель создания </w:t>
      </w:r>
    </w:p>
    <w:p w:rsidR="00341240" w:rsidRPr="00341240" w:rsidRDefault="00341240" w:rsidP="00AB0ACF">
      <w:pPr>
        <w:numPr>
          <w:ilvl w:val="0"/>
          <w:numId w:val="10"/>
        </w:numPr>
        <w:tabs>
          <w:tab w:val="num" w:pos="426"/>
        </w:tabs>
        <w:spacing w:before="60" w:after="0" w:line="240" w:lineRule="auto"/>
        <w:ind w:left="426" w:hanging="426"/>
        <w:jc w:val="both"/>
        <w:rPr>
          <w:rFonts w:ascii="Times New Roman" w:eastAsia="Times New Roman" w:hAnsi="Times New Roman" w:cs="Times New Roman"/>
          <w:bCs/>
          <w:sz w:val="24"/>
          <w:szCs w:val="24"/>
          <w:lang w:eastAsia="ru-RU"/>
        </w:rPr>
      </w:pPr>
      <w:r w:rsidRPr="00341240">
        <w:rPr>
          <w:rFonts w:ascii="Times New Roman" w:eastAsia="Times New Roman" w:hAnsi="Times New Roman" w:cs="Times New Roman"/>
          <w:bCs/>
          <w:sz w:val="24"/>
          <w:szCs w:val="24"/>
          <w:lang w:eastAsia="ru-RU"/>
        </w:rPr>
        <w:t xml:space="preserve">формирование  единой унифицированной системы получения и обработки входящих запросов участников клиринга.  </w:t>
      </w:r>
    </w:p>
    <w:p w:rsidR="00341240" w:rsidRPr="00341240" w:rsidRDefault="00341240" w:rsidP="00341240">
      <w:pPr>
        <w:spacing w:before="60" w:after="0" w:line="240" w:lineRule="auto"/>
        <w:jc w:val="both"/>
        <w:rPr>
          <w:rFonts w:ascii="Times New Roman" w:eastAsia="Times New Roman" w:hAnsi="Times New Roman" w:cs="Arial"/>
          <w:sz w:val="24"/>
          <w:szCs w:val="20"/>
        </w:rPr>
      </w:pPr>
      <w:r w:rsidRPr="00341240">
        <w:rPr>
          <w:rFonts w:ascii="Times New Roman" w:eastAsia="Times New Roman" w:hAnsi="Times New Roman" w:cs="Arial"/>
          <w:b/>
          <w:i/>
          <w:sz w:val="24"/>
          <w:szCs w:val="20"/>
        </w:rPr>
        <w:t>Клиринговый терминал участника клиринга будет реализован как веб-приложение, позволяющее участнику клиринга</w:t>
      </w:r>
      <w:r w:rsidRPr="00341240">
        <w:rPr>
          <w:rFonts w:ascii="Times New Roman" w:eastAsia="Times New Roman" w:hAnsi="Times New Roman" w:cs="Arial"/>
          <w:sz w:val="24"/>
          <w:szCs w:val="20"/>
        </w:rPr>
        <w:t>:</w:t>
      </w:r>
    </w:p>
    <w:p w:rsidR="00341240" w:rsidRPr="00341240" w:rsidRDefault="00341240" w:rsidP="00AB0ACF">
      <w:pPr>
        <w:numPr>
          <w:ilvl w:val="0"/>
          <w:numId w:val="10"/>
        </w:numPr>
        <w:tabs>
          <w:tab w:val="num" w:pos="426"/>
        </w:tabs>
        <w:spacing w:before="60" w:after="0" w:line="240" w:lineRule="auto"/>
        <w:ind w:left="426" w:hanging="426"/>
        <w:jc w:val="both"/>
        <w:rPr>
          <w:rFonts w:ascii="Times New Roman" w:eastAsia="Times New Roman" w:hAnsi="Times New Roman" w:cs="Times New Roman"/>
          <w:bCs/>
          <w:sz w:val="24"/>
          <w:szCs w:val="24"/>
          <w:lang w:eastAsia="ru-RU"/>
        </w:rPr>
      </w:pPr>
      <w:r w:rsidRPr="00341240">
        <w:rPr>
          <w:rFonts w:ascii="Times New Roman" w:eastAsia="Times New Roman" w:hAnsi="Times New Roman" w:cs="Times New Roman"/>
          <w:bCs/>
          <w:sz w:val="24"/>
          <w:szCs w:val="24"/>
          <w:lang w:eastAsia="ru-RU"/>
        </w:rPr>
        <w:t>наблюдать консолидированную по всем рынкам Московской Биржи информацию о своих и клиентских позициях, денежных средствах, обеспечении;</w:t>
      </w:r>
    </w:p>
    <w:p w:rsidR="00341240" w:rsidRPr="00341240" w:rsidRDefault="00341240" w:rsidP="00AB0ACF">
      <w:pPr>
        <w:numPr>
          <w:ilvl w:val="0"/>
          <w:numId w:val="10"/>
        </w:numPr>
        <w:tabs>
          <w:tab w:val="num" w:pos="426"/>
        </w:tabs>
        <w:spacing w:before="60" w:after="0" w:line="240" w:lineRule="auto"/>
        <w:ind w:left="426" w:hanging="426"/>
        <w:jc w:val="both"/>
        <w:rPr>
          <w:rFonts w:ascii="Times New Roman" w:eastAsia="Times New Roman" w:hAnsi="Times New Roman" w:cs="Times New Roman"/>
          <w:bCs/>
          <w:sz w:val="24"/>
          <w:szCs w:val="24"/>
          <w:lang w:eastAsia="ru-RU"/>
        </w:rPr>
      </w:pPr>
      <w:r w:rsidRPr="00341240">
        <w:rPr>
          <w:rFonts w:ascii="Times New Roman" w:eastAsia="Times New Roman" w:hAnsi="Times New Roman" w:cs="Times New Roman"/>
          <w:bCs/>
          <w:sz w:val="24"/>
          <w:szCs w:val="24"/>
          <w:lang w:eastAsia="ru-RU"/>
        </w:rPr>
        <w:t>удаленно, безопасно, авторизовано в электронном виде подавать в НКЦ запросы, осуществлять неторговые транзакции, контролировать их исполнение и получать от биржи юридически значимые ответы.</w:t>
      </w:r>
    </w:p>
    <w:p w:rsidR="00341240" w:rsidRPr="00341240" w:rsidRDefault="00341240" w:rsidP="00341240">
      <w:pPr>
        <w:spacing w:before="60" w:after="0" w:line="240" w:lineRule="auto"/>
        <w:jc w:val="both"/>
        <w:rPr>
          <w:rFonts w:ascii="Times New Roman" w:eastAsia="Times New Roman" w:hAnsi="Times New Roman" w:cs="Arial"/>
          <w:sz w:val="24"/>
          <w:szCs w:val="20"/>
        </w:rPr>
      </w:pPr>
      <w:r w:rsidRPr="00341240">
        <w:rPr>
          <w:rFonts w:ascii="Times New Roman" w:eastAsia="Times New Roman" w:hAnsi="Times New Roman" w:cs="Arial"/>
          <w:sz w:val="24"/>
          <w:szCs w:val="20"/>
        </w:rPr>
        <w:t>На стороне НКЦ заявление от участника клиринга будет автоматически расшифровываться и далее обрабатываться в зависимости от типа заявления. В клиринговом терминале участнику клирингу будет доступна сводная информация по всем оформленным, обрабатываемым и обработанным заявлениям.</w:t>
      </w:r>
    </w:p>
    <w:p w:rsidR="00341240" w:rsidRPr="00341240" w:rsidRDefault="00341240" w:rsidP="00341240">
      <w:pPr>
        <w:keepNext/>
        <w:tabs>
          <w:tab w:val="num" w:pos="851"/>
        </w:tabs>
        <w:spacing w:before="360" w:after="0" w:line="240" w:lineRule="auto"/>
        <w:ind w:left="851" w:hanging="851"/>
        <w:jc w:val="center"/>
        <w:rPr>
          <w:rFonts w:ascii="Times New Roman" w:eastAsia="Times New Roman" w:hAnsi="Times New Roman" w:cs="Times New Roman"/>
          <w:b/>
          <w:sz w:val="28"/>
          <w:szCs w:val="28"/>
          <w:lang w:eastAsia="ru-RU"/>
        </w:rPr>
      </w:pPr>
    </w:p>
    <w:p w:rsidR="00341240" w:rsidRPr="00341240" w:rsidRDefault="00341240" w:rsidP="00341240">
      <w:pPr>
        <w:keepNext/>
        <w:tabs>
          <w:tab w:val="num" w:pos="851"/>
        </w:tabs>
        <w:spacing w:before="360" w:after="0" w:line="240" w:lineRule="auto"/>
        <w:ind w:left="851" w:hanging="851"/>
        <w:jc w:val="center"/>
        <w:rPr>
          <w:rFonts w:ascii="Times New Roman" w:eastAsia="Times New Roman" w:hAnsi="Times New Roman" w:cs="Times New Roman"/>
          <w:b/>
          <w:sz w:val="28"/>
          <w:szCs w:val="28"/>
          <w:lang w:eastAsia="ru-RU"/>
        </w:rPr>
      </w:pPr>
      <w:r w:rsidRPr="00341240">
        <w:rPr>
          <w:rFonts w:ascii="Times New Roman" w:eastAsia="Times New Roman" w:hAnsi="Times New Roman" w:cs="Times New Roman"/>
          <w:b/>
          <w:sz w:val="28"/>
          <w:szCs w:val="28"/>
          <w:lang w:eastAsia="ru-RU"/>
        </w:rPr>
        <w:t>Г. Развитие товарного рынка</w:t>
      </w:r>
    </w:p>
    <w:p w:rsidR="00341240" w:rsidRPr="00341240" w:rsidRDefault="00341240" w:rsidP="00341240">
      <w:pPr>
        <w:tabs>
          <w:tab w:val="num" w:pos="851"/>
        </w:tabs>
        <w:spacing w:after="0"/>
        <w:jc w:val="center"/>
        <w:rPr>
          <w:rFonts w:ascii="Times New Roman" w:eastAsia="Calibri" w:hAnsi="Times New Roman" w:cs="Times New Roman"/>
          <w:b/>
          <w:bCs/>
          <w:sz w:val="24"/>
          <w:szCs w:val="24"/>
        </w:rPr>
      </w:pPr>
    </w:p>
    <w:p w:rsidR="00341240" w:rsidRPr="00341240" w:rsidRDefault="00341240" w:rsidP="00341240">
      <w:pPr>
        <w:tabs>
          <w:tab w:val="num" w:pos="851"/>
        </w:tabs>
        <w:spacing w:after="0"/>
        <w:jc w:val="center"/>
        <w:rPr>
          <w:rFonts w:ascii="Times New Roman" w:eastAsia="Calibri" w:hAnsi="Times New Roman" w:cs="Times New Roman"/>
          <w:b/>
          <w:bCs/>
          <w:i/>
          <w:sz w:val="24"/>
          <w:szCs w:val="24"/>
        </w:rPr>
      </w:pPr>
      <w:r w:rsidRPr="00341240">
        <w:rPr>
          <w:rFonts w:ascii="Times New Roman" w:eastAsia="Calibri" w:hAnsi="Times New Roman" w:cs="Times New Roman"/>
          <w:b/>
          <w:bCs/>
          <w:i/>
          <w:sz w:val="24"/>
          <w:szCs w:val="24"/>
        </w:rPr>
        <w:t>Основные проекты</w:t>
      </w:r>
    </w:p>
    <w:p w:rsidR="00341240" w:rsidRPr="00341240" w:rsidRDefault="00341240" w:rsidP="00341240">
      <w:pPr>
        <w:tabs>
          <w:tab w:val="num" w:pos="851"/>
        </w:tabs>
        <w:rPr>
          <w:rFonts w:ascii="Times New Roman" w:eastAsia="Calibri" w:hAnsi="Times New Roman" w:cs="Times New Roman"/>
          <w:b/>
          <w:bCs/>
          <w:sz w:val="24"/>
          <w:szCs w:val="24"/>
        </w:rPr>
      </w:pPr>
    </w:p>
    <w:p w:rsidR="00341240" w:rsidRPr="00341240" w:rsidRDefault="00341240" w:rsidP="00AB0ACF">
      <w:pPr>
        <w:numPr>
          <w:ilvl w:val="0"/>
          <w:numId w:val="54"/>
        </w:numPr>
        <w:tabs>
          <w:tab w:val="num" w:pos="851"/>
        </w:tabs>
        <w:spacing w:line="240" w:lineRule="auto"/>
        <w:contextualSpacing/>
        <w:rPr>
          <w:rFonts w:ascii="Times New Roman" w:eastAsia="Calibri" w:hAnsi="Times New Roman" w:cs="Times New Roman"/>
          <w:bCs/>
          <w:sz w:val="24"/>
          <w:szCs w:val="24"/>
        </w:rPr>
      </w:pPr>
      <w:r w:rsidRPr="00341240">
        <w:rPr>
          <w:rFonts w:ascii="Times New Roman" w:eastAsia="Calibri" w:hAnsi="Times New Roman" w:cs="Times New Roman"/>
          <w:bCs/>
          <w:sz w:val="24"/>
          <w:szCs w:val="24"/>
        </w:rPr>
        <w:t>запуск на товарном рынке ЗАО НТБ нового  производного финансового инструмента – своп договора, имеющего следующие особенности:</w:t>
      </w:r>
    </w:p>
    <w:p w:rsidR="00341240" w:rsidRPr="00341240" w:rsidRDefault="00341240" w:rsidP="00341240">
      <w:pPr>
        <w:tabs>
          <w:tab w:val="num" w:pos="426"/>
        </w:tabs>
        <w:spacing w:before="60" w:after="0" w:line="240" w:lineRule="auto"/>
        <w:ind w:left="786" w:hanging="426"/>
        <w:jc w:val="both"/>
        <w:rPr>
          <w:rFonts w:ascii="Times New Roman" w:eastAsia="Times New Roman" w:hAnsi="Times New Roman" w:cs="Times New Roman"/>
          <w:bCs/>
          <w:sz w:val="24"/>
          <w:szCs w:val="24"/>
          <w:lang w:eastAsia="ru-RU"/>
        </w:rPr>
      </w:pPr>
      <w:r w:rsidRPr="00341240">
        <w:rPr>
          <w:rFonts w:ascii="Times New Roman" w:eastAsia="Times New Roman" w:hAnsi="Times New Roman" w:cs="Times New Roman"/>
          <w:bCs/>
          <w:sz w:val="24"/>
          <w:szCs w:val="24"/>
          <w:lang w:eastAsia="ru-RU"/>
        </w:rPr>
        <w:t xml:space="preserve">       -дата исполнения обязательств по первой части своп договора – дата заключения своп договора;</w:t>
      </w:r>
    </w:p>
    <w:p w:rsidR="00341240" w:rsidRPr="00341240" w:rsidRDefault="00341240" w:rsidP="00341240">
      <w:pPr>
        <w:tabs>
          <w:tab w:val="num" w:pos="426"/>
        </w:tabs>
        <w:spacing w:before="60" w:after="0" w:line="240" w:lineRule="auto"/>
        <w:ind w:left="786" w:hanging="426"/>
        <w:jc w:val="both"/>
        <w:rPr>
          <w:rFonts w:ascii="Times New Roman" w:eastAsia="Times New Roman" w:hAnsi="Times New Roman" w:cs="Times New Roman"/>
          <w:bCs/>
          <w:sz w:val="24"/>
          <w:szCs w:val="24"/>
          <w:lang w:eastAsia="ru-RU"/>
        </w:rPr>
      </w:pPr>
      <w:r w:rsidRPr="00341240">
        <w:rPr>
          <w:rFonts w:ascii="Times New Roman" w:eastAsia="Times New Roman" w:hAnsi="Times New Roman" w:cs="Times New Roman"/>
          <w:bCs/>
          <w:sz w:val="24"/>
          <w:szCs w:val="24"/>
          <w:lang w:eastAsia="ru-RU"/>
        </w:rPr>
        <w:t xml:space="preserve">       -дата исполнения обязательств по второй части своп договора – от 3-х до 90 дней (календарных) от даты исполнения первой части своп договора;</w:t>
      </w:r>
    </w:p>
    <w:p w:rsidR="00341240" w:rsidRPr="00341240" w:rsidRDefault="00341240" w:rsidP="00341240">
      <w:pPr>
        <w:tabs>
          <w:tab w:val="num" w:pos="426"/>
        </w:tabs>
        <w:spacing w:before="60" w:after="0" w:line="240" w:lineRule="auto"/>
        <w:ind w:left="786" w:hanging="426"/>
        <w:jc w:val="both"/>
        <w:rPr>
          <w:rFonts w:ascii="Times New Roman" w:eastAsia="Times New Roman" w:hAnsi="Times New Roman" w:cs="Times New Roman"/>
          <w:bCs/>
          <w:sz w:val="24"/>
          <w:szCs w:val="24"/>
          <w:lang w:eastAsia="ru-RU"/>
        </w:rPr>
      </w:pPr>
      <w:r w:rsidRPr="00341240">
        <w:rPr>
          <w:rFonts w:ascii="Times New Roman" w:eastAsia="Times New Roman" w:hAnsi="Times New Roman" w:cs="Times New Roman"/>
          <w:bCs/>
          <w:sz w:val="24"/>
          <w:szCs w:val="24"/>
          <w:lang w:eastAsia="ru-RU"/>
        </w:rPr>
        <w:t xml:space="preserve">       -по первой части своп договора осуществляется клиринг с полным обеспечением по товарам и денежным средствам, по второй - клиринг с частичным обеспечением по товарам и денежным средствам.</w:t>
      </w:r>
    </w:p>
    <w:p w:rsidR="00341240" w:rsidRPr="00341240" w:rsidRDefault="00341240" w:rsidP="00341240">
      <w:pPr>
        <w:spacing w:line="240" w:lineRule="auto"/>
        <w:rPr>
          <w:rFonts w:ascii="Times New Roman" w:eastAsia="Calibri" w:hAnsi="Times New Roman" w:cs="Times New Roman"/>
          <w:sz w:val="24"/>
          <w:szCs w:val="24"/>
        </w:rPr>
      </w:pPr>
    </w:p>
    <w:p w:rsidR="00341240" w:rsidRPr="00341240" w:rsidRDefault="00341240" w:rsidP="00AB0ACF">
      <w:pPr>
        <w:numPr>
          <w:ilvl w:val="0"/>
          <w:numId w:val="55"/>
        </w:numPr>
        <w:tabs>
          <w:tab w:val="num" w:pos="851"/>
        </w:tabs>
        <w:spacing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bCs/>
          <w:sz w:val="24"/>
          <w:szCs w:val="24"/>
        </w:rPr>
        <w:t xml:space="preserve">участие НКЦ, как центрального контрагента, в исполнении обязательств по   сделкам с зерном. Такая возможность  создана в связи принятием в 2015 году  </w:t>
      </w:r>
      <w:r w:rsidRPr="00341240">
        <w:rPr>
          <w:rFonts w:ascii="Times New Roman" w:eastAsia="Calibri" w:hAnsi="Times New Roman" w:cs="Times New Roman"/>
          <w:sz w:val="24"/>
          <w:szCs w:val="24"/>
        </w:rPr>
        <w:t>Федерального закона № 326-ФЗ «О внесении изменений в часть вторую Налогового кодекса Российской Федерации», в соответствии с которым с 1 января 2016 года вступают в силу поправки в Налоговый кодекс в отношении нейтрального НДС-статуса для центрального контрагента и оператора товарных поставок на товарном рынке.</w:t>
      </w: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p>
    <w:p w:rsidR="00341240" w:rsidRPr="00341240" w:rsidRDefault="00341240" w:rsidP="00341240">
      <w:pPr>
        <w:spacing w:after="0" w:line="240" w:lineRule="auto"/>
        <w:ind w:firstLine="567"/>
        <w:jc w:val="center"/>
        <w:rPr>
          <w:rFonts w:ascii="Times New Roman" w:eastAsia="Times New Roman" w:hAnsi="Times New Roman" w:cs="Times New Roman"/>
          <w:b/>
          <w:bCs/>
          <w:i/>
          <w:sz w:val="28"/>
          <w:szCs w:val="28"/>
          <w:lang w:eastAsia="ru-RU"/>
        </w:rPr>
      </w:pPr>
      <w:r w:rsidRPr="00341240">
        <w:rPr>
          <w:rFonts w:ascii="Times New Roman" w:eastAsia="Times New Roman" w:hAnsi="Times New Roman" w:cs="Times New Roman"/>
          <w:b/>
          <w:sz w:val="28"/>
          <w:szCs w:val="28"/>
          <w:lang w:eastAsia="ru-RU"/>
        </w:rPr>
        <w:t>Д.</w:t>
      </w:r>
      <w:r w:rsidRPr="00341240">
        <w:rPr>
          <w:rFonts w:ascii="Times New Roman" w:eastAsia="Times New Roman" w:hAnsi="Times New Roman" w:cs="Times New Roman"/>
          <w:sz w:val="28"/>
          <w:szCs w:val="28"/>
          <w:lang w:eastAsia="ru-RU"/>
        </w:rPr>
        <w:t xml:space="preserve"> </w:t>
      </w:r>
      <w:r w:rsidRPr="00341240">
        <w:rPr>
          <w:rFonts w:ascii="Times New Roman" w:eastAsia="Times New Roman" w:hAnsi="Times New Roman" w:cs="Times New Roman"/>
          <w:b/>
          <w:bCs/>
          <w:sz w:val="28"/>
          <w:szCs w:val="28"/>
          <w:lang w:eastAsia="ru-RU"/>
        </w:rPr>
        <w:t xml:space="preserve"> Задачи в сфере управления рисками </w:t>
      </w:r>
    </w:p>
    <w:p w:rsidR="00341240" w:rsidRPr="00341240" w:rsidRDefault="00341240" w:rsidP="00341240">
      <w:pPr>
        <w:spacing w:after="0" w:line="240" w:lineRule="auto"/>
        <w:ind w:firstLine="567"/>
        <w:jc w:val="center"/>
        <w:rPr>
          <w:rFonts w:ascii="Times New Roman" w:eastAsia="Times New Roman" w:hAnsi="Times New Roman" w:cs="Times New Roman"/>
          <w:b/>
          <w:bCs/>
          <w:i/>
          <w:sz w:val="28"/>
          <w:szCs w:val="28"/>
          <w:lang w:eastAsia="ru-RU"/>
        </w:rPr>
      </w:pPr>
    </w:p>
    <w:p w:rsidR="00341240" w:rsidRPr="00341240" w:rsidRDefault="00341240" w:rsidP="00341240">
      <w:pPr>
        <w:spacing w:after="0" w:line="240" w:lineRule="auto"/>
        <w:ind w:firstLine="567"/>
        <w:jc w:val="both"/>
        <w:rPr>
          <w:rFonts w:ascii="Times New Roman" w:eastAsia="Calibri" w:hAnsi="Times New Roman" w:cs="Times New Roman"/>
          <w:sz w:val="24"/>
          <w:szCs w:val="24"/>
        </w:rPr>
      </w:pPr>
      <w:r w:rsidRPr="00341240">
        <w:rPr>
          <w:rFonts w:ascii="Times New Roman" w:eastAsia="Times New Roman" w:hAnsi="Times New Roman" w:cs="Times New Roman"/>
          <w:bCs/>
          <w:sz w:val="24"/>
          <w:szCs w:val="24"/>
          <w:lang w:eastAsia="ru-RU"/>
        </w:rPr>
        <w:t>Основные усилия будут сосредоточены на р</w:t>
      </w:r>
      <w:r w:rsidRPr="00341240">
        <w:rPr>
          <w:rFonts w:ascii="Times New Roman" w:eastAsia="Calibri" w:hAnsi="Times New Roman" w:cs="Times New Roman"/>
          <w:sz w:val="24"/>
          <w:szCs w:val="24"/>
        </w:rPr>
        <w:t xml:space="preserve">ешении  задач модернизации  и дальнейшего развития ключевых компонентов деятельности риск-менеджмента центрального контрагента на следующих направлениях: </w:t>
      </w:r>
    </w:p>
    <w:p w:rsidR="00341240" w:rsidRPr="00341240" w:rsidRDefault="00341240" w:rsidP="00341240">
      <w:pPr>
        <w:spacing w:after="0" w:line="240" w:lineRule="auto"/>
        <w:ind w:firstLine="567"/>
        <w:jc w:val="both"/>
        <w:rPr>
          <w:rFonts w:ascii="Times New Roman" w:eastAsia="Calibri" w:hAnsi="Times New Roman" w:cs="Times New Roman"/>
          <w:sz w:val="24"/>
          <w:szCs w:val="24"/>
        </w:rPr>
      </w:pPr>
    </w:p>
    <w:p w:rsidR="00341240" w:rsidRPr="00341240" w:rsidRDefault="00341240" w:rsidP="00AB0ACF">
      <w:pPr>
        <w:numPr>
          <w:ilvl w:val="1"/>
          <w:numId w:val="77"/>
        </w:numPr>
        <w:spacing w:after="120" w:line="240" w:lineRule="auto"/>
        <w:contextualSpacing/>
        <w:jc w:val="both"/>
        <w:rPr>
          <w:rFonts w:ascii="Times New Roman" w:eastAsia="Calibri" w:hAnsi="Times New Roman" w:cs="Times New Roman"/>
          <w:bCs/>
          <w:kern w:val="24"/>
          <w:sz w:val="24"/>
          <w:szCs w:val="24"/>
        </w:rPr>
      </w:pPr>
      <w:r w:rsidRPr="00341240">
        <w:rPr>
          <w:rFonts w:ascii="Times New Roman" w:eastAsia="Calibri" w:hAnsi="Times New Roman" w:cs="Times New Roman"/>
          <w:sz w:val="24"/>
          <w:szCs w:val="24"/>
        </w:rPr>
        <w:t>разработка новой модели и технологии кросс-маржирования на биржевых рынках Московской Биржи;</w:t>
      </w:r>
    </w:p>
    <w:p w:rsidR="00341240" w:rsidRPr="00341240" w:rsidRDefault="00341240" w:rsidP="00341240">
      <w:pPr>
        <w:spacing w:after="0" w:line="240" w:lineRule="auto"/>
        <w:ind w:left="927"/>
        <w:contextualSpacing/>
        <w:jc w:val="both"/>
        <w:rPr>
          <w:rFonts w:ascii="Times New Roman" w:eastAsia="Calibri" w:hAnsi="Times New Roman" w:cs="Times New Roman"/>
          <w:sz w:val="24"/>
          <w:szCs w:val="24"/>
        </w:rPr>
      </w:pPr>
    </w:p>
    <w:p w:rsidR="00341240" w:rsidRPr="00341240" w:rsidRDefault="00341240" w:rsidP="00AB0ACF">
      <w:pPr>
        <w:numPr>
          <w:ilvl w:val="1"/>
          <w:numId w:val="77"/>
        </w:numPr>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совершенствование подходов и методов стресс-тестирования (новые единообразные сценарии для разных уровней защиты ЦК (waterfall));</w:t>
      </w:r>
    </w:p>
    <w:p w:rsidR="00341240" w:rsidRPr="00341240" w:rsidRDefault="00341240" w:rsidP="00341240">
      <w:pPr>
        <w:spacing w:after="0" w:line="240" w:lineRule="auto"/>
        <w:ind w:left="927"/>
        <w:contextualSpacing/>
        <w:jc w:val="both"/>
        <w:rPr>
          <w:rFonts w:ascii="Times New Roman" w:eastAsia="Calibri" w:hAnsi="Times New Roman" w:cs="Times New Roman"/>
          <w:sz w:val="24"/>
          <w:szCs w:val="24"/>
        </w:rPr>
      </w:pPr>
    </w:p>
    <w:p w:rsidR="00341240" w:rsidRPr="00341240" w:rsidRDefault="00341240" w:rsidP="00AB0ACF">
      <w:pPr>
        <w:numPr>
          <w:ilvl w:val="1"/>
          <w:numId w:val="77"/>
        </w:numPr>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поддержание соответствия  системы риск менеджмента НКЦ требованиям, предъявляемым Банком России к квалифицированному центральному и стандартам международного регулятора </w:t>
      </w:r>
      <w:r w:rsidRPr="00341240">
        <w:rPr>
          <w:rFonts w:ascii="Times New Roman" w:eastAsia="Calibri" w:hAnsi="Times New Roman" w:cs="Times New Roman"/>
          <w:sz w:val="24"/>
          <w:szCs w:val="24"/>
          <w:lang w:val="en-US"/>
        </w:rPr>
        <w:t>CPMI</w:t>
      </w:r>
      <w:r w:rsidRPr="00341240">
        <w:rPr>
          <w:rFonts w:ascii="Times New Roman" w:eastAsia="Calibri" w:hAnsi="Times New Roman" w:cs="Times New Roman"/>
          <w:sz w:val="24"/>
          <w:szCs w:val="24"/>
        </w:rPr>
        <w:t>-</w:t>
      </w:r>
      <w:r w:rsidRPr="00341240">
        <w:rPr>
          <w:rFonts w:ascii="Times New Roman" w:eastAsia="Calibri" w:hAnsi="Times New Roman" w:cs="Times New Roman"/>
          <w:sz w:val="24"/>
          <w:szCs w:val="24"/>
          <w:lang w:val="en-US"/>
        </w:rPr>
        <w:t>IOSCO</w:t>
      </w:r>
      <w:r w:rsidRPr="00341240">
        <w:rPr>
          <w:rFonts w:ascii="Times New Roman" w:eastAsia="Calibri" w:hAnsi="Times New Roman" w:cs="Times New Roman"/>
          <w:sz w:val="24"/>
          <w:szCs w:val="24"/>
        </w:rPr>
        <w:t>;</w:t>
      </w:r>
    </w:p>
    <w:p w:rsidR="00341240" w:rsidRPr="00341240" w:rsidRDefault="00341240" w:rsidP="00341240">
      <w:pPr>
        <w:spacing w:after="0" w:line="240" w:lineRule="auto"/>
        <w:ind w:left="927"/>
        <w:contextualSpacing/>
        <w:jc w:val="both"/>
        <w:rPr>
          <w:rFonts w:ascii="Times New Roman" w:eastAsia="Calibri" w:hAnsi="Times New Roman" w:cs="Times New Roman"/>
          <w:sz w:val="24"/>
          <w:szCs w:val="24"/>
        </w:rPr>
      </w:pPr>
    </w:p>
    <w:p w:rsidR="00341240" w:rsidRPr="00341240" w:rsidRDefault="00341240" w:rsidP="00AB0ACF">
      <w:pPr>
        <w:numPr>
          <w:ilvl w:val="1"/>
          <w:numId w:val="77"/>
        </w:numPr>
        <w:spacing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совершенствование методологической базы процессов, связанных с   управлением рисками и капиталом;</w:t>
      </w:r>
    </w:p>
    <w:p w:rsidR="00341240" w:rsidRPr="00341240" w:rsidRDefault="00341240" w:rsidP="00341240">
      <w:pPr>
        <w:spacing w:after="0" w:line="240" w:lineRule="auto"/>
        <w:ind w:left="1440"/>
        <w:contextualSpacing/>
        <w:jc w:val="both"/>
        <w:rPr>
          <w:rFonts w:ascii="Times New Roman" w:eastAsia="Calibri" w:hAnsi="Times New Roman" w:cs="Times New Roman"/>
          <w:sz w:val="24"/>
          <w:szCs w:val="24"/>
        </w:rPr>
      </w:pPr>
    </w:p>
    <w:p w:rsidR="00341240" w:rsidRPr="00341240" w:rsidRDefault="00341240" w:rsidP="00AB0ACF">
      <w:pPr>
        <w:numPr>
          <w:ilvl w:val="1"/>
          <w:numId w:val="77"/>
        </w:numPr>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мониторинг передовых практик и технологий риск менеджмента с использованием возможности участия НКЦ в работе Комитета по рискам </w:t>
      </w:r>
      <w:r w:rsidRPr="00341240">
        <w:rPr>
          <w:rFonts w:ascii="Times New Roman" w:eastAsia="Calibri" w:hAnsi="Times New Roman" w:cs="Times New Roman"/>
          <w:sz w:val="24"/>
          <w:szCs w:val="24"/>
          <w:lang w:val="en-US"/>
        </w:rPr>
        <w:t>EACH</w:t>
      </w:r>
      <w:r w:rsidRPr="00341240">
        <w:rPr>
          <w:rFonts w:ascii="Times New Roman" w:eastAsia="Calibri" w:hAnsi="Times New Roman" w:cs="Times New Roman"/>
          <w:sz w:val="24"/>
          <w:szCs w:val="24"/>
        </w:rPr>
        <w:t xml:space="preserve"> с целью внедрения тех из них, которые отвечают задачам реализации Стратегии группы на 2015-2020 г.г.;  </w:t>
      </w:r>
    </w:p>
    <w:p w:rsidR="00341240" w:rsidRPr="00341240" w:rsidRDefault="00341240" w:rsidP="00341240">
      <w:pPr>
        <w:ind w:left="720"/>
        <w:contextualSpacing/>
        <w:rPr>
          <w:rFonts w:ascii="Times New Roman" w:eastAsia="Calibri" w:hAnsi="Times New Roman" w:cs="Times New Roman"/>
          <w:sz w:val="24"/>
          <w:szCs w:val="24"/>
        </w:rPr>
      </w:pPr>
    </w:p>
    <w:p w:rsidR="00341240" w:rsidRPr="00341240" w:rsidRDefault="00341240" w:rsidP="00AB0ACF">
      <w:pPr>
        <w:numPr>
          <w:ilvl w:val="1"/>
          <w:numId w:val="77"/>
        </w:numPr>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сопровождение процесса рассмотрения в ESMA вопроса о получении НКЦ статуса квалифицированного ЦК в соответствии с требованиями </w:t>
      </w:r>
      <w:r w:rsidRPr="00341240">
        <w:rPr>
          <w:rFonts w:ascii="Times New Roman" w:eastAsia="Calibri" w:hAnsi="Times New Roman" w:cs="Times New Roman"/>
          <w:sz w:val="24"/>
          <w:szCs w:val="24"/>
          <w:lang w:val="en-US"/>
        </w:rPr>
        <w:t>EMIR</w:t>
      </w:r>
      <w:r w:rsidRPr="00341240">
        <w:rPr>
          <w:rFonts w:ascii="Times New Roman" w:eastAsia="Calibri" w:hAnsi="Times New Roman" w:cs="Times New Roman"/>
          <w:sz w:val="24"/>
          <w:szCs w:val="24"/>
        </w:rPr>
        <w:t xml:space="preserve">.   </w:t>
      </w:r>
    </w:p>
    <w:p w:rsidR="00341240" w:rsidRPr="00341240" w:rsidRDefault="00341240" w:rsidP="00341240">
      <w:pPr>
        <w:spacing w:after="0" w:line="240" w:lineRule="auto"/>
        <w:ind w:left="567"/>
        <w:jc w:val="both"/>
        <w:rPr>
          <w:rFonts w:ascii="Times New Roman" w:eastAsia="Calibri" w:hAnsi="Times New Roman" w:cs="Times New Roman"/>
          <w:sz w:val="24"/>
          <w:szCs w:val="24"/>
        </w:rPr>
      </w:pPr>
    </w:p>
    <w:p w:rsidR="00341240" w:rsidRPr="00341240" w:rsidRDefault="00341240" w:rsidP="00341240">
      <w:pPr>
        <w:ind w:left="1287"/>
        <w:contextualSpacing/>
        <w:jc w:val="both"/>
        <w:rPr>
          <w:rFonts w:ascii="Times New Roman" w:eastAsia="Calibri" w:hAnsi="Times New Roman" w:cs="Times New Roman"/>
          <w:sz w:val="24"/>
          <w:szCs w:val="24"/>
        </w:rPr>
      </w:pPr>
    </w:p>
    <w:p w:rsidR="00341240" w:rsidRPr="00341240" w:rsidRDefault="00341240" w:rsidP="00341240">
      <w:pPr>
        <w:ind w:left="1287"/>
        <w:contextualSpacing/>
        <w:jc w:val="both"/>
        <w:rPr>
          <w:rFonts w:ascii="Times New Roman" w:eastAsia="MS Mincho" w:hAnsi="Times New Roman" w:cs="Arial"/>
          <w:b/>
          <w:bCs/>
          <w:i/>
          <w:noProof/>
          <w:sz w:val="24"/>
          <w:szCs w:val="24"/>
          <w:lang w:eastAsia="ru-RU"/>
        </w:rPr>
      </w:pPr>
      <w:r w:rsidRPr="00341240">
        <w:rPr>
          <w:rFonts w:ascii="Times New Roman" w:eastAsia="Calibri" w:hAnsi="Times New Roman" w:cs="Times New Roman"/>
          <w:sz w:val="24"/>
          <w:szCs w:val="24"/>
        </w:rPr>
        <w:t xml:space="preserve"> </w:t>
      </w:r>
    </w:p>
    <w:p w:rsidR="00341240" w:rsidRPr="00341240" w:rsidRDefault="00341240" w:rsidP="00341240">
      <w:pPr>
        <w:spacing w:after="120" w:line="240" w:lineRule="auto"/>
        <w:jc w:val="center"/>
        <w:rPr>
          <w:rFonts w:ascii="Times New Roman" w:eastAsia="Calibri" w:hAnsi="Times New Roman" w:cs="Times New Roman"/>
          <w:sz w:val="28"/>
          <w:szCs w:val="28"/>
        </w:rPr>
      </w:pPr>
      <w:r w:rsidRPr="00341240">
        <w:rPr>
          <w:rFonts w:ascii="Times New Roman" w:eastAsia="Times New Roman" w:hAnsi="Times New Roman" w:cs="Times New Roman"/>
          <w:b/>
          <w:sz w:val="28"/>
          <w:szCs w:val="28"/>
          <w:lang w:val="en-US" w:eastAsia="ru-RU"/>
        </w:rPr>
        <w:t>II</w:t>
      </w:r>
      <w:r w:rsidRPr="00341240">
        <w:rPr>
          <w:rFonts w:ascii="Times New Roman" w:eastAsia="Times New Roman" w:hAnsi="Times New Roman" w:cs="Times New Roman"/>
          <w:b/>
          <w:sz w:val="28"/>
          <w:szCs w:val="28"/>
          <w:lang w:eastAsia="ru-RU"/>
        </w:rPr>
        <w:t>. Задачи НКЦ по развитию и оптимизации собственных операций</w:t>
      </w: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В 2016 году для НКЦ, как центрального контрагента, в части проведения финансовых операций по-прежнему актуальными будут следующие направления деятельности:</w:t>
      </w:r>
    </w:p>
    <w:p w:rsidR="00341240" w:rsidRPr="00341240" w:rsidRDefault="00341240" w:rsidP="00AB0ACF">
      <w:pPr>
        <w:widowControl w:val="0"/>
        <w:numPr>
          <w:ilvl w:val="0"/>
          <w:numId w:val="56"/>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обеспечение сбалансированной структуры активов при изменении пассивной базы с учетом требований по поддержанию высокой надежности активов и по обеспечению их доходности;</w:t>
      </w:r>
    </w:p>
    <w:p w:rsidR="00341240" w:rsidRPr="00341240" w:rsidRDefault="00341240" w:rsidP="00AB0ACF">
      <w:pPr>
        <w:widowControl w:val="0"/>
        <w:numPr>
          <w:ilvl w:val="0"/>
          <w:numId w:val="56"/>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оптимизация корреспондентской сети для обеспечения своевременного проведения расчетов по клирингу при приемлемом соотношении кредитного риска и стоимости обслуживания (доходности);</w:t>
      </w:r>
    </w:p>
    <w:p w:rsidR="00341240" w:rsidRPr="00341240" w:rsidRDefault="00341240" w:rsidP="00AB0ACF">
      <w:pPr>
        <w:widowControl w:val="0"/>
        <w:numPr>
          <w:ilvl w:val="0"/>
          <w:numId w:val="56"/>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развитие процедур дефолт-менеджмента, в том числе, при организации клиринга по вновь вводимым на Московской Бирже финансовым инструментам.</w:t>
      </w: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В условиях высокой волатильности финансовых рынков пассивная база НКЦ, в основном сформированная за счет перечисляемых  участниками клиринга денежных средств для обеспечения их участия в торгах, также подвержена значительным колебаниям. В сочетании со значительным объемом обеспечения (особенно в иностранной валюте) данное обстоятельство обуславливает повышенные требования  к уровню мгновенной и краткосрочной ликвидности, что требует использования финансовых инструментов  с высоким уровнем ликвидности, высоким уровнем кредитного качества и возможностью рефинансирования. Поэтому в 2016 году значительные усилия будут направлены на увеличение в портфеле НКЦ доли государственных долговых обязательств и других активов с высоким кредитным рейтингом. С целью снижения риска при сохранении приемлемого уровня доходности предполагается (при наличии рыночной конъюнктуры) активно использовать такой инструмент, как обратное РЕПО в иностранной валюте.</w:t>
      </w: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В 2015 году окончательно сложилась тенденция по установлению иностранными банками-корреспондентами все большего количества ограничений по использованию корреспондентских счетов НКЦ, что обусловлено дальнейшим ужесточением процедур комплаенс-контроля и изменением локальных регуляторных требований к банкам-корреспондентам. В этих условиях актуальными задачами по оптимизации корреспондентской сети в 2016 году будут следующие направления:</w:t>
      </w:r>
    </w:p>
    <w:p w:rsidR="00341240" w:rsidRPr="00341240" w:rsidRDefault="00341240" w:rsidP="00AB0ACF">
      <w:pPr>
        <w:widowControl w:val="0"/>
        <w:numPr>
          <w:ilvl w:val="0"/>
          <w:numId w:val="57"/>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снижение концентрации денежных средств  на корреспондентских счетах за счет приобретения высоконадежных и высоколиквидных активов в иностранной валюте. С этой целью предполагается начать операции с государственными обязательствами США, а также существенно нарастить объем портфеля еврооблигаций высоконадежных эмитентов;</w:t>
      </w:r>
    </w:p>
    <w:p w:rsidR="00341240" w:rsidRPr="00341240" w:rsidRDefault="00341240" w:rsidP="00AB0ACF">
      <w:pPr>
        <w:widowControl w:val="0"/>
        <w:numPr>
          <w:ilvl w:val="0"/>
          <w:numId w:val="57"/>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формирование профиля остатков на корреспондентских счетах в иностранной валюте, обеспечивающего с одной стороны выполнение ограничений банков-корреспондентов по допустимому максимальному уровню остатков, а с другой стороны - приемлемый процентный доход (расход) по остаткам на корреспондентских счетах;</w:t>
      </w:r>
    </w:p>
    <w:p w:rsidR="00341240" w:rsidRPr="00341240" w:rsidRDefault="00341240" w:rsidP="00AB0ACF">
      <w:pPr>
        <w:widowControl w:val="0"/>
        <w:numPr>
          <w:ilvl w:val="0"/>
          <w:numId w:val="57"/>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определение корреспондентских счетов, оптимальных для расчетов  с точки зрения маршрута прохождения платежей,  минимизации временных затрат на проведение расчетов и т.д. Предпочтение будет отдаваться корреспондентским счетам в банках, в которых открыты соответствующие корреспондентские счета участников клиринга.</w:t>
      </w: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В части дефолт-менеджмента в 2016 году предстоит организация управления дефолт-позициями участников клиринга по новым финансовым инструментам Московской Биржи. С учетом начала в 2016 году проведения операций РЕПО с клиринговыми сертификатами участника , особое внимание будет уделено операциям при дефолтах по сделкам с КСУ. При урегулировании дефолтов по сделкам с КСУ будут сохранены базовые принципы, используемые  в отношении торгуемых на Московской Бирже стандартизованных финансовых инструментов,  базовыми активами которых являются ценные бумаги или валюты. При этом дефолт-менеджмент с КСУ потребует внедрения ряда дополнительных процедур, в частности, процедур управления активами участников клиринга, являющимися обеспечением по КСУ.</w:t>
      </w:r>
    </w:p>
    <w:p w:rsidR="00341240" w:rsidRPr="00341240" w:rsidRDefault="00341240" w:rsidP="00341240">
      <w:pPr>
        <w:rPr>
          <w:rFonts w:ascii="Times New Roman" w:eastAsia="Calibri" w:hAnsi="Times New Roman" w:cs="Times New Roman"/>
          <w:sz w:val="24"/>
          <w:szCs w:val="24"/>
        </w:rPr>
      </w:pPr>
    </w:p>
    <w:p w:rsidR="00341240" w:rsidRPr="00341240" w:rsidRDefault="00341240" w:rsidP="00341240">
      <w:pPr>
        <w:widowControl w:val="0"/>
        <w:tabs>
          <w:tab w:val="left" w:pos="567"/>
        </w:tabs>
        <w:overflowPunct w:val="0"/>
        <w:autoSpaceDE w:val="0"/>
        <w:autoSpaceDN w:val="0"/>
        <w:adjustRightInd w:val="0"/>
        <w:spacing w:after="0" w:line="240" w:lineRule="auto"/>
        <w:ind w:right="76"/>
        <w:contextualSpacing/>
        <w:textAlignment w:val="baseline"/>
        <w:rPr>
          <w:rFonts w:ascii="Times New Roman" w:eastAsia="Times New Roman" w:hAnsi="Times New Roman" w:cs="Times New Roman"/>
          <w:b/>
          <w:sz w:val="28"/>
          <w:szCs w:val="28"/>
          <w:lang w:eastAsia="ru-RU"/>
        </w:rPr>
      </w:pPr>
    </w:p>
    <w:p w:rsidR="00341240" w:rsidRPr="00341240" w:rsidRDefault="00341240" w:rsidP="00341240">
      <w:pPr>
        <w:widowControl w:val="0"/>
        <w:tabs>
          <w:tab w:val="left" w:pos="567"/>
        </w:tabs>
        <w:overflowPunct w:val="0"/>
        <w:autoSpaceDE w:val="0"/>
        <w:autoSpaceDN w:val="0"/>
        <w:adjustRightInd w:val="0"/>
        <w:spacing w:after="0" w:line="240" w:lineRule="auto"/>
        <w:ind w:right="76"/>
        <w:contextualSpacing/>
        <w:textAlignment w:val="baseline"/>
        <w:rPr>
          <w:rFonts w:ascii="Times New Roman" w:eastAsia="Times New Roman" w:hAnsi="Times New Roman" w:cs="Times New Roman"/>
          <w:b/>
          <w:sz w:val="28"/>
          <w:szCs w:val="28"/>
          <w:lang w:eastAsia="ru-RU"/>
        </w:rPr>
      </w:pPr>
    </w:p>
    <w:p w:rsidR="00341240" w:rsidRPr="00341240" w:rsidRDefault="00341240" w:rsidP="00341240">
      <w:pPr>
        <w:widowControl w:val="0"/>
        <w:tabs>
          <w:tab w:val="left" w:pos="8820"/>
        </w:tabs>
        <w:overflowPunct w:val="0"/>
        <w:autoSpaceDE w:val="0"/>
        <w:autoSpaceDN w:val="0"/>
        <w:adjustRightInd w:val="0"/>
        <w:spacing w:after="0" w:line="240" w:lineRule="auto"/>
        <w:ind w:left="142" w:right="76"/>
        <w:jc w:val="center"/>
        <w:textAlignment w:val="baseline"/>
        <w:rPr>
          <w:rFonts w:ascii="Times New Roman" w:eastAsia="Times New Roman" w:hAnsi="Times New Roman" w:cs="Times New Roman"/>
          <w:b/>
          <w:sz w:val="28"/>
          <w:szCs w:val="28"/>
          <w:lang w:eastAsia="ru-RU"/>
        </w:rPr>
      </w:pPr>
      <w:r w:rsidRPr="00341240">
        <w:rPr>
          <w:rFonts w:ascii="Times New Roman" w:eastAsia="Times New Roman" w:hAnsi="Times New Roman" w:cs="Times New Roman"/>
          <w:b/>
          <w:sz w:val="28"/>
          <w:szCs w:val="28"/>
          <w:lang w:eastAsia="ru-RU"/>
        </w:rPr>
        <w:t>5.Особенности клиринговой деятельности на различных рынках</w:t>
      </w:r>
    </w:p>
    <w:p w:rsidR="00341240" w:rsidRPr="00341240" w:rsidRDefault="00341240" w:rsidP="00341240">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sz w:val="28"/>
          <w:szCs w:val="28"/>
          <w:lang w:eastAsia="ru-RU"/>
        </w:rPr>
      </w:pPr>
    </w:p>
    <w:p w:rsidR="00341240" w:rsidRPr="00341240" w:rsidRDefault="00341240" w:rsidP="00341240">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sz w:val="28"/>
          <w:szCs w:val="28"/>
          <w:lang w:eastAsia="ru-RU"/>
        </w:rPr>
      </w:pPr>
      <w:r w:rsidRPr="00341240">
        <w:rPr>
          <w:rFonts w:ascii="Times New Roman" w:eastAsia="Times New Roman" w:hAnsi="Times New Roman" w:cs="Times New Roman"/>
          <w:b/>
          <w:sz w:val="28"/>
          <w:szCs w:val="28"/>
          <w:lang w:eastAsia="ru-RU"/>
        </w:rPr>
        <w:t>5.1 Клиринговая деятельность на валютном рынке и рынке драгоценных металлов</w:t>
      </w:r>
    </w:p>
    <w:p w:rsidR="00341240" w:rsidRPr="00341240" w:rsidRDefault="00341240" w:rsidP="00341240">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sz w:val="28"/>
          <w:szCs w:val="28"/>
          <w:lang w:eastAsia="ru-RU"/>
        </w:rPr>
      </w:pP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r w:rsidRPr="00341240">
        <w:rPr>
          <w:rFonts w:ascii="Times New Roman" w:eastAsia="Calibri" w:hAnsi="Times New Roman" w:cs="Arial"/>
          <w:noProof/>
          <w:sz w:val="24"/>
          <w:szCs w:val="24"/>
          <w:lang w:eastAsia="ru-RU"/>
        </w:rPr>
        <w:t>Валютный рынок Московской Биржи является старейшим в России организованным биржевым рынком, на котором с 1992 г. проводятся торги иностранной валютой, а с 2013 года развивается торговля и клиринг по операциям с драгоценными металлами. Биржевой валютный рынок является центром  ликвидности по денежным операциям и важнейшим сегментом национальной финансовой системы. Банк России использует биржевой валютный рынок для реализации своей денежно-кредитной политики и определяет официальные  курсы доллара США и других иностранных валют по отношению к рублю,  используя результаты биржевых торгов. На основе фиксинга Московской Биржи также рассчитывается цены исполнения фьючерсных контрактов на курс иностранной валюты.</w:t>
      </w: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r w:rsidRPr="00341240">
        <w:rPr>
          <w:rFonts w:ascii="Times New Roman" w:eastAsia="Calibri" w:hAnsi="Times New Roman" w:cs="Arial"/>
          <w:noProof/>
          <w:sz w:val="24"/>
          <w:szCs w:val="24"/>
          <w:lang w:eastAsia="ru-RU"/>
        </w:rPr>
        <w:t>Сегодня валютный рынок и рынок драгоценных металлов Московской Биржи – это  современный, отвечающий всем необходимым регулятивным и новейшим технологическим требованиям биржевой рынок, на котором проводятся организованные торги  основными мировыми валютами и осуществляется основной объем валютных операций. Удобство и уникальность биржевого валютного рынка обеспечиваются единой трейдинговой и посттрейдинговой инфраструктурой Группы "Московская Биржа", предоставляющей своим клиентам полный спектр торговых, клиринговых, расчетных и информационных сервисов. Сделки заключаются в соответствии с п</w:t>
      </w:r>
      <w:hyperlink r:id="rId17" w:history="1">
        <w:r w:rsidRPr="00341240">
          <w:rPr>
            <w:rFonts w:ascii="Times New Roman" w:eastAsia="Calibri" w:hAnsi="Times New Roman" w:cs="Arial"/>
            <w:noProof/>
            <w:sz w:val="24"/>
            <w:szCs w:val="24"/>
            <w:lang w:eastAsia="ru-RU"/>
          </w:rPr>
          <w:t>равилами организованных торгов ПАО Московская Биржа на валютном рынке и рынке драгоценных металлов</w:t>
        </w:r>
      </w:hyperlink>
      <w:r w:rsidRPr="00341240">
        <w:rPr>
          <w:rFonts w:ascii="Times New Roman" w:eastAsia="Calibri" w:hAnsi="Times New Roman" w:cs="Arial"/>
          <w:noProof/>
          <w:sz w:val="24"/>
          <w:szCs w:val="24"/>
          <w:lang w:eastAsia="ru-RU"/>
        </w:rPr>
        <w:t xml:space="preserve"> в режиме двойного встречного аукциона. Заключение сделок происходит автоматически по мере ввода в систему заявок противоположного направления с удовлетворяющими друг друга ценами. Также предусмотрен отдельный режим для заключения внесистемных (адресных) сделок. Функции организатора торгов и технического центра выполняет ПАО Московская Биржа, функции клиринговой организации и центрального контрагента – НКЦ.</w:t>
      </w: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r w:rsidRPr="00341240">
        <w:rPr>
          <w:rFonts w:ascii="Times New Roman" w:eastAsia="Calibri" w:hAnsi="Times New Roman" w:cs="Arial"/>
          <w:noProof/>
          <w:sz w:val="24"/>
          <w:szCs w:val="24"/>
          <w:lang w:eastAsia="ru-RU"/>
        </w:rPr>
        <w:t>Банк осуществляет клиринг на валютном рынке с 10 декабря 2007 года. Клиринг и расчеты по сделкам, заключаемым на этом рынке, происходят с участием НКЦ, как центрального контрагента. Банк выполняет функции ЦК по всем заключаемым сделкам, гарантируя исполнение обязательств перед добросовестными участниками клиринга, что значительно снижает риски участников клиринга и избавляет их от необходимости определения лимитов друг на друга. Торги на валютном рынке проводятся с частичным обеспечением с использованием высокоэффективной и надежной с</w:t>
      </w:r>
      <w:hyperlink r:id="rId18" w:history="1">
        <w:r w:rsidRPr="00341240">
          <w:rPr>
            <w:rFonts w:ascii="Times New Roman" w:eastAsia="Calibri" w:hAnsi="Times New Roman" w:cs="Arial"/>
            <w:noProof/>
            <w:sz w:val="24"/>
            <w:szCs w:val="24"/>
            <w:lang w:eastAsia="ru-RU"/>
          </w:rPr>
          <w:t>истемы управления рисками</w:t>
        </w:r>
      </w:hyperlink>
      <w:r w:rsidRPr="00341240">
        <w:rPr>
          <w:rFonts w:ascii="Times New Roman" w:eastAsia="Calibri" w:hAnsi="Times New Roman" w:cs="Arial"/>
          <w:noProof/>
          <w:sz w:val="24"/>
          <w:szCs w:val="24"/>
          <w:lang w:eastAsia="ru-RU"/>
        </w:rPr>
        <w:t>.</w:t>
      </w: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r w:rsidRPr="00341240">
        <w:rPr>
          <w:rFonts w:ascii="Times New Roman" w:eastAsia="Calibri" w:hAnsi="Times New Roman" w:cs="Arial"/>
          <w:noProof/>
          <w:sz w:val="24"/>
          <w:szCs w:val="24"/>
          <w:lang w:eastAsia="ru-RU"/>
        </w:rPr>
        <w:t>Клиринг осуществляется НКЦ в соответствии с п</w:t>
      </w:r>
      <w:hyperlink r:id="rId19" w:history="1">
        <w:r w:rsidRPr="00341240">
          <w:rPr>
            <w:rFonts w:ascii="Times New Roman" w:eastAsia="Calibri" w:hAnsi="Times New Roman" w:cs="Arial"/>
            <w:noProof/>
            <w:sz w:val="24"/>
            <w:szCs w:val="24"/>
            <w:lang w:eastAsia="ru-RU"/>
          </w:rPr>
          <w:t>равилами клиринга.</w:t>
        </w:r>
      </w:hyperlink>
      <w:r w:rsidRPr="00341240">
        <w:rPr>
          <w:rFonts w:ascii="Times New Roman" w:eastAsia="Calibri" w:hAnsi="Times New Roman" w:cs="Arial"/>
          <w:noProof/>
          <w:sz w:val="24"/>
          <w:szCs w:val="24"/>
          <w:lang w:eastAsia="ru-RU"/>
        </w:rPr>
        <w:t xml:space="preserve">   На валютном рынке торгуются доллары США (USD), евро (EUR), британский фунт (GBP), гонконгский доллар (HKD), китайский юань (CNY), украинская гривна (UAH), казахстанский  тенге (KZT) и белорусский рубль (BYR), а также заключаются сделки своп различной срочности. По валютным парам USD/RUB, EUR/RUB, CNY/RUB участники могут заключать сделки "длинный своп" сроками 1W, 2W, 1М, 2М, 3М, 6М, 9М и 1Y. Основными валютными парами являются  USD/RUB и EUR/RUB. Активно развивается биржевой рынок юаня, а также операции с национальными валютами Евразийского экономического союза (ЕАЭС).  Время проведения торгов - с 10:00 до 23:50 мск.</w:t>
      </w: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r w:rsidRPr="00341240">
        <w:rPr>
          <w:rFonts w:ascii="Times New Roman" w:eastAsia="Calibri" w:hAnsi="Times New Roman" w:cs="Arial"/>
          <w:noProof/>
          <w:sz w:val="24"/>
          <w:szCs w:val="24"/>
          <w:lang w:eastAsia="ru-RU"/>
        </w:rPr>
        <w:t xml:space="preserve">НКЦ осуществляет на валютном рынке и рынке драгоценных металлов клиринг по спот сделкам и сделкам своп, а с 2014 года – по производным финансовым инструментам (свопам и фьючерсам), заключенным с полным обеспечением или с частичным  обеспечением. В качестве обеспечения принимаются денежные средства в российских рублях, долларах США, евро, китайских юанях, гонконских долларах и фунтах стерлингов, а также драгоценные металлы (золото и серебро). </w:t>
      </w: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r w:rsidRPr="00341240">
        <w:rPr>
          <w:rFonts w:ascii="Times New Roman" w:eastAsia="Calibri" w:hAnsi="Times New Roman" w:cs="Arial"/>
          <w:noProof/>
          <w:sz w:val="24"/>
          <w:szCs w:val="24"/>
          <w:lang w:eastAsia="ru-RU"/>
        </w:rPr>
        <w:t>Сделки на валютном рынке и рынке драгоценных металлов могут заключаться на основании безадресных (в «стакане») или адресных заявок. На основании безадресных заявок сделки могут заключаться только на условиях полного или частичного обеспечения.</w:t>
      </w: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r w:rsidRPr="00341240">
        <w:rPr>
          <w:rFonts w:ascii="Times New Roman" w:eastAsia="Calibri" w:hAnsi="Times New Roman" w:cs="Arial"/>
          <w:noProof/>
          <w:sz w:val="24"/>
          <w:szCs w:val="24"/>
          <w:lang w:eastAsia="ru-RU"/>
        </w:rPr>
        <w:t>С 2013 года НКЦ осуществляет централизованный клиринг по сделкам с драгоценными металлами за российские рубли. Клиринг по сделкам с драгоценными металлами реализован на нормативно-технологической базе валютного рынка в целях:</w:t>
      </w:r>
    </w:p>
    <w:p w:rsidR="00341240" w:rsidRPr="00341240" w:rsidRDefault="00341240" w:rsidP="00AB0ACF">
      <w:pPr>
        <w:numPr>
          <w:ilvl w:val="0"/>
          <w:numId w:val="58"/>
        </w:numPr>
        <w:tabs>
          <w:tab w:val="num" w:pos="426"/>
        </w:tabs>
        <w:spacing w:before="60" w:after="0" w:line="240" w:lineRule="auto"/>
        <w:contextualSpacing/>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расширения продуктового ряда, предлагаемого Группой «Московская Биржа» участникам рынка;</w:t>
      </w:r>
    </w:p>
    <w:p w:rsidR="00341240" w:rsidRPr="00341240" w:rsidRDefault="00341240" w:rsidP="00AB0ACF">
      <w:pPr>
        <w:numPr>
          <w:ilvl w:val="0"/>
          <w:numId w:val="58"/>
        </w:numPr>
        <w:tabs>
          <w:tab w:val="num" w:pos="426"/>
        </w:tabs>
        <w:spacing w:before="60" w:after="0" w:line="240" w:lineRule="auto"/>
        <w:contextualSpacing/>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 xml:space="preserve">организации для участников нового сегмента биржевого рынка – рынка драгоценных металлов, имеющего потенциал стать высоколиквидным рынком; </w:t>
      </w:r>
    </w:p>
    <w:p w:rsidR="00341240" w:rsidRPr="00341240" w:rsidRDefault="00341240" w:rsidP="00AB0ACF">
      <w:pPr>
        <w:numPr>
          <w:ilvl w:val="0"/>
          <w:numId w:val="58"/>
        </w:numPr>
        <w:tabs>
          <w:tab w:val="num" w:pos="426"/>
        </w:tabs>
        <w:spacing w:before="60" w:after="0" w:line="240" w:lineRule="auto"/>
        <w:contextualSpacing/>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создание системы расчетов в драгметаллах на российском рынке (Loco Moscow).</w:t>
      </w:r>
    </w:p>
    <w:p w:rsidR="00341240" w:rsidRPr="00341240" w:rsidRDefault="00341240" w:rsidP="00AB0ACF">
      <w:pPr>
        <w:numPr>
          <w:ilvl w:val="0"/>
          <w:numId w:val="58"/>
        </w:numPr>
        <w:tabs>
          <w:tab w:val="num" w:pos="426"/>
        </w:tabs>
        <w:spacing w:before="60" w:after="0" w:line="240" w:lineRule="auto"/>
        <w:contextualSpacing/>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обеспечения возможности применения общих критериев оценки кредитного качества участников клиринга,использования общего клирингового обеспечения, а также единой позиции по рублям и общих расчетов в российских рублях;</w:t>
      </w:r>
    </w:p>
    <w:p w:rsidR="00341240" w:rsidRPr="00341240" w:rsidRDefault="00341240" w:rsidP="00AB0ACF">
      <w:pPr>
        <w:numPr>
          <w:ilvl w:val="0"/>
          <w:numId w:val="58"/>
        </w:numPr>
        <w:tabs>
          <w:tab w:val="num" w:pos="426"/>
        </w:tabs>
        <w:spacing w:before="60" w:after="0" w:line="240" w:lineRule="auto"/>
        <w:contextualSpacing/>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обеспечения возможности использования общей системы маржирования, основанной на портфельном подходе к оценке рисков.</w:t>
      </w: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r w:rsidRPr="00341240">
        <w:rPr>
          <w:rFonts w:ascii="Times New Roman" w:eastAsia="Calibri" w:hAnsi="Times New Roman" w:cs="Arial"/>
          <w:noProof/>
          <w:sz w:val="24"/>
          <w:szCs w:val="24"/>
          <w:lang w:eastAsia="ru-RU"/>
        </w:rPr>
        <w:t>НКЦ осуществляет клиринг на этом сегменте биржевого рынка  по сделкам, расчеты по которым могут производиться:</w:t>
      </w:r>
    </w:p>
    <w:p w:rsidR="00341240" w:rsidRPr="00341240" w:rsidRDefault="00341240" w:rsidP="00AB0ACF">
      <w:pPr>
        <w:numPr>
          <w:ilvl w:val="0"/>
          <w:numId w:val="59"/>
        </w:numPr>
        <w:tabs>
          <w:tab w:val="num" w:pos="426"/>
        </w:tabs>
        <w:spacing w:before="60" w:after="0" w:line="240" w:lineRule="auto"/>
        <w:contextualSpacing/>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 xml:space="preserve">за счет участников клиринга; </w:t>
      </w:r>
    </w:p>
    <w:p w:rsidR="00341240" w:rsidRPr="00341240" w:rsidRDefault="00341240" w:rsidP="00AB0ACF">
      <w:pPr>
        <w:numPr>
          <w:ilvl w:val="0"/>
          <w:numId w:val="59"/>
        </w:numPr>
        <w:tabs>
          <w:tab w:val="num" w:pos="426"/>
        </w:tabs>
        <w:spacing w:before="60" w:after="0" w:line="240" w:lineRule="auto"/>
        <w:contextualSpacing/>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за счет клиентов участников клиринга;</w:t>
      </w:r>
    </w:p>
    <w:p w:rsidR="00341240" w:rsidRPr="00341240" w:rsidRDefault="00341240" w:rsidP="00AB0ACF">
      <w:pPr>
        <w:numPr>
          <w:ilvl w:val="0"/>
          <w:numId w:val="59"/>
        </w:numPr>
        <w:tabs>
          <w:tab w:val="num" w:pos="426"/>
        </w:tabs>
        <w:spacing w:before="60" w:after="0" w:line="240" w:lineRule="auto"/>
        <w:contextualSpacing/>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 xml:space="preserve">за счет средств, находящихся в доверительном управлении у участников клиринга. </w:t>
      </w:r>
    </w:p>
    <w:p w:rsidR="00341240" w:rsidRPr="00341240" w:rsidRDefault="00341240" w:rsidP="00341240">
      <w:pPr>
        <w:tabs>
          <w:tab w:val="right" w:pos="9356"/>
        </w:tabs>
        <w:suppressAutoHyphens/>
        <w:overflowPunct w:val="0"/>
        <w:autoSpaceDE w:val="0"/>
        <w:spacing w:after="0" w:line="240" w:lineRule="auto"/>
        <w:ind w:left="709"/>
        <w:jc w:val="center"/>
        <w:textAlignment w:val="baseline"/>
        <w:rPr>
          <w:rFonts w:ascii="Times New Roman CYR" w:eastAsia="Calibri" w:hAnsi="Times New Roman CYR" w:cs="Times New Roman"/>
          <w:b/>
          <w:sz w:val="24"/>
          <w:szCs w:val="24"/>
          <w:lang w:eastAsia="ar-SA"/>
        </w:rPr>
      </w:pP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r w:rsidRPr="00341240">
        <w:rPr>
          <w:rFonts w:ascii="Times New Roman" w:eastAsia="Calibri" w:hAnsi="Times New Roman" w:cs="Arial"/>
          <w:noProof/>
          <w:sz w:val="24"/>
          <w:szCs w:val="24"/>
          <w:lang w:eastAsia="ru-RU"/>
        </w:rPr>
        <w:t>Внедрение надежных и эффективных технологий клирингового обслуживания, а также качественное расширение линейки привлекательных для инвесторов инструментов, способствовало росту привлекательности валютного рынка и рынка драгоценных металлов Группы «Московская Биржа» и положительно отразилось на результатах деятельности НКЦ на указанном рынке. Комиссионное вознаграждение, полученное НКЦ за клиринговое обслуживание на валютном рынке за 2015 год, составило 1 794 063 тыс. руб., что в 1.24 раза превосходит аналогичный показатель за 2014 год - 1 442 740 тыс. руб.</w:t>
      </w:r>
    </w:p>
    <w:p w:rsidR="00341240" w:rsidRPr="00341240" w:rsidRDefault="00341240" w:rsidP="00341240">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sz w:val="28"/>
          <w:szCs w:val="28"/>
          <w:lang w:eastAsia="ru-RU"/>
        </w:rPr>
      </w:pPr>
    </w:p>
    <w:p w:rsidR="00341240" w:rsidRPr="00341240" w:rsidRDefault="00341240" w:rsidP="00341240">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sz w:val="28"/>
          <w:szCs w:val="28"/>
          <w:lang w:eastAsia="ru-RU"/>
        </w:rPr>
      </w:pPr>
    </w:p>
    <w:p w:rsidR="00341240" w:rsidRPr="00341240" w:rsidRDefault="00341240" w:rsidP="00341240">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sz w:val="28"/>
          <w:szCs w:val="28"/>
          <w:lang w:eastAsia="ru-RU"/>
        </w:rPr>
      </w:pPr>
      <w:r w:rsidRPr="00341240">
        <w:rPr>
          <w:rFonts w:ascii="Times New Roman" w:eastAsia="Times New Roman" w:hAnsi="Times New Roman" w:cs="Times New Roman"/>
          <w:b/>
          <w:sz w:val="28"/>
          <w:szCs w:val="28"/>
          <w:lang w:eastAsia="ru-RU"/>
        </w:rPr>
        <w:t>5.2. Клиринговая деятельность на фондовом рынке</w:t>
      </w:r>
    </w:p>
    <w:p w:rsidR="00341240" w:rsidRPr="00341240" w:rsidRDefault="00341240" w:rsidP="00341240">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sz w:val="28"/>
          <w:szCs w:val="28"/>
          <w:lang w:eastAsia="ru-RU"/>
        </w:rPr>
      </w:pPr>
    </w:p>
    <w:p w:rsidR="00341240" w:rsidRPr="00341240" w:rsidRDefault="00341240" w:rsidP="00341240">
      <w:pPr>
        <w:spacing w:before="60" w:after="0" w:line="240" w:lineRule="auto"/>
        <w:jc w:val="both"/>
        <w:rPr>
          <w:rFonts w:ascii="Times New Roman" w:eastAsia="Times New Roman" w:hAnsi="Times New Roman" w:cs="Arial"/>
          <w:noProof/>
          <w:sz w:val="24"/>
          <w:szCs w:val="20"/>
          <w:lang w:eastAsia="ru-RU"/>
        </w:rPr>
      </w:pPr>
      <w:r w:rsidRPr="00341240">
        <w:rPr>
          <w:rFonts w:ascii="Times New Roman" w:eastAsia="Times New Roman" w:hAnsi="Times New Roman" w:cs="Arial"/>
          <w:noProof/>
          <w:sz w:val="24"/>
          <w:szCs w:val="20"/>
          <w:lang w:eastAsia="ru-RU"/>
        </w:rPr>
        <w:t xml:space="preserve">      </w:t>
      </w:r>
    </w:p>
    <w:p w:rsidR="00341240" w:rsidRPr="00341240" w:rsidRDefault="00341240" w:rsidP="00341240">
      <w:pPr>
        <w:spacing w:before="60" w:after="0" w:line="240" w:lineRule="auto"/>
        <w:jc w:val="both"/>
        <w:rPr>
          <w:rFonts w:ascii="Times New Roman" w:eastAsia="Times New Roman" w:hAnsi="Times New Roman" w:cs="Arial"/>
          <w:noProof/>
          <w:sz w:val="24"/>
          <w:szCs w:val="20"/>
          <w:lang w:eastAsia="ru-RU"/>
        </w:rPr>
      </w:pPr>
      <w:r w:rsidRPr="00341240">
        <w:rPr>
          <w:rFonts w:ascii="Times New Roman" w:eastAsia="Calibri" w:hAnsi="Times New Roman" w:cs="Arial"/>
          <w:noProof/>
          <w:sz w:val="24"/>
          <w:szCs w:val="24"/>
          <w:lang w:eastAsia="ru-RU"/>
        </w:rPr>
        <w:t xml:space="preserve">     Фондовый рынок Группы «Московская Биржа» является  современным, отвечающим всем регулятивным и технологическим требованиям биржевой рынок, на котором проводятся организованные торги  основными видами торгуемых в России ценных бумаг. Удобство и уникальность фондового рынка Группы «Московская Биржа» обеспечиваются единой трейдинговой и посттрейдинговой инфраструктурой Группы, предоставляющей своим клиентам полный спектр сервисов и услуг: торговых, клиринговых, расчетных и информационных.</w:t>
      </w:r>
    </w:p>
    <w:p w:rsidR="00341240" w:rsidRPr="00341240" w:rsidRDefault="00341240" w:rsidP="00341240">
      <w:pPr>
        <w:spacing w:before="60" w:after="0" w:line="240" w:lineRule="auto"/>
        <w:jc w:val="both"/>
        <w:rPr>
          <w:rFonts w:ascii="Times New Roman" w:eastAsia="Times New Roman" w:hAnsi="Times New Roman" w:cs="Arial"/>
          <w:noProof/>
          <w:sz w:val="24"/>
          <w:szCs w:val="20"/>
          <w:lang w:eastAsia="ru-RU"/>
        </w:rPr>
      </w:pPr>
      <w:r w:rsidRPr="00341240">
        <w:rPr>
          <w:rFonts w:ascii="Times New Roman" w:eastAsia="Times New Roman" w:hAnsi="Times New Roman" w:cs="Arial"/>
          <w:noProof/>
          <w:sz w:val="24"/>
          <w:szCs w:val="20"/>
          <w:lang w:eastAsia="ru-RU"/>
        </w:rPr>
        <w:t xml:space="preserve">     На фондовом рынке Группы «Московская Биржа» НКЦ предоставляет своим клиентам наиболее широкий спектр услуг, осуществляя клиринг по сделкам, заключенным в различных режимах торгов, как с исполнением, так и без исполнения функций центрального контрагента. НКЦ осуществляет клиринговую деятельность на этом рынке с 1 ноября 2011 года. Организатором торгов является ЗАО "Фондовая биржа ММВБ". Расчеты по итогам клиринга на фондовом рынке осуществляет Небанковская кредитная организация закрытое акционерное общество «Национальный расчетный депозитарий» (далее - НКО ЗАО НРД).</w:t>
      </w: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r w:rsidRPr="00341240">
        <w:rPr>
          <w:rFonts w:ascii="Times New Roman" w:eastAsia="Calibri" w:hAnsi="Times New Roman" w:cs="Arial"/>
          <w:noProof/>
          <w:sz w:val="24"/>
          <w:szCs w:val="24"/>
          <w:lang w:eastAsia="ru-RU"/>
        </w:rPr>
        <w:t>НКЦ осуществляет на фондовом рынке клиринг:</w:t>
      </w:r>
    </w:p>
    <w:p w:rsidR="00341240" w:rsidRPr="00341240" w:rsidRDefault="00341240" w:rsidP="00AB0ACF">
      <w:pPr>
        <w:numPr>
          <w:ilvl w:val="0"/>
          <w:numId w:val="60"/>
        </w:numPr>
        <w:tabs>
          <w:tab w:val="num" w:pos="426"/>
        </w:tabs>
        <w:spacing w:before="60" w:after="0" w:line="240" w:lineRule="auto"/>
        <w:contextualSpacing/>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
          <w:bCs/>
          <w:i/>
          <w:noProof/>
          <w:sz w:val="24"/>
          <w:szCs w:val="24"/>
          <w:lang w:eastAsia="ru-RU"/>
        </w:rPr>
        <w:t>с частичным обеспечением</w:t>
      </w:r>
    </w:p>
    <w:p w:rsidR="00341240" w:rsidRPr="00341240" w:rsidRDefault="00341240" w:rsidP="00341240">
      <w:pPr>
        <w:spacing w:before="60" w:after="0" w:line="240" w:lineRule="auto"/>
        <w:ind w:left="720"/>
        <w:contextualSpacing/>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-используются для сделок купли-продажи с центральным контаргентом, заключенных на основании безадресных заявок с исполнением в Т+2 (акции, депозитарные расписки, инвестиционные паи, ИСУ, ETF) и с исполнением в Т+1 (ОФЗ), а также для сделок с перечисленными ценными бумагами, заключенных на основании адресных заявок с исполнением от Т+0 до Т+2;</w:t>
      </w:r>
    </w:p>
    <w:p w:rsidR="00341240" w:rsidRPr="00341240" w:rsidRDefault="00341240" w:rsidP="00341240">
      <w:pPr>
        <w:spacing w:before="60" w:after="0" w:line="240" w:lineRule="auto"/>
        <w:ind w:left="720"/>
        <w:contextualSpacing/>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-используется для сделок РЕПО с центральным контрагентом, в том числе сделок РЕПО с клиринговыми сертификатами участия, заключенных на основании адресных и безадресных зявок;</w:t>
      </w:r>
    </w:p>
    <w:p w:rsidR="00341240" w:rsidRPr="00341240" w:rsidRDefault="00341240" w:rsidP="00AB0ACF">
      <w:pPr>
        <w:numPr>
          <w:ilvl w:val="0"/>
          <w:numId w:val="60"/>
        </w:numPr>
        <w:tabs>
          <w:tab w:val="num" w:pos="426"/>
        </w:tabs>
        <w:spacing w:before="60" w:after="0" w:line="240" w:lineRule="auto"/>
        <w:contextualSpacing/>
        <w:jc w:val="both"/>
        <w:rPr>
          <w:rFonts w:ascii="Times New Roman" w:eastAsia="Times New Roman" w:hAnsi="Times New Roman" w:cs="Times New Roman"/>
          <w:b/>
          <w:bCs/>
          <w:i/>
          <w:noProof/>
          <w:sz w:val="24"/>
          <w:szCs w:val="24"/>
          <w:lang w:eastAsia="ru-RU"/>
        </w:rPr>
      </w:pPr>
      <w:r w:rsidRPr="00341240">
        <w:rPr>
          <w:rFonts w:ascii="Times New Roman" w:eastAsia="Times New Roman" w:hAnsi="Times New Roman" w:cs="Times New Roman"/>
          <w:b/>
          <w:bCs/>
          <w:i/>
          <w:noProof/>
          <w:sz w:val="24"/>
          <w:szCs w:val="24"/>
          <w:lang w:eastAsia="ru-RU"/>
        </w:rPr>
        <w:t>с полным обеспечением:</w:t>
      </w:r>
    </w:p>
    <w:p w:rsidR="00341240" w:rsidRPr="00341240" w:rsidRDefault="00341240" w:rsidP="00341240">
      <w:pPr>
        <w:spacing w:before="60" w:after="0" w:line="240" w:lineRule="auto"/>
        <w:ind w:left="720"/>
        <w:contextualSpacing/>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-используются для сделок купли-продажи с центральным контрагентом, заключенных на основании заявок (адресных или безадресных) с исполнением в Т+0 (корпоративные, региональные и муниципальные облигации), а также для первых частей сделок РЕПО, заключенных на основании адерсных заявок с исполнением в Т+0.</w:t>
      </w:r>
    </w:p>
    <w:p w:rsidR="00341240" w:rsidRPr="00341240" w:rsidRDefault="00341240" w:rsidP="00AB0ACF">
      <w:pPr>
        <w:numPr>
          <w:ilvl w:val="0"/>
          <w:numId w:val="60"/>
        </w:numPr>
        <w:tabs>
          <w:tab w:val="num" w:pos="426"/>
        </w:tabs>
        <w:spacing w:before="60" w:after="0" w:line="240" w:lineRule="auto"/>
        <w:contextualSpacing/>
        <w:jc w:val="both"/>
        <w:rPr>
          <w:rFonts w:ascii="Times New Roman" w:eastAsia="Times New Roman" w:hAnsi="Times New Roman" w:cs="Times New Roman"/>
          <w:b/>
          <w:bCs/>
          <w:i/>
          <w:noProof/>
          <w:sz w:val="24"/>
          <w:szCs w:val="24"/>
          <w:lang w:eastAsia="ru-RU"/>
        </w:rPr>
      </w:pPr>
      <w:r w:rsidRPr="00341240">
        <w:rPr>
          <w:rFonts w:ascii="Times New Roman" w:eastAsia="Times New Roman" w:hAnsi="Times New Roman" w:cs="Times New Roman"/>
          <w:b/>
          <w:bCs/>
          <w:i/>
          <w:noProof/>
          <w:sz w:val="24"/>
          <w:szCs w:val="24"/>
          <w:lang w:eastAsia="ru-RU"/>
        </w:rPr>
        <w:t>без предварительного обеспечения.</w:t>
      </w:r>
    </w:p>
    <w:p w:rsidR="00341240" w:rsidRPr="00341240" w:rsidRDefault="00341240" w:rsidP="00341240">
      <w:pPr>
        <w:spacing w:before="60" w:after="0" w:line="240" w:lineRule="auto"/>
        <w:ind w:left="720"/>
        <w:contextualSpacing/>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-используется для сделок РЕПО и купли-продажи без центрального контрагента, заключенных на основании адерсных заявок, с исполнением сделок купли-продажи: от Т+0 до Т+30, сделок РЕПО: первая часть от Т+0 до Т+2, вторая часть – от Т+0 до Т+365.</w:t>
      </w:r>
    </w:p>
    <w:p w:rsidR="00341240" w:rsidRPr="00341240" w:rsidRDefault="00341240" w:rsidP="00341240">
      <w:pPr>
        <w:widowControl w:val="0"/>
        <w:tabs>
          <w:tab w:val="right" w:pos="9356"/>
        </w:tabs>
        <w:overflowPunct w:val="0"/>
        <w:autoSpaceDE w:val="0"/>
        <w:autoSpaceDN w:val="0"/>
        <w:adjustRightInd w:val="0"/>
        <w:spacing w:after="0" w:line="240" w:lineRule="auto"/>
        <w:ind w:left="284"/>
        <w:contextualSpacing/>
        <w:jc w:val="both"/>
        <w:textAlignment w:val="baseline"/>
        <w:rPr>
          <w:rFonts w:ascii="Times New Roman" w:eastAsia="Calibri" w:hAnsi="Times New Roman" w:cs="Times New Roman"/>
          <w:noProof/>
          <w:sz w:val="24"/>
          <w:szCs w:val="24"/>
          <w:lang w:eastAsia="ru-RU"/>
        </w:rPr>
      </w:pP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r w:rsidRPr="00341240">
        <w:rPr>
          <w:rFonts w:ascii="Times New Roman" w:eastAsia="Calibri" w:hAnsi="Times New Roman" w:cs="Arial"/>
          <w:noProof/>
          <w:sz w:val="24"/>
          <w:szCs w:val="24"/>
          <w:lang w:eastAsia="ru-RU"/>
        </w:rPr>
        <w:t>В качестве способов обеспечения исполнения обязательств, допущенных к клирингу, НКЦ использует индивидуальное клиринговое обеспечение участников клиринга в российских рублях, иностранной валюте и ценных бумагах, а для клиринга с частичным обеспечением также коллективное клиринговое обеспечение (гарантийный фонд).</w:t>
      </w:r>
    </w:p>
    <w:p w:rsidR="00341240" w:rsidRPr="00341240" w:rsidRDefault="00341240" w:rsidP="00341240">
      <w:pPr>
        <w:tabs>
          <w:tab w:val="right" w:pos="9356"/>
        </w:tabs>
        <w:autoSpaceDE w:val="0"/>
        <w:autoSpaceDN w:val="0"/>
        <w:spacing w:after="0" w:line="240" w:lineRule="auto"/>
        <w:ind w:firstLine="709"/>
        <w:jc w:val="both"/>
        <w:rPr>
          <w:rFonts w:ascii="Helvetica" w:eastAsia="Calibri" w:hAnsi="Helvetica" w:cs="Helvetica"/>
          <w:noProof/>
          <w:sz w:val="18"/>
          <w:szCs w:val="18"/>
          <w:lang w:eastAsia="ru-RU"/>
        </w:rPr>
      </w:pPr>
      <w:r w:rsidRPr="00341240">
        <w:rPr>
          <w:rFonts w:ascii="Times New Roman" w:eastAsia="Calibri" w:hAnsi="Times New Roman" w:cs="Arial"/>
          <w:noProof/>
          <w:sz w:val="24"/>
          <w:szCs w:val="24"/>
          <w:lang w:eastAsia="ru-RU"/>
        </w:rPr>
        <w:t xml:space="preserve">Банк осуществляет клиринг, </w:t>
      </w:r>
      <w:r w:rsidRPr="00341240">
        <w:rPr>
          <w:rFonts w:ascii="Times New Roman" w:eastAsia="Calibri" w:hAnsi="Times New Roman" w:cs="Arial"/>
          <w:b/>
          <w:i/>
          <w:noProof/>
          <w:sz w:val="24"/>
          <w:szCs w:val="24"/>
          <w:lang w:eastAsia="ru-RU"/>
        </w:rPr>
        <w:t>выполняя функции центрального контрагента,</w:t>
      </w:r>
      <w:r w:rsidRPr="00341240">
        <w:rPr>
          <w:rFonts w:ascii="Times New Roman" w:eastAsia="Calibri" w:hAnsi="Times New Roman" w:cs="Arial"/>
          <w:noProof/>
          <w:sz w:val="24"/>
          <w:szCs w:val="24"/>
          <w:lang w:eastAsia="ru-RU"/>
        </w:rPr>
        <w:t xml:space="preserve"> по следующим сделкам, заключенным на условиях полного или частичного обеспечения:</w:t>
      </w:r>
    </w:p>
    <w:p w:rsidR="00341240" w:rsidRPr="00341240" w:rsidRDefault="00341240" w:rsidP="00AB0ACF">
      <w:pPr>
        <w:numPr>
          <w:ilvl w:val="0"/>
          <w:numId w:val="61"/>
        </w:numPr>
        <w:spacing w:before="60" w:after="0" w:line="240" w:lineRule="auto"/>
        <w:contextualSpacing/>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сделкам купли-продажи с кодами расчетов Yn, Т0 (за исключением сделок размещения и выкупа), K0;</w:t>
      </w:r>
    </w:p>
    <w:p w:rsidR="00341240" w:rsidRPr="00341240" w:rsidRDefault="00341240" w:rsidP="00AB0ACF">
      <w:pPr>
        <w:numPr>
          <w:ilvl w:val="0"/>
          <w:numId w:val="61"/>
        </w:numPr>
        <w:spacing w:before="60" w:after="0" w:line="240" w:lineRule="auto"/>
        <w:contextualSpacing/>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сделкам РЕПО с кодами расчетов T0/Yn, Y</w:t>
      </w:r>
      <w:r w:rsidRPr="00341240">
        <w:rPr>
          <w:rFonts w:ascii="Times New Roman" w:eastAsia="Times New Roman" w:hAnsi="Times New Roman" w:cs="Times New Roman"/>
          <w:bCs/>
          <w:noProof/>
          <w:sz w:val="24"/>
          <w:szCs w:val="24"/>
          <w:lang w:val="en-US" w:eastAsia="ru-RU"/>
        </w:rPr>
        <w:t>m</w:t>
      </w:r>
      <w:r w:rsidRPr="00341240">
        <w:rPr>
          <w:rFonts w:ascii="Times New Roman" w:eastAsia="Times New Roman" w:hAnsi="Times New Roman" w:cs="Times New Roman"/>
          <w:bCs/>
          <w:noProof/>
          <w:sz w:val="24"/>
          <w:szCs w:val="24"/>
          <w:lang w:eastAsia="ru-RU"/>
        </w:rPr>
        <w:t>/Yn.</w:t>
      </w:r>
    </w:p>
    <w:p w:rsidR="00341240" w:rsidRPr="00341240" w:rsidRDefault="00341240" w:rsidP="00341240">
      <w:pPr>
        <w:tabs>
          <w:tab w:val="right" w:pos="9356"/>
        </w:tabs>
        <w:autoSpaceDE w:val="0"/>
        <w:autoSpaceDN w:val="0"/>
        <w:spacing w:after="0" w:line="360" w:lineRule="auto"/>
        <w:ind w:left="360"/>
        <w:jc w:val="both"/>
        <w:rPr>
          <w:rFonts w:ascii="Times New Roman" w:eastAsia="Calibri" w:hAnsi="Times New Roman" w:cs="Arial"/>
          <w:noProof/>
          <w:sz w:val="24"/>
          <w:szCs w:val="24"/>
          <w:lang w:eastAsia="ru-RU"/>
        </w:rPr>
      </w:pP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r w:rsidRPr="00341240">
        <w:rPr>
          <w:rFonts w:ascii="Times New Roman" w:eastAsia="Calibri" w:hAnsi="Times New Roman" w:cs="Arial"/>
          <w:noProof/>
          <w:sz w:val="24"/>
          <w:szCs w:val="24"/>
          <w:lang w:eastAsia="ru-RU"/>
        </w:rPr>
        <w:t xml:space="preserve">НКЦ осуществляет клиринг </w:t>
      </w:r>
      <w:r w:rsidRPr="00341240">
        <w:rPr>
          <w:rFonts w:ascii="Times New Roman" w:eastAsia="Calibri" w:hAnsi="Times New Roman" w:cs="Arial"/>
          <w:b/>
          <w:i/>
          <w:noProof/>
          <w:sz w:val="24"/>
          <w:szCs w:val="24"/>
          <w:lang w:eastAsia="ru-RU"/>
        </w:rPr>
        <w:t>без выполнения функций центрального контрагента</w:t>
      </w:r>
      <w:r w:rsidRPr="00341240">
        <w:rPr>
          <w:rFonts w:ascii="Times New Roman" w:eastAsia="Calibri" w:hAnsi="Times New Roman" w:cs="Arial"/>
          <w:noProof/>
          <w:sz w:val="24"/>
          <w:szCs w:val="24"/>
          <w:lang w:eastAsia="ru-RU"/>
        </w:rPr>
        <w:t xml:space="preserve"> по следующим сделкам:</w:t>
      </w:r>
    </w:p>
    <w:p w:rsidR="00341240" w:rsidRPr="00341240" w:rsidRDefault="00341240" w:rsidP="00AB0ACF">
      <w:pPr>
        <w:numPr>
          <w:ilvl w:val="0"/>
          <w:numId w:val="62"/>
        </w:numPr>
        <w:spacing w:before="60" w:after="0" w:line="240" w:lineRule="auto"/>
        <w:contextualSpacing/>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сделкам купли-продажи с кодами расчетов В0-В30, Z0;</w:t>
      </w:r>
    </w:p>
    <w:p w:rsidR="00341240" w:rsidRPr="00341240" w:rsidRDefault="00341240" w:rsidP="00AB0ACF">
      <w:pPr>
        <w:numPr>
          <w:ilvl w:val="0"/>
          <w:numId w:val="62"/>
        </w:numPr>
        <w:spacing w:before="60" w:after="0" w:line="240" w:lineRule="auto"/>
        <w:contextualSpacing/>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сделкам РЕПО с кодами расчетов Rb, S0-S2, Z0;</w:t>
      </w:r>
    </w:p>
    <w:p w:rsidR="00341240" w:rsidRPr="00341240" w:rsidRDefault="00341240" w:rsidP="00AB0ACF">
      <w:pPr>
        <w:numPr>
          <w:ilvl w:val="0"/>
          <w:numId w:val="62"/>
        </w:numPr>
        <w:spacing w:before="60" w:after="0" w:line="240" w:lineRule="auto"/>
        <w:contextualSpacing/>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сделкам размещения и выкупа с кодом расчетов Т0;</w:t>
      </w:r>
    </w:p>
    <w:p w:rsidR="00341240" w:rsidRPr="00341240" w:rsidRDefault="00341240" w:rsidP="00AB0ACF">
      <w:pPr>
        <w:numPr>
          <w:ilvl w:val="0"/>
          <w:numId w:val="62"/>
        </w:numPr>
        <w:spacing w:before="60" w:after="0" w:line="240" w:lineRule="auto"/>
        <w:contextualSpacing/>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сделкам размещения акций с кодом расчетов Х0.</w:t>
      </w: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r w:rsidRPr="00341240">
        <w:rPr>
          <w:rFonts w:ascii="Times New Roman" w:eastAsia="Calibri" w:hAnsi="Times New Roman" w:cs="Arial"/>
          <w:noProof/>
          <w:sz w:val="24"/>
          <w:szCs w:val="24"/>
          <w:lang w:eastAsia="ru-RU"/>
        </w:rPr>
        <w:t>Сделки на фондовом рынке могут заключаться на основании безадресных (в «стакане») или адресных заявок. На основании безадресных заявок сделки могут заключаться только на условиях полного или частичного обеспечения.</w:t>
      </w:r>
    </w:p>
    <w:p w:rsidR="00341240" w:rsidRPr="00341240" w:rsidRDefault="00341240" w:rsidP="00341240">
      <w:pPr>
        <w:spacing w:before="60" w:after="0" w:line="240" w:lineRule="auto"/>
        <w:jc w:val="both"/>
        <w:rPr>
          <w:rFonts w:ascii="Times New Roman" w:eastAsia="Times New Roman" w:hAnsi="Times New Roman" w:cs="Arial"/>
          <w:noProof/>
          <w:sz w:val="24"/>
          <w:szCs w:val="20"/>
          <w:lang w:eastAsia="ru-RU"/>
        </w:rPr>
      </w:pP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r w:rsidRPr="00341240">
        <w:rPr>
          <w:rFonts w:ascii="Times New Roman" w:eastAsia="Calibri" w:hAnsi="Times New Roman" w:cs="Arial"/>
          <w:noProof/>
          <w:sz w:val="24"/>
          <w:szCs w:val="24"/>
          <w:lang w:eastAsia="ru-RU"/>
        </w:rPr>
        <w:t>Расчеты по результатам клиринга, осуществляемого НКЦ, проводятся как в ходе торгов, так и по их итогам торгов и могут производиться:</w:t>
      </w:r>
    </w:p>
    <w:p w:rsidR="00341240" w:rsidRPr="00341240" w:rsidRDefault="00341240" w:rsidP="00AB0ACF">
      <w:pPr>
        <w:numPr>
          <w:ilvl w:val="0"/>
          <w:numId w:val="63"/>
        </w:numPr>
        <w:spacing w:before="60" w:after="0" w:line="240" w:lineRule="auto"/>
        <w:contextualSpacing/>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 xml:space="preserve">за счет участников клиринга; </w:t>
      </w:r>
    </w:p>
    <w:p w:rsidR="00341240" w:rsidRPr="00341240" w:rsidRDefault="00341240" w:rsidP="00AB0ACF">
      <w:pPr>
        <w:numPr>
          <w:ilvl w:val="0"/>
          <w:numId w:val="63"/>
        </w:numPr>
        <w:spacing w:before="60" w:after="0" w:line="240" w:lineRule="auto"/>
        <w:contextualSpacing/>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за счет клиентов участников клиринга;</w:t>
      </w:r>
    </w:p>
    <w:p w:rsidR="00341240" w:rsidRPr="00341240" w:rsidRDefault="00341240" w:rsidP="00AB0ACF">
      <w:pPr>
        <w:numPr>
          <w:ilvl w:val="0"/>
          <w:numId w:val="63"/>
        </w:numPr>
        <w:spacing w:before="60" w:after="0" w:line="240" w:lineRule="auto"/>
        <w:contextualSpacing/>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 xml:space="preserve">за счет средств, находящихся в доверительном управлении у участников клиринга. </w:t>
      </w: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r w:rsidRPr="00341240">
        <w:rPr>
          <w:rFonts w:ascii="Times New Roman" w:eastAsia="Calibri" w:hAnsi="Times New Roman" w:cs="Arial"/>
          <w:noProof/>
          <w:sz w:val="24"/>
          <w:szCs w:val="24"/>
          <w:lang w:eastAsia="ru-RU"/>
        </w:rPr>
        <w:t xml:space="preserve">Внедрение надежных и эффективных технологий клирингового обслуживания, привлекательных для инвесторов инструментов  положительно отразилось на результатах деятельности Банка на этом сегменте рынка. В частности, комиссионное вознаграждение, полученное НКЦ за клиринговое обслуживание на фондово рынке за 2015 год составило </w:t>
      </w:r>
      <w:r w:rsidRPr="00341240">
        <w:rPr>
          <w:rFonts w:ascii="Times New Roman" w:eastAsia="Calibri" w:hAnsi="Times New Roman" w:cs="Arial"/>
          <w:bCs/>
          <w:noProof/>
          <w:sz w:val="24"/>
          <w:szCs w:val="24"/>
          <w:lang w:eastAsia="ru-RU"/>
        </w:rPr>
        <w:t>4 075 925</w:t>
      </w:r>
      <w:r w:rsidRPr="00341240">
        <w:rPr>
          <w:rFonts w:ascii="Times New Roman" w:eastAsia="Calibri" w:hAnsi="Times New Roman" w:cs="Arial"/>
          <w:noProof/>
          <w:sz w:val="24"/>
          <w:szCs w:val="24"/>
          <w:lang w:eastAsia="ru-RU"/>
        </w:rPr>
        <w:t xml:space="preserve"> тыс. руб., что в 1.32 раза превосходит аналогичный, показатель за 2014 год  - 3 090 270 тыс. руб.</w:t>
      </w: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p>
    <w:p w:rsidR="00341240" w:rsidRPr="00341240" w:rsidRDefault="00341240" w:rsidP="00341240">
      <w:pPr>
        <w:widowControl w:val="0"/>
        <w:tabs>
          <w:tab w:val="left" w:pos="8820"/>
        </w:tabs>
        <w:overflowPunct w:val="0"/>
        <w:autoSpaceDE w:val="0"/>
        <w:autoSpaceDN w:val="0"/>
        <w:adjustRightInd w:val="0"/>
        <w:spacing w:after="0" w:line="240" w:lineRule="auto"/>
        <w:ind w:right="76"/>
        <w:jc w:val="both"/>
        <w:textAlignment w:val="baseline"/>
        <w:rPr>
          <w:rFonts w:ascii="Times New Roman" w:eastAsia="Times New Roman" w:hAnsi="Times New Roman" w:cs="Times New Roman"/>
          <w:b/>
          <w:sz w:val="28"/>
          <w:szCs w:val="28"/>
          <w:lang w:eastAsia="ru-RU"/>
        </w:rPr>
      </w:pPr>
    </w:p>
    <w:p w:rsidR="00341240" w:rsidRPr="00341240" w:rsidRDefault="00341240" w:rsidP="00341240">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sz w:val="28"/>
          <w:szCs w:val="28"/>
          <w:lang w:eastAsia="ru-RU"/>
        </w:rPr>
      </w:pPr>
      <w:r w:rsidRPr="00341240">
        <w:rPr>
          <w:rFonts w:ascii="Times New Roman" w:eastAsia="Times New Roman" w:hAnsi="Times New Roman" w:cs="Times New Roman"/>
          <w:b/>
          <w:sz w:val="28"/>
          <w:szCs w:val="28"/>
          <w:lang w:eastAsia="ru-RU"/>
        </w:rPr>
        <w:t>5.3. Клиринговая деятельность на срочном рынке</w:t>
      </w: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r w:rsidRPr="00341240">
        <w:rPr>
          <w:rFonts w:ascii="Times New Roman" w:eastAsia="Calibri" w:hAnsi="Times New Roman" w:cs="Arial"/>
          <w:noProof/>
          <w:sz w:val="24"/>
          <w:szCs w:val="24"/>
          <w:lang w:eastAsia="ru-RU"/>
        </w:rPr>
        <w:t xml:space="preserve">В настоящее время Московская Биржа является ведущей биржей по торговле производными финансовыми инструментами в странах СНГ и Восточной Европы и входит в ТОП-10 мировых деривативных бирж. </w:t>
      </w:r>
    </w:p>
    <w:p w:rsidR="00341240" w:rsidRPr="00341240" w:rsidRDefault="00341240" w:rsidP="00341240">
      <w:pPr>
        <w:tabs>
          <w:tab w:val="right" w:pos="9356"/>
        </w:tabs>
        <w:autoSpaceDE w:val="0"/>
        <w:autoSpaceDN w:val="0"/>
        <w:spacing w:after="0" w:line="240" w:lineRule="auto"/>
        <w:jc w:val="both"/>
        <w:rPr>
          <w:rFonts w:ascii="Times New Roman" w:eastAsia="Calibri" w:hAnsi="Times New Roman" w:cs="Arial"/>
          <w:noProof/>
          <w:sz w:val="24"/>
          <w:szCs w:val="24"/>
          <w:lang w:eastAsia="ru-RU"/>
        </w:rPr>
      </w:pPr>
      <w:r w:rsidRPr="00341240">
        <w:rPr>
          <w:rFonts w:ascii="Times New Roman" w:eastAsia="Calibri" w:hAnsi="Times New Roman" w:cs="Arial"/>
          <w:noProof/>
          <w:sz w:val="24"/>
          <w:szCs w:val="24"/>
          <w:lang w:eastAsia="ru-RU"/>
        </w:rPr>
        <w:t xml:space="preserve"> НКЦ осуществляеь клиринг на срочном рынке с 2015 года по широкому набору производных финансовых инструментов: фьючерсам, базовыми активами которых являются индексы, акции, валютные пары, процентные ставки, товары, а также по опционам на указанные фьючерсы. В настоящее время перечень производных финансовых инструментов на срочном рынке представлен 93 срочными контрактами, из них - 62 фьючерса и 31 опциона на фьючерсы.</w:t>
      </w: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r w:rsidRPr="00341240">
        <w:rPr>
          <w:rFonts w:ascii="Times New Roman" w:eastAsia="Calibri" w:hAnsi="Times New Roman" w:cs="Arial"/>
          <w:noProof/>
          <w:sz w:val="24"/>
          <w:szCs w:val="24"/>
          <w:lang w:eastAsia="ru-RU"/>
        </w:rPr>
        <w:t>Перевод клиринга по срочному рынку Московской Биржи в НКЦ и его последующая интеграция с фондовым и валютным рынками Группы позволили обеспечить:</w:t>
      </w:r>
    </w:p>
    <w:p w:rsidR="00341240" w:rsidRPr="00341240" w:rsidRDefault="00341240" w:rsidP="00AB0ACF">
      <w:pPr>
        <w:numPr>
          <w:ilvl w:val="0"/>
          <w:numId w:val="64"/>
        </w:numPr>
        <w:spacing w:before="60" w:after="0" w:line="240" w:lineRule="auto"/>
        <w:contextualSpacing/>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рост объемов торгов за счет увеличения лимитов на клиринговую организацию и центрального контрагента, а также за счет предоставления участникам клиринга эффективных, унифицированных клиринговых услуг на основании единого договора об оказании клиринговых услуг;</w:t>
      </w:r>
    </w:p>
    <w:p w:rsidR="00341240" w:rsidRPr="00341240" w:rsidRDefault="00341240" w:rsidP="00AB0ACF">
      <w:pPr>
        <w:numPr>
          <w:ilvl w:val="0"/>
          <w:numId w:val="64"/>
        </w:numPr>
        <w:spacing w:before="60" w:after="0" w:line="240" w:lineRule="auto"/>
        <w:contextualSpacing/>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развитие технологий, направленных на интеграцию на базе НКЦ клиринга по валютному, фондовому и срочному рынкам Группы «Московская Биржа», что, в частности, позволило за счет интеграции валютного и срочного рынка предоставить участникам клиринга возможность внесения в качестве индивидуального клирингового обеспечения иностранной валюты (долларов США, евро) без ограничений.</w:t>
      </w: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r w:rsidRPr="00341240">
        <w:rPr>
          <w:rFonts w:ascii="Times New Roman" w:eastAsia="Calibri" w:hAnsi="Times New Roman" w:cs="Arial"/>
          <w:noProof/>
          <w:sz w:val="24"/>
          <w:szCs w:val="24"/>
          <w:lang w:eastAsia="ru-RU"/>
        </w:rPr>
        <w:t>Базовыми активами производных финансовых инструментов, торги которыми осуществляются на Московской Бирже,  являются индексы, валютные пары, акции российских и иностранных эмитентов, процентные ставки, товары:</w:t>
      </w: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p>
    <w:tbl>
      <w:tblPr>
        <w:tblW w:w="9500" w:type="dxa"/>
        <w:tblInd w:w="4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600" w:firstRow="0" w:lastRow="0" w:firstColumn="0" w:lastColumn="0" w:noHBand="1" w:noVBand="1"/>
      </w:tblPr>
      <w:tblGrid>
        <w:gridCol w:w="2838"/>
        <w:gridCol w:w="3969"/>
        <w:gridCol w:w="2693"/>
      </w:tblGrid>
      <w:tr w:rsidR="00341240" w:rsidRPr="00341240" w:rsidTr="00411971">
        <w:trPr>
          <w:trHeight w:val="491"/>
        </w:trPr>
        <w:tc>
          <w:tcPr>
            <w:tcW w:w="2838" w:type="dxa"/>
            <w:shd w:val="clear" w:color="auto" w:fill="auto"/>
            <w:tcMar>
              <w:top w:w="72" w:type="dxa"/>
              <w:left w:w="144" w:type="dxa"/>
              <w:bottom w:w="72" w:type="dxa"/>
              <w:right w:w="144" w:type="dxa"/>
            </w:tcMar>
            <w:hideMark/>
          </w:tcPr>
          <w:p w:rsidR="00341240" w:rsidRPr="00341240" w:rsidRDefault="00341240" w:rsidP="00341240">
            <w:pPr>
              <w:tabs>
                <w:tab w:val="right" w:pos="9356"/>
              </w:tabs>
              <w:autoSpaceDE w:val="0"/>
              <w:autoSpaceDN w:val="0"/>
              <w:spacing w:after="0" w:line="240" w:lineRule="auto"/>
              <w:jc w:val="both"/>
              <w:rPr>
                <w:rFonts w:ascii="Times New Roman" w:eastAsia="Calibri" w:hAnsi="Times New Roman" w:cs="Arial"/>
                <w:b/>
                <w:noProof/>
                <w:sz w:val="28"/>
                <w:szCs w:val="28"/>
                <w:lang w:eastAsia="ru-RU"/>
              </w:rPr>
            </w:pPr>
            <w:r w:rsidRPr="00341240">
              <w:rPr>
                <w:rFonts w:ascii="Times New Roman" w:eastAsia="Calibri" w:hAnsi="Times New Roman" w:cs="Arial"/>
                <w:b/>
                <w:noProof/>
                <w:sz w:val="28"/>
                <w:szCs w:val="28"/>
                <w:lang w:eastAsia="ru-RU"/>
              </w:rPr>
              <w:t>Фондовый сегмент</w:t>
            </w:r>
          </w:p>
        </w:tc>
        <w:tc>
          <w:tcPr>
            <w:tcW w:w="3969" w:type="dxa"/>
            <w:shd w:val="clear" w:color="auto" w:fill="auto"/>
            <w:tcMar>
              <w:top w:w="72" w:type="dxa"/>
              <w:left w:w="144" w:type="dxa"/>
              <w:bottom w:w="72" w:type="dxa"/>
              <w:right w:w="144" w:type="dxa"/>
            </w:tcMar>
            <w:hideMark/>
          </w:tcPr>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b/>
                <w:noProof/>
                <w:sz w:val="28"/>
                <w:szCs w:val="28"/>
                <w:lang w:eastAsia="ru-RU"/>
              </w:rPr>
            </w:pPr>
            <w:r w:rsidRPr="00341240">
              <w:rPr>
                <w:rFonts w:ascii="Times New Roman" w:eastAsia="Calibri" w:hAnsi="Times New Roman" w:cs="Arial"/>
                <w:b/>
                <w:noProof/>
                <w:sz w:val="28"/>
                <w:szCs w:val="28"/>
                <w:lang w:eastAsia="ru-RU"/>
              </w:rPr>
              <w:t>Денежный сегмент</w:t>
            </w:r>
          </w:p>
        </w:tc>
        <w:tc>
          <w:tcPr>
            <w:tcW w:w="2693" w:type="dxa"/>
            <w:shd w:val="clear" w:color="auto" w:fill="auto"/>
            <w:tcMar>
              <w:top w:w="72" w:type="dxa"/>
              <w:left w:w="144" w:type="dxa"/>
              <w:bottom w:w="72" w:type="dxa"/>
              <w:right w:w="144" w:type="dxa"/>
            </w:tcMar>
            <w:hideMark/>
          </w:tcPr>
          <w:p w:rsidR="00341240" w:rsidRPr="00341240" w:rsidRDefault="00341240" w:rsidP="00341240">
            <w:pPr>
              <w:tabs>
                <w:tab w:val="right" w:pos="9356"/>
              </w:tabs>
              <w:autoSpaceDE w:val="0"/>
              <w:autoSpaceDN w:val="0"/>
              <w:spacing w:after="0" w:line="240" w:lineRule="auto"/>
              <w:ind w:hanging="5"/>
              <w:jc w:val="both"/>
              <w:rPr>
                <w:rFonts w:ascii="Times New Roman" w:eastAsia="Calibri" w:hAnsi="Times New Roman" w:cs="Arial"/>
                <w:b/>
                <w:noProof/>
                <w:sz w:val="28"/>
                <w:szCs w:val="28"/>
                <w:lang w:eastAsia="ru-RU"/>
              </w:rPr>
            </w:pPr>
            <w:r w:rsidRPr="00341240">
              <w:rPr>
                <w:rFonts w:ascii="Times New Roman" w:eastAsia="Calibri" w:hAnsi="Times New Roman" w:cs="Arial"/>
                <w:b/>
                <w:noProof/>
                <w:sz w:val="28"/>
                <w:szCs w:val="28"/>
                <w:lang w:eastAsia="ru-RU"/>
              </w:rPr>
              <w:t>Товарный сегмент</w:t>
            </w:r>
          </w:p>
        </w:tc>
      </w:tr>
      <w:tr w:rsidR="00341240" w:rsidRPr="00341240" w:rsidTr="00411971">
        <w:trPr>
          <w:trHeight w:val="577"/>
        </w:trPr>
        <w:tc>
          <w:tcPr>
            <w:tcW w:w="2838" w:type="dxa"/>
            <w:shd w:val="clear" w:color="auto" w:fill="auto"/>
            <w:tcMar>
              <w:top w:w="72" w:type="dxa"/>
              <w:left w:w="144" w:type="dxa"/>
              <w:bottom w:w="72" w:type="dxa"/>
              <w:right w:w="144" w:type="dxa"/>
            </w:tcMar>
            <w:hideMark/>
          </w:tcPr>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r w:rsidRPr="00341240">
              <w:rPr>
                <w:rFonts w:ascii="Times New Roman" w:eastAsia="Calibri" w:hAnsi="Times New Roman" w:cs="Arial"/>
                <w:b/>
                <w:noProof/>
                <w:sz w:val="24"/>
                <w:szCs w:val="24"/>
                <w:lang w:eastAsia="ru-RU"/>
              </w:rPr>
              <w:t>Фьючерсы</w:t>
            </w:r>
            <w:r w:rsidRPr="00341240">
              <w:rPr>
                <w:rFonts w:ascii="Times New Roman" w:eastAsia="Calibri" w:hAnsi="Times New Roman" w:cs="Arial"/>
                <w:noProof/>
                <w:sz w:val="24"/>
                <w:szCs w:val="24"/>
                <w:lang w:eastAsia="ru-RU"/>
              </w:rPr>
              <w:t xml:space="preserve"> на:</w:t>
            </w:r>
          </w:p>
          <w:p w:rsidR="00341240" w:rsidRPr="00341240" w:rsidRDefault="00341240" w:rsidP="00341240">
            <w:pPr>
              <w:tabs>
                <w:tab w:val="num" w:pos="426"/>
              </w:tabs>
              <w:spacing w:before="60" w:after="0" w:line="240" w:lineRule="auto"/>
              <w:ind w:left="426" w:hanging="426"/>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Индексы РТС, ММВБ, Индекс голубых фишек наиболее ликвидные акции российских* и иностранных эмитентов</w:t>
            </w:r>
          </w:p>
          <w:p w:rsidR="00341240" w:rsidRPr="00341240" w:rsidRDefault="00341240" w:rsidP="00341240">
            <w:pPr>
              <w:tabs>
                <w:tab w:val="num" w:pos="426"/>
              </w:tabs>
              <w:spacing w:before="60" w:after="0" w:line="240" w:lineRule="auto"/>
              <w:ind w:left="426" w:hanging="426"/>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волатильность российского рынка (</w:t>
            </w:r>
            <w:r w:rsidRPr="00341240">
              <w:rPr>
                <w:rFonts w:ascii="Times New Roman" w:eastAsia="Times New Roman" w:hAnsi="Times New Roman" w:cs="Times New Roman"/>
                <w:bCs/>
                <w:noProof/>
                <w:sz w:val="24"/>
                <w:szCs w:val="24"/>
                <w:lang w:val="en-US" w:eastAsia="ru-RU"/>
              </w:rPr>
              <w:t>RVI</w:t>
            </w:r>
            <w:r w:rsidRPr="00341240">
              <w:rPr>
                <w:rFonts w:ascii="Times New Roman" w:eastAsia="Times New Roman" w:hAnsi="Times New Roman" w:cs="Times New Roman"/>
                <w:bCs/>
                <w:noProof/>
                <w:sz w:val="24"/>
                <w:szCs w:val="24"/>
                <w:lang w:eastAsia="ru-RU"/>
              </w:rPr>
              <w:t>)</w:t>
            </w:r>
          </w:p>
          <w:p w:rsidR="00341240" w:rsidRPr="00341240" w:rsidRDefault="00341240" w:rsidP="00341240">
            <w:pPr>
              <w:tabs>
                <w:tab w:val="num" w:pos="426"/>
              </w:tabs>
              <w:spacing w:before="60" w:after="0" w:line="240" w:lineRule="auto"/>
              <w:ind w:left="426" w:hanging="426"/>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 xml:space="preserve">Индексы стран </w:t>
            </w:r>
            <w:r w:rsidRPr="00341240">
              <w:rPr>
                <w:rFonts w:ascii="Times New Roman" w:eastAsia="Times New Roman" w:hAnsi="Times New Roman" w:cs="Times New Roman"/>
                <w:bCs/>
                <w:noProof/>
                <w:sz w:val="24"/>
                <w:szCs w:val="24"/>
                <w:lang w:val="en-US" w:eastAsia="ru-RU"/>
              </w:rPr>
              <w:t>BRICS</w:t>
            </w: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r w:rsidRPr="00341240">
              <w:rPr>
                <w:rFonts w:ascii="Times New Roman" w:eastAsia="Calibri" w:hAnsi="Times New Roman" w:cs="Arial"/>
                <w:b/>
                <w:noProof/>
                <w:sz w:val="24"/>
                <w:szCs w:val="24"/>
                <w:lang w:eastAsia="ru-RU"/>
              </w:rPr>
              <w:t>Опционы на фьючерсы</w:t>
            </w:r>
            <w:r w:rsidRPr="00341240">
              <w:rPr>
                <w:rFonts w:ascii="Times New Roman" w:eastAsia="Calibri" w:hAnsi="Times New Roman" w:cs="Arial"/>
                <w:noProof/>
                <w:sz w:val="24"/>
                <w:szCs w:val="24"/>
                <w:lang w:eastAsia="ru-RU"/>
              </w:rPr>
              <w:t xml:space="preserve"> на:</w:t>
            </w:r>
          </w:p>
          <w:p w:rsidR="00341240" w:rsidRPr="00341240" w:rsidRDefault="00341240" w:rsidP="00341240">
            <w:pPr>
              <w:tabs>
                <w:tab w:val="num" w:pos="426"/>
              </w:tabs>
              <w:spacing w:before="60" w:after="0" w:line="240" w:lineRule="auto"/>
              <w:ind w:left="426" w:hanging="426"/>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наиболее ликвидные акции российских эмитентов</w:t>
            </w:r>
          </w:p>
          <w:p w:rsidR="00341240" w:rsidRPr="00341240" w:rsidRDefault="00341240" w:rsidP="00341240">
            <w:pPr>
              <w:tabs>
                <w:tab w:val="num" w:pos="426"/>
              </w:tabs>
              <w:spacing w:before="60" w:after="0" w:line="240" w:lineRule="auto"/>
              <w:ind w:left="426" w:hanging="426"/>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Индексы РТС и ММВБ</w:t>
            </w:r>
          </w:p>
        </w:tc>
        <w:tc>
          <w:tcPr>
            <w:tcW w:w="3969" w:type="dxa"/>
            <w:shd w:val="clear" w:color="auto" w:fill="auto"/>
            <w:tcMar>
              <w:top w:w="72" w:type="dxa"/>
              <w:left w:w="144" w:type="dxa"/>
              <w:bottom w:w="72" w:type="dxa"/>
              <w:right w:w="144" w:type="dxa"/>
            </w:tcMar>
            <w:hideMark/>
          </w:tcPr>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r w:rsidRPr="00341240">
              <w:rPr>
                <w:rFonts w:ascii="Times New Roman" w:eastAsia="Calibri" w:hAnsi="Times New Roman" w:cs="Arial"/>
                <w:b/>
                <w:noProof/>
                <w:sz w:val="24"/>
                <w:szCs w:val="24"/>
                <w:lang w:eastAsia="ru-RU"/>
              </w:rPr>
              <w:t xml:space="preserve">Фьючерсы </w:t>
            </w:r>
            <w:r w:rsidRPr="00341240">
              <w:rPr>
                <w:rFonts w:ascii="Times New Roman" w:eastAsia="Calibri" w:hAnsi="Times New Roman" w:cs="Arial"/>
                <w:noProof/>
                <w:sz w:val="24"/>
                <w:szCs w:val="24"/>
                <w:lang w:eastAsia="ru-RU"/>
              </w:rPr>
              <w:t>на:</w:t>
            </w:r>
          </w:p>
          <w:p w:rsidR="00341240" w:rsidRPr="00341240" w:rsidRDefault="00341240" w:rsidP="00341240">
            <w:pPr>
              <w:tabs>
                <w:tab w:val="num" w:pos="426"/>
              </w:tabs>
              <w:spacing w:before="60" w:after="0" w:line="240" w:lineRule="auto"/>
              <w:ind w:left="426" w:hanging="426"/>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 xml:space="preserve">валютные пары: </w:t>
            </w:r>
            <w:r w:rsidRPr="00341240">
              <w:rPr>
                <w:rFonts w:ascii="Times New Roman" w:eastAsia="Times New Roman" w:hAnsi="Times New Roman" w:cs="Times New Roman"/>
                <w:bCs/>
                <w:noProof/>
                <w:sz w:val="24"/>
                <w:szCs w:val="24"/>
                <w:lang w:val="en-US" w:eastAsia="ru-RU"/>
              </w:rPr>
              <w:t>USD</w:t>
            </w:r>
            <w:r w:rsidRPr="00341240">
              <w:rPr>
                <w:rFonts w:ascii="Times New Roman" w:eastAsia="Times New Roman" w:hAnsi="Times New Roman" w:cs="Times New Roman"/>
                <w:bCs/>
                <w:noProof/>
                <w:sz w:val="24"/>
                <w:szCs w:val="24"/>
                <w:lang w:eastAsia="ru-RU"/>
              </w:rPr>
              <w:t>/</w:t>
            </w:r>
            <w:r w:rsidRPr="00341240">
              <w:rPr>
                <w:rFonts w:ascii="Times New Roman" w:eastAsia="Times New Roman" w:hAnsi="Times New Roman" w:cs="Times New Roman"/>
                <w:bCs/>
                <w:noProof/>
                <w:sz w:val="24"/>
                <w:szCs w:val="24"/>
                <w:lang w:val="en-US" w:eastAsia="ru-RU"/>
              </w:rPr>
              <w:t>RUB</w:t>
            </w:r>
            <w:r w:rsidRPr="00341240">
              <w:rPr>
                <w:rFonts w:ascii="Times New Roman" w:eastAsia="Times New Roman" w:hAnsi="Times New Roman" w:cs="Times New Roman"/>
                <w:bCs/>
                <w:noProof/>
                <w:sz w:val="24"/>
                <w:szCs w:val="24"/>
                <w:lang w:eastAsia="ru-RU"/>
              </w:rPr>
              <w:t xml:space="preserve">, </w:t>
            </w:r>
            <w:r w:rsidRPr="00341240">
              <w:rPr>
                <w:rFonts w:ascii="Times New Roman" w:eastAsia="Times New Roman" w:hAnsi="Times New Roman" w:cs="Times New Roman"/>
                <w:bCs/>
                <w:noProof/>
                <w:sz w:val="24"/>
                <w:szCs w:val="24"/>
                <w:lang w:val="en-US" w:eastAsia="ru-RU"/>
              </w:rPr>
              <w:t>EUR</w:t>
            </w:r>
            <w:r w:rsidRPr="00341240">
              <w:rPr>
                <w:rFonts w:ascii="Times New Roman" w:eastAsia="Times New Roman" w:hAnsi="Times New Roman" w:cs="Times New Roman"/>
                <w:bCs/>
                <w:noProof/>
                <w:sz w:val="24"/>
                <w:szCs w:val="24"/>
                <w:lang w:eastAsia="ru-RU"/>
              </w:rPr>
              <w:t>/</w:t>
            </w:r>
            <w:r w:rsidRPr="00341240">
              <w:rPr>
                <w:rFonts w:ascii="Times New Roman" w:eastAsia="Times New Roman" w:hAnsi="Times New Roman" w:cs="Times New Roman"/>
                <w:bCs/>
                <w:noProof/>
                <w:sz w:val="24"/>
                <w:szCs w:val="24"/>
                <w:lang w:val="en-US" w:eastAsia="ru-RU"/>
              </w:rPr>
              <w:t>RUB</w:t>
            </w:r>
            <w:r w:rsidRPr="00341240">
              <w:rPr>
                <w:rFonts w:ascii="Times New Roman" w:eastAsia="Times New Roman" w:hAnsi="Times New Roman" w:cs="Times New Roman"/>
                <w:bCs/>
                <w:noProof/>
                <w:sz w:val="24"/>
                <w:szCs w:val="24"/>
                <w:lang w:eastAsia="ru-RU"/>
              </w:rPr>
              <w:t xml:space="preserve">, CNY/RUB, </w:t>
            </w:r>
            <w:r w:rsidRPr="00341240">
              <w:rPr>
                <w:rFonts w:ascii="Times New Roman" w:eastAsia="Times New Roman" w:hAnsi="Times New Roman" w:cs="Times New Roman"/>
                <w:bCs/>
                <w:noProof/>
                <w:sz w:val="24"/>
                <w:szCs w:val="24"/>
                <w:lang w:val="en-US" w:eastAsia="ru-RU"/>
              </w:rPr>
              <w:t>EUR</w:t>
            </w:r>
            <w:r w:rsidRPr="00341240">
              <w:rPr>
                <w:rFonts w:ascii="Times New Roman" w:eastAsia="Times New Roman" w:hAnsi="Times New Roman" w:cs="Times New Roman"/>
                <w:bCs/>
                <w:noProof/>
                <w:sz w:val="24"/>
                <w:szCs w:val="24"/>
                <w:lang w:eastAsia="ru-RU"/>
              </w:rPr>
              <w:t>/</w:t>
            </w:r>
            <w:r w:rsidRPr="00341240">
              <w:rPr>
                <w:rFonts w:ascii="Times New Roman" w:eastAsia="Times New Roman" w:hAnsi="Times New Roman" w:cs="Times New Roman"/>
                <w:bCs/>
                <w:noProof/>
                <w:sz w:val="24"/>
                <w:szCs w:val="24"/>
                <w:lang w:val="en-US" w:eastAsia="ru-RU"/>
              </w:rPr>
              <w:t>USD</w:t>
            </w:r>
            <w:r w:rsidRPr="00341240">
              <w:rPr>
                <w:rFonts w:ascii="Times New Roman" w:eastAsia="Times New Roman" w:hAnsi="Times New Roman" w:cs="Times New Roman"/>
                <w:bCs/>
                <w:noProof/>
                <w:sz w:val="24"/>
                <w:szCs w:val="24"/>
                <w:lang w:eastAsia="ru-RU"/>
              </w:rPr>
              <w:t xml:space="preserve">, </w:t>
            </w:r>
            <w:r w:rsidRPr="00341240">
              <w:rPr>
                <w:rFonts w:ascii="Times New Roman" w:eastAsia="Times New Roman" w:hAnsi="Times New Roman" w:cs="Times New Roman"/>
                <w:bCs/>
                <w:noProof/>
                <w:sz w:val="24"/>
                <w:szCs w:val="24"/>
                <w:lang w:val="en-US" w:eastAsia="ru-RU"/>
              </w:rPr>
              <w:t>AUD</w:t>
            </w:r>
            <w:r w:rsidRPr="00341240">
              <w:rPr>
                <w:rFonts w:ascii="Times New Roman" w:eastAsia="Times New Roman" w:hAnsi="Times New Roman" w:cs="Times New Roman"/>
                <w:bCs/>
                <w:noProof/>
                <w:sz w:val="24"/>
                <w:szCs w:val="24"/>
                <w:lang w:eastAsia="ru-RU"/>
              </w:rPr>
              <w:t>/</w:t>
            </w:r>
            <w:r w:rsidRPr="00341240">
              <w:rPr>
                <w:rFonts w:ascii="Times New Roman" w:eastAsia="Times New Roman" w:hAnsi="Times New Roman" w:cs="Times New Roman"/>
                <w:bCs/>
                <w:noProof/>
                <w:sz w:val="24"/>
                <w:szCs w:val="24"/>
                <w:lang w:val="en-US" w:eastAsia="ru-RU"/>
              </w:rPr>
              <w:t>USD</w:t>
            </w:r>
            <w:r w:rsidRPr="00341240">
              <w:rPr>
                <w:rFonts w:ascii="Times New Roman" w:eastAsia="Times New Roman" w:hAnsi="Times New Roman" w:cs="Times New Roman"/>
                <w:bCs/>
                <w:noProof/>
                <w:sz w:val="24"/>
                <w:szCs w:val="24"/>
                <w:lang w:eastAsia="ru-RU"/>
              </w:rPr>
              <w:t xml:space="preserve">, </w:t>
            </w:r>
            <w:r w:rsidRPr="00341240">
              <w:rPr>
                <w:rFonts w:ascii="Times New Roman" w:eastAsia="Times New Roman" w:hAnsi="Times New Roman" w:cs="Times New Roman"/>
                <w:bCs/>
                <w:noProof/>
                <w:sz w:val="24"/>
                <w:szCs w:val="24"/>
                <w:lang w:val="en-US" w:eastAsia="ru-RU"/>
              </w:rPr>
              <w:t>GBP</w:t>
            </w:r>
            <w:r w:rsidRPr="00341240">
              <w:rPr>
                <w:rFonts w:ascii="Times New Roman" w:eastAsia="Times New Roman" w:hAnsi="Times New Roman" w:cs="Times New Roman"/>
                <w:bCs/>
                <w:noProof/>
                <w:sz w:val="24"/>
                <w:szCs w:val="24"/>
                <w:lang w:eastAsia="ru-RU"/>
              </w:rPr>
              <w:t>/</w:t>
            </w:r>
            <w:r w:rsidRPr="00341240">
              <w:rPr>
                <w:rFonts w:ascii="Times New Roman" w:eastAsia="Times New Roman" w:hAnsi="Times New Roman" w:cs="Times New Roman"/>
                <w:bCs/>
                <w:noProof/>
                <w:sz w:val="24"/>
                <w:szCs w:val="24"/>
                <w:lang w:val="en-US" w:eastAsia="ru-RU"/>
              </w:rPr>
              <w:t>USD</w:t>
            </w:r>
            <w:r w:rsidRPr="00341240">
              <w:rPr>
                <w:rFonts w:ascii="Times New Roman" w:eastAsia="Times New Roman" w:hAnsi="Times New Roman" w:cs="Times New Roman"/>
                <w:bCs/>
                <w:noProof/>
                <w:sz w:val="24"/>
                <w:szCs w:val="24"/>
                <w:lang w:eastAsia="ru-RU"/>
              </w:rPr>
              <w:t xml:space="preserve">, </w:t>
            </w:r>
            <w:r w:rsidRPr="00341240">
              <w:rPr>
                <w:rFonts w:ascii="Times New Roman" w:eastAsia="Times New Roman" w:hAnsi="Times New Roman" w:cs="Times New Roman"/>
                <w:bCs/>
                <w:noProof/>
                <w:sz w:val="24"/>
                <w:szCs w:val="24"/>
                <w:lang w:val="en-US" w:eastAsia="ru-RU"/>
              </w:rPr>
              <w:t>USD</w:t>
            </w:r>
            <w:r w:rsidRPr="00341240">
              <w:rPr>
                <w:rFonts w:ascii="Times New Roman" w:eastAsia="Times New Roman" w:hAnsi="Times New Roman" w:cs="Times New Roman"/>
                <w:bCs/>
                <w:noProof/>
                <w:sz w:val="24"/>
                <w:szCs w:val="24"/>
                <w:lang w:eastAsia="ru-RU"/>
              </w:rPr>
              <w:t>/</w:t>
            </w:r>
            <w:r w:rsidRPr="00341240">
              <w:rPr>
                <w:rFonts w:ascii="Times New Roman" w:eastAsia="Times New Roman" w:hAnsi="Times New Roman" w:cs="Times New Roman"/>
                <w:bCs/>
                <w:noProof/>
                <w:sz w:val="24"/>
                <w:szCs w:val="24"/>
                <w:lang w:val="en-US" w:eastAsia="ru-RU"/>
              </w:rPr>
              <w:t>CHF</w:t>
            </w:r>
            <w:r w:rsidRPr="00341240">
              <w:rPr>
                <w:rFonts w:ascii="Times New Roman" w:eastAsia="Times New Roman" w:hAnsi="Times New Roman" w:cs="Times New Roman"/>
                <w:bCs/>
                <w:noProof/>
                <w:sz w:val="24"/>
                <w:szCs w:val="24"/>
                <w:lang w:eastAsia="ru-RU"/>
              </w:rPr>
              <w:t xml:space="preserve">, </w:t>
            </w:r>
            <w:r w:rsidRPr="00341240">
              <w:rPr>
                <w:rFonts w:ascii="Times New Roman" w:eastAsia="Times New Roman" w:hAnsi="Times New Roman" w:cs="Times New Roman"/>
                <w:bCs/>
                <w:noProof/>
                <w:sz w:val="24"/>
                <w:szCs w:val="24"/>
                <w:lang w:val="en-US" w:eastAsia="ru-RU"/>
              </w:rPr>
              <w:t>USD</w:t>
            </w:r>
            <w:r w:rsidRPr="00341240">
              <w:rPr>
                <w:rFonts w:ascii="Times New Roman" w:eastAsia="Times New Roman" w:hAnsi="Times New Roman" w:cs="Times New Roman"/>
                <w:bCs/>
                <w:noProof/>
                <w:sz w:val="24"/>
                <w:szCs w:val="24"/>
                <w:lang w:eastAsia="ru-RU"/>
              </w:rPr>
              <w:t>/</w:t>
            </w:r>
            <w:r w:rsidRPr="00341240">
              <w:rPr>
                <w:rFonts w:ascii="Times New Roman" w:eastAsia="Times New Roman" w:hAnsi="Times New Roman" w:cs="Times New Roman"/>
                <w:bCs/>
                <w:noProof/>
                <w:sz w:val="24"/>
                <w:szCs w:val="24"/>
                <w:lang w:val="en-US" w:eastAsia="ru-RU"/>
              </w:rPr>
              <w:t>JPY</w:t>
            </w:r>
            <w:r w:rsidRPr="00341240">
              <w:rPr>
                <w:rFonts w:ascii="Times New Roman" w:eastAsia="Times New Roman" w:hAnsi="Times New Roman" w:cs="Times New Roman"/>
                <w:bCs/>
                <w:noProof/>
                <w:sz w:val="24"/>
                <w:szCs w:val="24"/>
                <w:lang w:eastAsia="ru-RU"/>
              </w:rPr>
              <w:t xml:space="preserve">, </w:t>
            </w:r>
            <w:r w:rsidRPr="00341240">
              <w:rPr>
                <w:rFonts w:ascii="Times New Roman" w:eastAsia="Times New Roman" w:hAnsi="Times New Roman" w:cs="Times New Roman"/>
                <w:bCs/>
                <w:noProof/>
                <w:sz w:val="24"/>
                <w:szCs w:val="24"/>
                <w:lang w:val="en-US" w:eastAsia="ru-RU"/>
              </w:rPr>
              <w:t>USD</w:t>
            </w:r>
            <w:r w:rsidRPr="00341240">
              <w:rPr>
                <w:rFonts w:ascii="Times New Roman" w:eastAsia="Times New Roman" w:hAnsi="Times New Roman" w:cs="Times New Roman"/>
                <w:bCs/>
                <w:noProof/>
                <w:sz w:val="24"/>
                <w:szCs w:val="24"/>
                <w:lang w:eastAsia="ru-RU"/>
              </w:rPr>
              <w:t>/</w:t>
            </w:r>
            <w:r w:rsidRPr="00341240">
              <w:rPr>
                <w:rFonts w:ascii="Times New Roman" w:eastAsia="Times New Roman" w:hAnsi="Times New Roman" w:cs="Times New Roman"/>
                <w:bCs/>
                <w:noProof/>
                <w:sz w:val="24"/>
                <w:szCs w:val="24"/>
                <w:lang w:val="en-US" w:eastAsia="ru-RU"/>
              </w:rPr>
              <w:t>UAH</w:t>
            </w:r>
            <w:r w:rsidRPr="00341240">
              <w:rPr>
                <w:rFonts w:ascii="Times New Roman" w:eastAsia="Times New Roman" w:hAnsi="Times New Roman" w:cs="Times New Roman"/>
                <w:bCs/>
                <w:noProof/>
                <w:sz w:val="24"/>
                <w:szCs w:val="24"/>
                <w:lang w:eastAsia="ru-RU"/>
              </w:rPr>
              <w:t xml:space="preserve">, </w:t>
            </w:r>
            <w:r w:rsidRPr="00341240">
              <w:rPr>
                <w:rFonts w:ascii="Times New Roman" w:eastAsia="Times New Roman" w:hAnsi="Times New Roman" w:cs="Times New Roman"/>
                <w:bCs/>
                <w:noProof/>
                <w:sz w:val="24"/>
                <w:szCs w:val="24"/>
                <w:lang w:val="en-US" w:eastAsia="ru-RU"/>
              </w:rPr>
              <w:t>USD</w:t>
            </w:r>
            <w:r w:rsidRPr="00341240">
              <w:rPr>
                <w:rFonts w:ascii="Times New Roman" w:eastAsia="Times New Roman" w:hAnsi="Times New Roman" w:cs="Times New Roman"/>
                <w:bCs/>
                <w:noProof/>
                <w:sz w:val="24"/>
                <w:szCs w:val="24"/>
                <w:lang w:eastAsia="ru-RU"/>
              </w:rPr>
              <w:t>/</w:t>
            </w:r>
            <w:r w:rsidRPr="00341240">
              <w:rPr>
                <w:rFonts w:ascii="Times New Roman" w:eastAsia="Times New Roman" w:hAnsi="Times New Roman" w:cs="Times New Roman"/>
                <w:bCs/>
                <w:noProof/>
                <w:sz w:val="24"/>
                <w:szCs w:val="24"/>
                <w:lang w:val="en-US" w:eastAsia="ru-RU"/>
              </w:rPr>
              <w:t>CAD</w:t>
            </w:r>
            <w:r w:rsidRPr="00341240">
              <w:rPr>
                <w:rFonts w:ascii="Times New Roman" w:eastAsia="Times New Roman" w:hAnsi="Times New Roman" w:cs="Times New Roman"/>
                <w:bCs/>
                <w:noProof/>
                <w:sz w:val="24"/>
                <w:szCs w:val="24"/>
                <w:lang w:eastAsia="ru-RU"/>
              </w:rPr>
              <w:t xml:space="preserve">, </w:t>
            </w:r>
            <w:r w:rsidRPr="00341240">
              <w:rPr>
                <w:rFonts w:ascii="Times New Roman" w:eastAsia="Times New Roman" w:hAnsi="Times New Roman" w:cs="Times New Roman"/>
                <w:bCs/>
                <w:noProof/>
                <w:sz w:val="24"/>
                <w:szCs w:val="24"/>
                <w:lang w:val="en-US" w:eastAsia="ru-RU"/>
              </w:rPr>
              <w:t>USD</w:t>
            </w:r>
            <w:r w:rsidRPr="00341240">
              <w:rPr>
                <w:rFonts w:ascii="Times New Roman" w:eastAsia="Times New Roman" w:hAnsi="Times New Roman" w:cs="Times New Roman"/>
                <w:bCs/>
                <w:noProof/>
                <w:sz w:val="24"/>
                <w:szCs w:val="24"/>
                <w:lang w:eastAsia="ru-RU"/>
              </w:rPr>
              <w:t>/</w:t>
            </w:r>
            <w:r w:rsidRPr="00341240">
              <w:rPr>
                <w:rFonts w:ascii="Times New Roman" w:eastAsia="Times New Roman" w:hAnsi="Times New Roman" w:cs="Times New Roman"/>
                <w:bCs/>
                <w:noProof/>
                <w:sz w:val="24"/>
                <w:szCs w:val="24"/>
                <w:lang w:val="en-US" w:eastAsia="ru-RU"/>
              </w:rPr>
              <w:t>TRY</w:t>
            </w:r>
          </w:p>
          <w:p w:rsidR="00341240" w:rsidRPr="00341240" w:rsidRDefault="00341240" w:rsidP="00341240">
            <w:pPr>
              <w:tabs>
                <w:tab w:val="num" w:pos="426"/>
              </w:tabs>
              <w:spacing w:before="60" w:after="0" w:line="240" w:lineRule="auto"/>
              <w:ind w:left="426" w:hanging="426"/>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 xml:space="preserve">процентные ставки: </w:t>
            </w:r>
            <w:r w:rsidRPr="00341240">
              <w:rPr>
                <w:rFonts w:ascii="Times New Roman" w:eastAsia="Times New Roman" w:hAnsi="Times New Roman" w:cs="Times New Roman"/>
                <w:bCs/>
                <w:noProof/>
                <w:sz w:val="24"/>
                <w:szCs w:val="24"/>
                <w:lang w:val="en-US" w:eastAsia="ru-RU"/>
              </w:rPr>
              <w:t>MosPrime</w:t>
            </w:r>
            <w:r w:rsidRPr="00341240">
              <w:rPr>
                <w:rFonts w:ascii="Times New Roman" w:eastAsia="Times New Roman" w:hAnsi="Times New Roman" w:cs="Times New Roman"/>
                <w:bCs/>
                <w:noProof/>
                <w:sz w:val="24"/>
                <w:szCs w:val="24"/>
                <w:lang w:eastAsia="ru-RU"/>
              </w:rPr>
              <w:t xml:space="preserve"> </w:t>
            </w:r>
          </w:p>
          <w:p w:rsidR="00341240" w:rsidRPr="00341240" w:rsidRDefault="00341240" w:rsidP="00341240">
            <w:pPr>
              <w:tabs>
                <w:tab w:val="num" w:pos="426"/>
              </w:tabs>
              <w:spacing w:before="60" w:after="0" w:line="240" w:lineRule="auto"/>
              <w:ind w:left="426" w:hanging="426"/>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облигации федерального займа*</w:t>
            </w:r>
          </w:p>
          <w:p w:rsidR="00341240" w:rsidRPr="00341240" w:rsidRDefault="00341240" w:rsidP="00341240">
            <w:pPr>
              <w:tabs>
                <w:tab w:val="num" w:pos="426"/>
              </w:tabs>
              <w:spacing w:before="60" w:after="0" w:line="240" w:lineRule="auto"/>
              <w:ind w:left="426" w:hanging="426"/>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еврооблигации Российской Федерации (</w:t>
            </w:r>
            <w:r w:rsidRPr="00341240">
              <w:rPr>
                <w:rFonts w:ascii="Times New Roman" w:eastAsia="Times New Roman" w:hAnsi="Times New Roman" w:cs="Times New Roman"/>
                <w:bCs/>
                <w:noProof/>
                <w:sz w:val="24"/>
                <w:szCs w:val="24"/>
                <w:lang w:val="en-US" w:eastAsia="ru-RU"/>
              </w:rPr>
              <w:t>RF</w:t>
            </w:r>
            <w:r w:rsidRPr="00341240">
              <w:rPr>
                <w:rFonts w:ascii="Times New Roman" w:eastAsia="Times New Roman" w:hAnsi="Times New Roman" w:cs="Times New Roman"/>
                <w:bCs/>
                <w:noProof/>
                <w:sz w:val="24"/>
                <w:szCs w:val="24"/>
                <w:lang w:eastAsia="ru-RU"/>
              </w:rPr>
              <w:t>-30)*</w:t>
            </w: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b/>
                <w:noProof/>
                <w:sz w:val="24"/>
                <w:szCs w:val="24"/>
                <w:lang w:eastAsia="ru-RU"/>
              </w:rPr>
            </w:pP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r w:rsidRPr="00341240">
              <w:rPr>
                <w:rFonts w:ascii="Times New Roman" w:eastAsia="Calibri" w:hAnsi="Times New Roman" w:cs="Arial"/>
                <w:b/>
                <w:noProof/>
                <w:sz w:val="24"/>
                <w:szCs w:val="24"/>
                <w:lang w:eastAsia="ru-RU"/>
              </w:rPr>
              <w:t xml:space="preserve">Опционы на фьючерсы </w:t>
            </w:r>
            <w:r w:rsidRPr="00341240">
              <w:rPr>
                <w:rFonts w:ascii="Times New Roman" w:eastAsia="Calibri" w:hAnsi="Times New Roman" w:cs="Arial"/>
                <w:noProof/>
                <w:sz w:val="24"/>
                <w:szCs w:val="24"/>
                <w:lang w:eastAsia="ru-RU"/>
              </w:rPr>
              <w:t>на:</w:t>
            </w:r>
          </w:p>
          <w:p w:rsidR="00341240" w:rsidRPr="00341240" w:rsidRDefault="00341240" w:rsidP="00341240">
            <w:pPr>
              <w:tabs>
                <w:tab w:val="num" w:pos="426"/>
              </w:tabs>
              <w:spacing w:before="60" w:after="0" w:line="240" w:lineRule="auto"/>
              <w:ind w:left="426" w:hanging="426"/>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 xml:space="preserve">валютные пары: </w:t>
            </w:r>
            <w:r w:rsidRPr="00341240">
              <w:rPr>
                <w:rFonts w:ascii="Times New Roman" w:eastAsia="Times New Roman" w:hAnsi="Times New Roman" w:cs="Times New Roman"/>
                <w:bCs/>
                <w:noProof/>
                <w:sz w:val="24"/>
                <w:szCs w:val="24"/>
                <w:lang w:val="en-US" w:eastAsia="ru-RU"/>
              </w:rPr>
              <w:t>USD</w:t>
            </w:r>
            <w:r w:rsidRPr="00341240">
              <w:rPr>
                <w:rFonts w:ascii="Times New Roman" w:eastAsia="Times New Roman" w:hAnsi="Times New Roman" w:cs="Times New Roman"/>
                <w:bCs/>
                <w:noProof/>
                <w:sz w:val="24"/>
                <w:szCs w:val="24"/>
                <w:lang w:eastAsia="ru-RU"/>
              </w:rPr>
              <w:t>/</w:t>
            </w:r>
            <w:r w:rsidRPr="00341240">
              <w:rPr>
                <w:rFonts w:ascii="Times New Roman" w:eastAsia="Times New Roman" w:hAnsi="Times New Roman" w:cs="Times New Roman"/>
                <w:bCs/>
                <w:noProof/>
                <w:sz w:val="24"/>
                <w:szCs w:val="24"/>
                <w:lang w:val="en-US" w:eastAsia="ru-RU"/>
              </w:rPr>
              <w:t>RUB</w:t>
            </w:r>
            <w:r w:rsidRPr="00341240">
              <w:rPr>
                <w:rFonts w:ascii="Times New Roman" w:eastAsia="Times New Roman" w:hAnsi="Times New Roman" w:cs="Times New Roman"/>
                <w:bCs/>
                <w:noProof/>
                <w:sz w:val="24"/>
                <w:szCs w:val="24"/>
                <w:lang w:eastAsia="ru-RU"/>
              </w:rPr>
              <w:t xml:space="preserve">, </w:t>
            </w:r>
            <w:r w:rsidRPr="00341240">
              <w:rPr>
                <w:rFonts w:ascii="Times New Roman" w:eastAsia="Times New Roman" w:hAnsi="Times New Roman" w:cs="Times New Roman"/>
                <w:bCs/>
                <w:noProof/>
                <w:sz w:val="24"/>
                <w:szCs w:val="24"/>
                <w:lang w:val="en-US" w:eastAsia="ru-RU"/>
              </w:rPr>
              <w:t>EUR</w:t>
            </w:r>
            <w:r w:rsidRPr="00341240">
              <w:rPr>
                <w:rFonts w:ascii="Times New Roman" w:eastAsia="Times New Roman" w:hAnsi="Times New Roman" w:cs="Times New Roman"/>
                <w:bCs/>
                <w:noProof/>
                <w:sz w:val="24"/>
                <w:szCs w:val="24"/>
                <w:lang w:eastAsia="ru-RU"/>
              </w:rPr>
              <w:t>/</w:t>
            </w:r>
            <w:r w:rsidRPr="00341240">
              <w:rPr>
                <w:rFonts w:ascii="Times New Roman" w:eastAsia="Times New Roman" w:hAnsi="Times New Roman" w:cs="Times New Roman"/>
                <w:bCs/>
                <w:noProof/>
                <w:sz w:val="24"/>
                <w:szCs w:val="24"/>
                <w:lang w:val="en-US" w:eastAsia="ru-RU"/>
              </w:rPr>
              <w:t>RUB</w:t>
            </w:r>
            <w:r w:rsidRPr="00341240">
              <w:rPr>
                <w:rFonts w:ascii="Times New Roman" w:eastAsia="Times New Roman" w:hAnsi="Times New Roman" w:cs="Times New Roman"/>
                <w:bCs/>
                <w:noProof/>
                <w:sz w:val="24"/>
                <w:szCs w:val="24"/>
                <w:lang w:eastAsia="ru-RU"/>
              </w:rPr>
              <w:t xml:space="preserve">, </w:t>
            </w:r>
            <w:r w:rsidRPr="00341240">
              <w:rPr>
                <w:rFonts w:ascii="Times New Roman" w:eastAsia="Times New Roman" w:hAnsi="Times New Roman" w:cs="Times New Roman"/>
                <w:bCs/>
                <w:noProof/>
                <w:sz w:val="24"/>
                <w:szCs w:val="24"/>
                <w:lang w:val="en-US" w:eastAsia="ru-RU"/>
              </w:rPr>
              <w:t>EUR</w:t>
            </w:r>
            <w:r w:rsidRPr="00341240">
              <w:rPr>
                <w:rFonts w:ascii="Times New Roman" w:eastAsia="Times New Roman" w:hAnsi="Times New Roman" w:cs="Times New Roman"/>
                <w:bCs/>
                <w:noProof/>
                <w:sz w:val="24"/>
                <w:szCs w:val="24"/>
                <w:lang w:eastAsia="ru-RU"/>
              </w:rPr>
              <w:t>/</w:t>
            </w:r>
            <w:r w:rsidRPr="00341240">
              <w:rPr>
                <w:rFonts w:ascii="Times New Roman" w:eastAsia="Times New Roman" w:hAnsi="Times New Roman" w:cs="Times New Roman"/>
                <w:bCs/>
                <w:noProof/>
                <w:sz w:val="24"/>
                <w:szCs w:val="24"/>
                <w:lang w:val="en-US" w:eastAsia="ru-RU"/>
              </w:rPr>
              <w:t>USD</w:t>
            </w:r>
          </w:p>
        </w:tc>
        <w:tc>
          <w:tcPr>
            <w:tcW w:w="2693" w:type="dxa"/>
            <w:shd w:val="clear" w:color="auto" w:fill="auto"/>
            <w:tcMar>
              <w:top w:w="72" w:type="dxa"/>
              <w:left w:w="144" w:type="dxa"/>
              <w:bottom w:w="72" w:type="dxa"/>
              <w:right w:w="144" w:type="dxa"/>
            </w:tcMar>
            <w:hideMark/>
          </w:tcPr>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r w:rsidRPr="00341240">
              <w:rPr>
                <w:rFonts w:ascii="Times New Roman" w:eastAsia="Calibri" w:hAnsi="Times New Roman" w:cs="Arial"/>
                <w:b/>
                <w:noProof/>
                <w:sz w:val="24"/>
                <w:szCs w:val="24"/>
                <w:lang w:eastAsia="ru-RU"/>
              </w:rPr>
              <w:t xml:space="preserve">Фьючерсы </w:t>
            </w:r>
            <w:r w:rsidRPr="00341240">
              <w:rPr>
                <w:rFonts w:ascii="Times New Roman" w:eastAsia="Calibri" w:hAnsi="Times New Roman" w:cs="Arial"/>
                <w:noProof/>
                <w:sz w:val="24"/>
                <w:szCs w:val="24"/>
                <w:lang w:eastAsia="ru-RU"/>
              </w:rPr>
              <w:t>на:</w:t>
            </w:r>
          </w:p>
          <w:p w:rsidR="00341240" w:rsidRPr="00341240" w:rsidRDefault="00341240" w:rsidP="00341240">
            <w:pPr>
              <w:tabs>
                <w:tab w:val="num" w:pos="426"/>
              </w:tabs>
              <w:spacing w:before="60" w:after="0" w:line="240" w:lineRule="auto"/>
              <w:ind w:left="426" w:hanging="426"/>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 xml:space="preserve">нефть </w:t>
            </w:r>
            <w:r w:rsidRPr="00341240">
              <w:rPr>
                <w:rFonts w:ascii="Times New Roman" w:eastAsia="Times New Roman" w:hAnsi="Times New Roman" w:cs="Times New Roman"/>
                <w:bCs/>
                <w:noProof/>
                <w:sz w:val="24"/>
                <w:szCs w:val="24"/>
                <w:lang w:val="en-US" w:eastAsia="ru-RU"/>
              </w:rPr>
              <w:t>BRENT</w:t>
            </w:r>
          </w:p>
          <w:p w:rsidR="00341240" w:rsidRPr="00341240" w:rsidRDefault="00341240" w:rsidP="00341240">
            <w:pPr>
              <w:tabs>
                <w:tab w:val="num" w:pos="426"/>
              </w:tabs>
              <w:spacing w:before="60" w:after="0" w:line="240" w:lineRule="auto"/>
              <w:ind w:left="426" w:hanging="426"/>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драгоценные металлы: золото, серебро, платина, палладий</w:t>
            </w:r>
          </w:p>
          <w:p w:rsidR="00341240" w:rsidRPr="00341240" w:rsidRDefault="00341240" w:rsidP="00341240">
            <w:pPr>
              <w:tabs>
                <w:tab w:val="num" w:pos="426"/>
              </w:tabs>
              <w:spacing w:before="60" w:after="0" w:line="240" w:lineRule="auto"/>
              <w:ind w:left="426" w:hanging="426"/>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медь</w:t>
            </w:r>
          </w:p>
          <w:p w:rsidR="00341240" w:rsidRPr="00341240" w:rsidRDefault="00341240" w:rsidP="00341240">
            <w:pPr>
              <w:tabs>
                <w:tab w:val="num" w:pos="426"/>
              </w:tabs>
              <w:spacing w:before="60" w:after="0" w:line="240" w:lineRule="auto"/>
              <w:ind w:left="426" w:hanging="426"/>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сахар-сырец</w:t>
            </w: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r w:rsidRPr="00341240">
              <w:rPr>
                <w:rFonts w:ascii="Times New Roman" w:eastAsia="Calibri" w:hAnsi="Times New Roman" w:cs="Arial"/>
                <w:b/>
                <w:noProof/>
                <w:sz w:val="24"/>
                <w:szCs w:val="24"/>
                <w:lang w:eastAsia="ru-RU"/>
              </w:rPr>
              <w:t xml:space="preserve">Опционы на фьючерсы </w:t>
            </w:r>
            <w:r w:rsidRPr="00341240">
              <w:rPr>
                <w:rFonts w:ascii="Times New Roman" w:eastAsia="Calibri" w:hAnsi="Times New Roman" w:cs="Arial"/>
                <w:noProof/>
                <w:sz w:val="24"/>
                <w:szCs w:val="24"/>
                <w:lang w:eastAsia="ru-RU"/>
              </w:rPr>
              <w:t>на:</w:t>
            </w:r>
          </w:p>
          <w:p w:rsidR="00341240" w:rsidRPr="00341240" w:rsidRDefault="00341240" w:rsidP="00341240">
            <w:pPr>
              <w:tabs>
                <w:tab w:val="num" w:pos="426"/>
              </w:tabs>
              <w:spacing w:before="60" w:after="0" w:line="240" w:lineRule="auto"/>
              <w:ind w:left="426" w:hanging="426"/>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драгоценные металлы: золото, серебро, платина</w:t>
            </w:r>
          </w:p>
          <w:p w:rsidR="00341240" w:rsidRPr="00341240" w:rsidRDefault="00341240" w:rsidP="00341240">
            <w:pPr>
              <w:tabs>
                <w:tab w:val="num" w:pos="426"/>
              </w:tabs>
              <w:spacing w:before="60" w:after="0" w:line="240" w:lineRule="auto"/>
              <w:ind w:left="426" w:hanging="426"/>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 xml:space="preserve">нефть BRENT </w:t>
            </w:r>
          </w:p>
        </w:tc>
      </w:tr>
    </w:tbl>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r w:rsidRPr="00341240">
        <w:rPr>
          <w:rFonts w:ascii="Times New Roman" w:eastAsia="Calibri" w:hAnsi="Times New Roman" w:cs="Arial"/>
          <w:noProof/>
          <w:sz w:val="24"/>
          <w:szCs w:val="24"/>
          <w:lang w:eastAsia="ru-RU"/>
        </w:rPr>
        <w:t>Помеченные «*» контракты являются поставочными. Все остальные перечисленные контракты являются расчетными.</w:t>
      </w: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r w:rsidRPr="00341240">
        <w:rPr>
          <w:rFonts w:ascii="Times New Roman" w:eastAsia="Calibri" w:hAnsi="Times New Roman" w:cs="Arial"/>
          <w:noProof/>
          <w:sz w:val="24"/>
          <w:szCs w:val="24"/>
          <w:lang w:eastAsia="ru-RU"/>
        </w:rPr>
        <w:t xml:space="preserve">Торги на срочном рынке осуществляются как в анонимном, так и в адресном (переговорном) режимах. </w:t>
      </w: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r w:rsidRPr="00341240">
        <w:rPr>
          <w:rFonts w:ascii="Times New Roman" w:eastAsia="Calibri" w:hAnsi="Times New Roman" w:cs="Arial"/>
          <w:noProof/>
          <w:sz w:val="24"/>
          <w:szCs w:val="24"/>
          <w:lang w:eastAsia="ru-RU"/>
        </w:rPr>
        <w:t xml:space="preserve">При осуществлении клиринга и расчетов по производным финансовым инструментам (в том числе - по вариационной марже) НКЦ также осуществляет функции центрального контрагента, что значительно снижает риски участников клиринга и избавляет их от необходимости проведения дорогостоящих процедур по установке лимитов друг на друга. </w:t>
      </w: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r w:rsidRPr="00341240">
        <w:rPr>
          <w:rFonts w:ascii="Times New Roman" w:eastAsia="Calibri" w:hAnsi="Times New Roman" w:cs="Arial"/>
          <w:noProof/>
          <w:sz w:val="24"/>
          <w:szCs w:val="24"/>
          <w:lang w:eastAsia="ru-RU"/>
        </w:rPr>
        <w:t>НКЦ осуществляет на срочном рынке клиринг по сделкам, заключенным:</w:t>
      </w:r>
    </w:p>
    <w:p w:rsidR="00341240" w:rsidRPr="00341240" w:rsidRDefault="00341240" w:rsidP="00AB0ACF">
      <w:pPr>
        <w:numPr>
          <w:ilvl w:val="0"/>
          <w:numId w:val="65"/>
        </w:numPr>
        <w:spacing w:before="60" w:after="0" w:line="240" w:lineRule="auto"/>
        <w:contextualSpacing/>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за счет участников клиринга;</w:t>
      </w:r>
    </w:p>
    <w:p w:rsidR="00341240" w:rsidRPr="00341240" w:rsidRDefault="00341240" w:rsidP="00AB0ACF">
      <w:pPr>
        <w:numPr>
          <w:ilvl w:val="0"/>
          <w:numId w:val="65"/>
        </w:numPr>
        <w:spacing w:before="60" w:after="0" w:line="240" w:lineRule="auto"/>
        <w:contextualSpacing/>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за счет клиентов участников клиринга;</w:t>
      </w:r>
    </w:p>
    <w:p w:rsidR="00341240" w:rsidRPr="00341240" w:rsidRDefault="00341240" w:rsidP="00AB0ACF">
      <w:pPr>
        <w:numPr>
          <w:ilvl w:val="0"/>
          <w:numId w:val="65"/>
        </w:numPr>
        <w:spacing w:before="60" w:after="0" w:line="240" w:lineRule="auto"/>
        <w:contextualSpacing/>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за счет средств, находящихся в доверительном управлении у участников клиринга.</w:t>
      </w: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r w:rsidRPr="00341240">
        <w:rPr>
          <w:rFonts w:ascii="Times New Roman" w:eastAsia="Calibri" w:hAnsi="Times New Roman" w:cs="Arial"/>
          <w:noProof/>
          <w:sz w:val="24"/>
          <w:szCs w:val="24"/>
          <w:lang w:eastAsia="ru-RU"/>
        </w:rPr>
        <w:t xml:space="preserve">Функции расчетного депозитария и расчетной организации исполняет НКО ЗАО НРД, которое осуществляет: </w:t>
      </w:r>
    </w:p>
    <w:p w:rsidR="00341240" w:rsidRPr="00341240" w:rsidRDefault="00341240" w:rsidP="00AB0ACF">
      <w:pPr>
        <w:numPr>
          <w:ilvl w:val="0"/>
          <w:numId w:val="66"/>
        </w:numPr>
        <w:spacing w:before="60" w:after="0" w:line="240" w:lineRule="auto"/>
        <w:contextualSpacing/>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 xml:space="preserve">учет клирингового обеспечения в денежных средствах осуществляется на открытых в НРД клиринговых счетах НКЦ; </w:t>
      </w:r>
    </w:p>
    <w:p w:rsidR="00341240" w:rsidRPr="00341240" w:rsidRDefault="00341240" w:rsidP="00AB0ACF">
      <w:pPr>
        <w:numPr>
          <w:ilvl w:val="0"/>
          <w:numId w:val="66"/>
        </w:numPr>
        <w:spacing w:before="60" w:after="0" w:line="240" w:lineRule="auto"/>
        <w:contextualSpacing/>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учет клирингового обеспечения в ценных бумагах осуществляется на открытых в НРД торговых счетах депо участников клиринга.</w:t>
      </w: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r w:rsidRPr="00341240">
        <w:rPr>
          <w:rFonts w:ascii="Times New Roman" w:eastAsia="Calibri" w:hAnsi="Times New Roman" w:cs="Arial"/>
          <w:noProof/>
          <w:sz w:val="24"/>
          <w:szCs w:val="24"/>
          <w:lang w:eastAsia="ru-RU"/>
        </w:rPr>
        <w:t>В качестве средств гарантийного обеспечения принимаются российские рубли, а также иностранная валюта и ценные бумаги, входящие в установленный решением НКЦ п</w:t>
      </w:r>
      <w:hyperlink r:id="rId20" w:history="1">
        <w:r w:rsidRPr="00341240">
          <w:rPr>
            <w:rFonts w:ascii="Times New Roman" w:eastAsia="Calibri" w:hAnsi="Times New Roman" w:cs="Arial"/>
            <w:noProof/>
            <w:sz w:val="24"/>
            <w:szCs w:val="24"/>
            <w:lang w:eastAsia="ru-RU"/>
          </w:rPr>
          <w:t xml:space="preserve">еречень, который </w:t>
        </w:r>
      </w:hyperlink>
      <w:r w:rsidRPr="00341240">
        <w:rPr>
          <w:rFonts w:ascii="Times New Roman" w:eastAsia="Calibri" w:hAnsi="Times New Roman" w:cs="Arial"/>
          <w:noProof/>
          <w:sz w:val="24"/>
          <w:szCs w:val="24"/>
          <w:lang w:eastAsia="ru-RU"/>
        </w:rPr>
        <w:t xml:space="preserve"> формируется в соответствии с утвержденной НКЦ </w:t>
      </w:r>
      <w:hyperlink r:id="rId21" w:history="1">
        <w:r w:rsidRPr="00341240">
          <w:rPr>
            <w:rFonts w:ascii="Times New Roman" w:eastAsia="Calibri" w:hAnsi="Times New Roman" w:cs="Arial"/>
            <w:noProof/>
            <w:sz w:val="24"/>
            <w:szCs w:val="24"/>
            <w:lang w:eastAsia="ru-RU"/>
          </w:rPr>
          <w:t>Методикой выбора и оценки иностранных валют и ценных бумаг, принимаемых в качестве средств гарантийного обеспечени</w:t>
        </w:r>
      </w:hyperlink>
      <w:r w:rsidRPr="00341240">
        <w:rPr>
          <w:rFonts w:ascii="Times New Roman" w:eastAsia="Calibri" w:hAnsi="Times New Roman" w:cs="Arial"/>
          <w:noProof/>
          <w:sz w:val="24"/>
          <w:szCs w:val="24"/>
          <w:lang w:eastAsia="ru-RU"/>
        </w:rPr>
        <w:t xml:space="preserve">я. </w:t>
      </w:r>
    </w:p>
    <w:p w:rsidR="00341240" w:rsidRPr="00341240" w:rsidRDefault="00341240" w:rsidP="00341240">
      <w:pPr>
        <w:tabs>
          <w:tab w:val="right" w:pos="9356"/>
        </w:tabs>
        <w:autoSpaceDE w:val="0"/>
        <w:autoSpaceDN w:val="0"/>
        <w:spacing w:after="0" w:line="360" w:lineRule="auto"/>
        <w:ind w:firstLine="709"/>
        <w:jc w:val="both"/>
        <w:rPr>
          <w:rFonts w:ascii="Times New Roman" w:eastAsia="Calibri" w:hAnsi="Times New Roman" w:cs="Arial"/>
          <w:noProof/>
          <w:sz w:val="24"/>
          <w:szCs w:val="24"/>
          <w:lang w:eastAsia="ru-RU"/>
        </w:rPr>
      </w:pP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b/>
          <w:i/>
          <w:noProof/>
          <w:sz w:val="24"/>
          <w:szCs w:val="24"/>
          <w:lang w:eastAsia="ru-RU"/>
        </w:rPr>
      </w:pPr>
      <w:r w:rsidRPr="00341240">
        <w:rPr>
          <w:rFonts w:ascii="Times New Roman" w:eastAsia="Calibri" w:hAnsi="Times New Roman" w:cs="Arial"/>
          <w:b/>
          <w:i/>
          <w:noProof/>
          <w:sz w:val="24"/>
          <w:szCs w:val="24"/>
          <w:lang w:eastAsia="ru-RU"/>
        </w:rPr>
        <w:t xml:space="preserve">В 2015 году проведены мероприятия по дальнейшему развитию клиринговых сервисов, предоставляемых участникам клиринга на срочном рынке, а именно: </w:t>
      </w: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b/>
          <w:i/>
          <w:noProof/>
          <w:sz w:val="24"/>
          <w:szCs w:val="24"/>
          <w:lang w:eastAsia="ru-RU"/>
        </w:rPr>
      </w:pPr>
    </w:p>
    <w:p w:rsidR="00341240" w:rsidRPr="00341240" w:rsidRDefault="00341240" w:rsidP="00AB0ACF">
      <w:pPr>
        <w:numPr>
          <w:ilvl w:val="0"/>
          <w:numId w:val="67"/>
        </w:numPr>
        <w:tabs>
          <w:tab w:val="num" w:pos="426"/>
        </w:tabs>
        <w:spacing w:before="60" w:after="0" w:line="240" w:lineRule="auto"/>
        <w:contextualSpacing/>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В целях обеспечения возможности погашения задолженности участников клиринга на срочном рынке реализована возможность продажи индивидуального клирингового обеспечения в иностранной валюте и в ценных бумагах на профильных рынках и по рыночным ценам. Иностранная валюта реализуется в «стакане» на валютном рынке Московской Биржи,  ценные бумаги – на фондовом. Возможность продажи обеспечения по справедливым ценам была сформирована в результате интеграции срочного рынка с валютным и фондовом рынками и позволила снизить ограничения на прием иностранной валюты и ценных бумаг в качестве индивидуального клирингового обеспечения на срочном рынке.</w:t>
      </w:r>
    </w:p>
    <w:p w:rsidR="00341240" w:rsidRPr="00341240" w:rsidRDefault="00341240" w:rsidP="00AB0ACF">
      <w:pPr>
        <w:numPr>
          <w:ilvl w:val="0"/>
          <w:numId w:val="67"/>
        </w:numPr>
        <w:tabs>
          <w:tab w:val="num" w:pos="426"/>
        </w:tabs>
        <w:spacing w:before="60" w:after="0" w:line="240" w:lineRule="auto"/>
        <w:contextualSpacing/>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С апреля 2015 года на срочном рынке Московской биржи реализован новый порядок исполнения опционов на все базовые активы всех сроков действия («автоэкспирация»), в сооветствии с которым  в вечернем клиринге дня истечения опционов все опционы "в деньгах"</w:t>
      </w:r>
      <w:r w:rsidRPr="00341240">
        <w:rPr>
          <w:rFonts w:ascii="Calibri" w:eastAsia="Calibri" w:hAnsi="Calibri" w:cs="Times New Roman"/>
          <w:noProof/>
          <w:vertAlign w:val="superscript"/>
          <w:lang w:eastAsia="ru-RU"/>
        </w:rPr>
        <w:footnoteReference w:id="1"/>
      </w:r>
      <w:r w:rsidRPr="00341240">
        <w:rPr>
          <w:rFonts w:ascii="Times New Roman" w:eastAsia="Times New Roman" w:hAnsi="Times New Roman" w:cs="Times New Roman"/>
          <w:bCs/>
          <w:noProof/>
          <w:sz w:val="24"/>
          <w:szCs w:val="24"/>
          <w:lang w:eastAsia="ru-RU"/>
        </w:rPr>
        <w:t xml:space="preserve"> исполняются автоматически.</w:t>
      </w:r>
      <w:r w:rsidRPr="00341240">
        <w:rPr>
          <w:rFonts w:ascii="Times New Roman" w:eastAsia="Times New Roman" w:hAnsi="Times New Roman" w:cs="Times New Roman"/>
          <w:bCs/>
          <w:sz w:val="24"/>
          <w:szCs w:val="24"/>
          <w:lang w:eastAsia="ru-RU"/>
        </w:rPr>
        <w:t xml:space="preserve"> </w:t>
      </w:r>
      <w:r w:rsidRPr="00341240">
        <w:rPr>
          <w:rFonts w:ascii="Times New Roman" w:eastAsia="Times New Roman" w:hAnsi="Times New Roman" w:cs="Times New Roman"/>
          <w:bCs/>
          <w:noProof/>
          <w:sz w:val="24"/>
          <w:szCs w:val="24"/>
          <w:lang w:eastAsia="ru-RU"/>
        </w:rPr>
        <w:t xml:space="preserve">Для опционов "на деньгах" автоматическое исполнение осуществляется в отношении  половины открытой опционной позиции по каждой серии. Такой подход необходим для устранения рисков ассиметричного исполнения синтетических позиций. Для отказа от исполнения необходимо подать поручение в день истечения опциона. </w:t>
      </w:r>
      <w:r w:rsidRPr="00341240">
        <w:rPr>
          <w:rFonts w:ascii="Times New Roman" w:eastAsia="Times New Roman" w:hAnsi="Times New Roman" w:cs="Times New Roman"/>
          <w:bCs/>
          <w:sz w:val="24"/>
          <w:szCs w:val="24"/>
          <w:shd w:val="clear" w:color="auto" w:fill="FFFFFF"/>
          <w:lang w:eastAsia="ru-RU"/>
        </w:rPr>
        <w:t>Новый порядок устраняет риски, связанные с несвоевременной подачей заявления на исполнение опционов "в деньгах", а также снижает издержки участников торгов и упрощает механизм исполнения опционов.</w:t>
      </w:r>
    </w:p>
    <w:p w:rsidR="00341240" w:rsidRPr="00341240" w:rsidRDefault="00341240" w:rsidP="00AB0ACF">
      <w:pPr>
        <w:numPr>
          <w:ilvl w:val="0"/>
          <w:numId w:val="67"/>
        </w:numPr>
        <w:tabs>
          <w:tab w:val="num" w:pos="426"/>
        </w:tabs>
        <w:spacing w:before="60" w:after="0" w:line="240" w:lineRule="auto"/>
        <w:contextualSpacing/>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В июне 2015 года был внедрен новый механизм поставки по фьючерсам на корзину ОФЗ. Теперь сделки по поставке формируются автоматически в режиме расчетов Т+1  и с частничным обеспечением обязательств (ранее сделки формировались в режиме Т0 и требовалось полное преддепонирование активов). Второй стороной по сделкам выступит центральный контрагент – НКЦ. Автоматизация исполнения обязательств и возможность неттинга сделок по поставке с другими операциями с ЦК (сделками в "стаканах" T+1, РПС с ЦК, репо с ЦК) позволяет участникам исполнять свои обязательства в максимально удобном режиме и обеспечивает значительное снижение операционных рисков.</w:t>
      </w:r>
    </w:p>
    <w:p w:rsidR="00341240" w:rsidRPr="00341240" w:rsidRDefault="00341240" w:rsidP="00AB0ACF">
      <w:pPr>
        <w:numPr>
          <w:ilvl w:val="0"/>
          <w:numId w:val="67"/>
        </w:numPr>
        <w:tabs>
          <w:tab w:val="num" w:pos="426"/>
        </w:tabs>
        <w:spacing w:before="60" w:after="0" w:line="240" w:lineRule="auto"/>
        <w:contextualSpacing/>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В июле 2015 года основные срочные контракты были переведены на новую систему исполнения – в фиксированный день недели. При существовавшей ранее системе дат исполнения ряда фьючерсов и опционов (по 15-м числам месяца) исполнение контрактов периодически проиходило в понедельник. Эта ситуация приводила к росту рыночных и операционных рисков для участников торгов и их клиентов. Таким образом, теперь:</w:t>
      </w:r>
    </w:p>
    <w:p w:rsidR="00341240" w:rsidRPr="00341240" w:rsidRDefault="00341240" w:rsidP="00341240">
      <w:pPr>
        <w:spacing w:before="60" w:after="0" w:line="240" w:lineRule="auto"/>
        <w:ind w:left="720" w:hanging="360"/>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 xml:space="preserve">-в 3 (третий) четверг месяца исполняются фьючерсы на акции российских эмитентов; фьючерсы на российские индексы (РТС, ММВБ, Индекс голубых фишек) и опционы на них; фьючерсы на валютные пары и опционы на них; фьючерсы на драгоценные металлы и опционы на них; фьючерс на медь; фьючерс на волатильность российского рынка (RVI); </w:t>
      </w:r>
    </w:p>
    <w:p w:rsidR="00341240" w:rsidRPr="00341240" w:rsidRDefault="00341240" w:rsidP="00341240">
      <w:pPr>
        <w:spacing w:before="60" w:after="0" w:line="240" w:lineRule="auto"/>
        <w:ind w:left="720" w:hanging="360"/>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 xml:space="preserve">-опционы на фьючерсы на акции российских эмитентов исполняются в среду, предшествующую третьему четвергу; </w:t>
      </w:r>
    </w:p>
    <w:p w:rsidR="00341240" w:rsidRPr="00341240" w:rsidRDefault="00341240" w:rsidP="00341240">
      <w:pPr>
        <w:spacing w:before="60" w:after="0" w:line="240" w:lineRule="auto"/>
        <w:ind w:left="720" w:hanging="360"/>
        <w:jc w:val="both"/>
        <w:rPr>
          <w:rFonts w:ascii="Times New Roman" w:eastAsia="Times New Roman" w:hAnsi="Times New Roman" w:cs="Times New Roman"/>
          <w:bCs/>
          <w:noProof/>
          <w:sz w:val="24"/>
          <w:szCs w:val="24"/>
          <w:lang w:eastAsia="ru-RU"/>
        </w:rPr>
      </w:pPr>
      <w:r w:rsidRPr="00341240">
        <w:rPr>
          <w:rFonts w:ascii="Times New Roman" w:eastAsia="Times New Roman" w:hAnsi="Times New Roman" w:cs="Times New Roman"/>
          <w:bCs/>
          <w:noProof/>
          <w:sz w:val="24"/>
          <w:szCs w:val="24"/>
          <w:lang w:eastAsia="ru-RU"/>
        </w:rPr>
        <w:t>-срочные контракты на нефть BRENT и сахар-сырец, на индексы стран BRICS и акции немецких эмитентов не переводятся на новую систему в связи с особенностями исполнения (привязка к иностранным биржам). Фьючерсы на ОФЗ, еврооблигации и процентные ставки также не переводятся в связи с особенностями дизайна контрактов.</w:t>
      </w: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r w:rsidRPr="00341240">
        <w:rPr>
          <w:rFonts w:ascii="Times New Roman" w:eastAsia="Calibri" w:hAnsi="Times New Roman" w:cs="Arial"/>
          <w:noProof/>
          <w:sz w:val="24"/>
          <w:szCs w:val="24"/>
          <w:lang w:eastAsia="ru-RU"/>
        </w:rPr>
        <w:t xml:space="preserve">В 2015 году ряд производных финансовых инструментов, допущенных к торгам на срочном рынке Московской Биржи, сделки с которыми подлежат клирингу НКЦ, был дополнен фьючерсом на Индекс ММВБ (мини) и опционом на него. Для указанных инструментов, в сравнении с фьючерсом на Индекс ММВБ и опционом на него, характерен небольшой номинал и низкий размер гарантийного обеспечения. Это обеспечивает интерес к данным инструментам со стороны широкого круга частных инвесторов, которые реализуют стратегии, связанные с движением рублевых цен на рынке акций, и не хотят принимать на себя риск волатильности валютного курса. </w:t>
      </w: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r w:rsidRPr="00341240">
        <w:rPr>
          <w:rFonts w:ascii="Times New Roman" w:eastAsia="Calibri" w:hAnsi="Times New Roman" w:cs="Arial"/>
          <w:noProof/>
          <w:sz w:val="24"/>
          <w:szCs w:val="24"/>
          <w:lang w:eastAsia="ru-RU"/>
        </w:rPr>
        <w:t>Кроме того, в 2015 году была расширена линейка опционов за счет введения в обращение опционов на фьючерсы на акции таких российских эмитентов как ОАО «Северсталь», ПАО «Уралкалий», ПАО «Сбербанк» (привилегированные), ОАО «Сургутнефтегаз» (</w:t>
      </w:r>
      <w:r w:rsidRPr="00341240">
        <w:rPr>
          <w:rFonts w:ascii="Times New Roman" w:eastAsia="Calibri" w:hAnsi="Times New Roman" w:cs="Times New Roman"/>
          <w:noProof/>
          <w:sz w:val="24"/>
          <w:szCs w:val="24"/>
          <w:lang w:eastAsia="ru-RU"/>
        </w:rPr>
        <w:t xml:space="preserve">привилегированные),  ПАО «РусГидро», ПАО «ФСК ЕЭС», </w:t>
      </w:r>
      <w:r w:rsidRPr="00341240">
        <w:rPr>
          <w:rFonts w:ascii="Times New Roman" w:eastAsia="Calibri" w:hAnsi="Times New Roman" w:cs="Times New Roman"/>
          <w:sz w:val="24"/>
          <w:szCs w:val="24"/>
          <w:shd w:val="clear" w:color="auto" w:fill="FFFFFF"/>
        </w:rPr>
        <w:t>ПАО "Ростелеком", ПАО "Татнефть" им В.Д. Шашина, ПАО "МТС", ОАО "НОВАТЭК", ПАО Московская Биржа, ПАО "Магнит"</w:t>
      </w:r>
      <w:r w:rsidRPr="00341240">
        <w:rPr>
          <w:rFonts w:ascii="Times New Roman" w:eastAsia="Calibri" w:hAnsi="Times New Roman" w:cs="Times New Roman"/>
          <w:noProof/>
          <w:sz w:val="24"/>
          <w:szCs w:val="24"/>
          <w:lang w:eastAsia="ru-RU"/>
        </w:rPr>
        <w:t>.</w:t>
      </w:r>
      <w:r w:rsidRPr="00341240">
        <w:rPr>
          <w:rFonts w:ascii="Times New Roman" w:eastAsia="Calibri" w:hAnsi="Times New Roman" w:cs="Arial"/>
          <w:noProof/>
          <w:sz w:val="24"/>
          <w:szCs w:val="24"/>
          <w:lang w:eastAsia="ru-RU"/>
        </w:rPr>
        <w:t xml:space="preserve"> Таким образом, участникам биржевого срочного рынка стала доступна полная линейка опционных контрактов на все торгуемые на Московской бирже фьючерсы на акции российских эмитентов.</w:t>
      </w: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p>
    <w:p w:rsidR="00341240" w:rsidRPr="00341240" w:rsidRDefault="00341240" w:rsidP="00341240">
      <w:pPr>
        <w:tabs>
          <w:tab w:val="right" w:pos="9356"/>
        </w:tabs>
        <w:autoSpaceDE w:val="0"/>
        <w:autoSpaceDN w:val="0"/>
        <w:spacing w:after="0" w:line="360" w:lineRule="auto"/>
        <w:ind w:firstLine="709"/>
        <w:jc w:val="both"/>
        <w:rPr>
          <w:rFonts w:ascii="Times New Roman" w:eastAsia="Calibri" w:hAnsi="Times New Roman" w:cs="Arial"/>
          <w:b/>
          <w:noProof/>
          <w:sz w:val="28"/>
          <w:szCs w:val="28"/>
          <w:lang w:eastAsia="ru-RU"/>
        </w:rPr>
      </w:pPr>
      <w:r w:rsidRPr="00341240">
        <w:rPr>
          <w:rFonts w:ascii="Times New Roman" w:eastAsia="Calibri" w:hAnsi="Times New Roman" w:cs="Times New Roman"/>
          <w:b/>
          <w:noProof/>
          <w:sz w:val="24"/>
          <w:szCs w:val="24"/>
          <w:lang w:eastAsia="ru-RU"/>
        </w:rPr>
        <w:t xml:space="preserve">   </w:t>
      </w:r>
      <w:r w:rsidRPr="00341240">
        <w:rPr>
          <w:rFonts w:ascii="Times New Roman" w:eastAsia="Calibri" w:hAnsi="Times New Roman" w:cs="Arial"/>
          <w:b/>
          <w:noProof/>
          <w:sz w:val="28"/>
          <w:szCs w:val="28"/>
          <w:lang w:eastAsia="ru-RU"/>
        </w:rPr>
        <w:t>5.4 Клиринговая деятельность на товарном рынке</w:t>
      </w: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r w:rsidRPr="00341240">
        <w:rPr>
          <w:rFonts w:ascii="Times New Roman" w:eastAsia="Calibri" w:hAnsi="Times New Roman" w:cs="Arial"/>
          <w:noProof/>
          <w:sz w:val="24"/>
          <w:szCs w:val="24"/>
          <w:lang w:eastAsia="ru-RU"/>
        </w:rPr>
        <w:t>Начиная с 23 декабря  2015 г. в Группе "Московская Биржа" проводятся торги сельскохозяйственной продукцией (на первом этапе – зерном). В качестве торговой площадки выступает НКЦ, который выпоняет на рынке функции клиринговой организации, центрального контрагента и оператора товарных поставок.</w:t>
      </w: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r w:rsidRPr="00341240">
        <w:rPr>
          <w:rFonts w:ascii="Times New Roman" w:eastAsia="Calibri" w:hAnsi="Times New Roman" w:cs="Arial"/>
          <w:noProof/>
          <w:sz w:val="24"/>
          <w:szCs w:val="24"/>
          <w:lang w:eastAsia="ru-RU"/>
        </w:rPr>
        <w:t xml:space="preserve">Базисным активом торгуемых в настоящее время производных финансовых инструментов – поставочных форвардов с плавающей датой расчетов, является зерно. По результатам торгов  производится клиринг с участием центрального контрагента, предусматривающий частичное обеспечение. </w:t>
      </w: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r w:rsidRPr="00341240">
        <w:rPr>
          <w:rFonts w:ascii="Times New Roman" w:eastAsia="Calibri" w:hAnsi="Times New Roman" w:cs="Arial"/>
          <w:noProof/>
          <w:sz w:val="24"/>
          <w:szCs w:val="24"/>
          <w:lang w:eastAsia="ru-RU"/>
        </w:rPr>
        <w:t>НКЦ получил право выполнять функцию также и оператора товарных поставок на основанни предоставленной Банку аккредитации Банком России. Данная функция прописана в 07-ФЗ "О клиринге и клиринговой деятельности"  и предусматривает учет товаров, переданных  на хранение оператору товарных поставок на товарных счетах. Таким образом, НКЦ стал первой в России кредитной организацией - оператором товарных поставок. На данном этапе НКЦ хранит зерно на ограниченном количестве элеваторов, при этом в течение следующего года Группа "Московская Биржа" рассчитывает аккредитовать большинство российских элеваторов, соотвествующих всем требованиям к технологии хранения, и привлекательных для клиентов Группы с точки зрения логистики.</w:t>
      </w: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r w:rsidRPr="00341240">
        <w:rPr>
          <w:rFonts w:ascii="Times New Roman" w:eastAsia="Calibri" w:hAnsi="Times New Roman" w:cs="Arial"/>
          <w:noProof/>
          <w:sz w:val="24"/>
          <w:szCs w:val="24"/>
          <w:lang w:eastAsia="ru-RU"/>
        </w:rPr>
        <w:t>Рынок зерна предусматривает клиринг с центральным контрагентом по результатам торгов, а также доставку товара (базисного актива форвардных контрактов) от продавца покупателю. Во время торгов для участников торгов и их клиентов предусмотрена возможность заключить договор на организацию перевозки товара до любой железнодорожнойстанции Российской Федерации(договор транспортной экспедиции). Для экспедиторского обслуживания участников торгов и клиринга Московской Биржи создана отдельная организация – ООО "Национальная логистическая компания".</w:t>
      </w: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p>
    <w:p w:rsidR="00341240" w:rsidRPr="00341240" w:rsidRDefault="00341240" w:rsidP="00341240">
      <w:pPr>
        <w:tabs>
          <w:tab w:val="right" w:pos="9356"/>
        </w:tabs>
        <w:autoSpaceDE w:val="0"/>
        <w:autoSpaceDN w:val="0"/>
        <w:spacing w:after="0" w:line="360" w:lineRule="auto"/>
        <w:ind w:firstLine="709"/>
        <w:jc w:val="both"/>
        <w:rPr>
          <w:rFonts w:ascii="Times New Roman" w:eastAsia="Calibri" w:hAnsi="Times New Roman" w:cs="Times New Roman"/>
          <w:b/>
          <w:bCs/>
          <w:sz w:val="28"/>
          <w:szCs w:val="28"/>
        </w:rPr>
      </w:pPr>
      <w:r w:rsidRPr="00341240">
        <w:rPr>
          <w:rFonts w:ascii="Times New Roman" w:eastAsia="Calibri" w:hAnsi="Times New Roman" w:cs="Times New Roman"/>
          <w:b/>
          <w:noProof/>
          <w:sz w:val="24"/>
          <w:szCs w:val="24"/>
          <w:lang w:eastAsia="ru-RU"/>
        </w:rPr>
        <w:t xml:space="preserve">   </w:t>
      </w:r>
    </w:p>
    <w:p w:rsidR="00341240" w:rsidRPr="00341240" w:rsidRDefault="00341240" w:rsidP="00341240">
      <w:pPr>
        <w:ind w:right="76"/>
        <w:jc w:val="center"/>
        <w:rPr>
          <w:rFonts w:ascii="Times New Roman" w:eastAsia="Calibri" w:hAnsi="Times New Roman" w:cs="Times New Roman"/>
          <w:b/>
          <w:bCs/>
          <w:sz w:val="28"/>
          <w:szCs w:val="28"/>
        </w:rPr>
      </w:pPr>
      <w:r w:rsidRPr="00341240">
        <w:rPr>
          <w:rFonts w:ascii="Times New Roman" w:eastAsia="Calibri" w:hAnsi="Times New Roman" w:cs="Times New Roman"/>
          <w:b/>
          <w:bCs/>
          <w:sz w:val="28"/>
          <w:szCs w:val="28"/>
        </w:rPr>
        <w:t>5.5. Клиринговая деятельность на рынке стандартизированных ПФИ</w:t>
      </w: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r w:rsidRPr="00341240">
        <w:rPr>
          <w:rFonts w:ascii="Times New Roman" w:eastAsia="Calibri" w:hAnsi="Times New Roman" w:cs="Arial"/>
          <w:noProof/>
          <w:sz w:val="24"/>
          <w:szCs w:val="24"/>
          <w:lang w:eastAsia="ru-RU"/>
        </w:rPr>
        <w:t>НКЦ осуществляет клиринговую деятельность на рынке стандартизированных производных финансовых инструментов (ПФИ) Группы «Московская Биржа» с 2013 года. Рынок стандартизированных ПФИ был создан для реализации положений коммюнике, принятого по итогам встречи "двадцатки" в Питтсбурге в 2009 году, в котором была выражена согласованнная позиция лидеров G20 о необходимости перевода на биржевые площадки торгов стандартизированными производными финансовыми инструменты  с проведением  клиринга с участием  центрального контрагента.</w:t>
      </w: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r w:rsidRPr="00341240">
        <w:rPr>
          <w:rFonts w:ascii="Times New Roman" w:eastAsia="Calibri" w:hAnsi="Times New Roman" w:cs="Arial"/>
          <w:noProof/>
          <w:sz w:val="24"/>
          <w:szCs w:val="24"/>
          <w:lang w:eastAsia="ru-RU"/>
        </w:rPr>
        <w:t>В 2015 году НКЦ продолжил осуществление клиринга и выполнение функций центрального контрагента на рынке стандартизированных ПФИ. В связи с изменением законодательства, снимающего нагрузку на нормативы центрального контрагента при заключении внебиржевых сделок, с ноября 2015 г. были сняты ограничения на заключение внебиржевых сделок на рынке СПФИ. В результате были изменены спецификации существующих внебиржевых договоров, а также разработаны спецификации новых внебиржевых договоров, которые могут заключаться на рынке СПФИ. Новые спецификации были утверждены в декабре 2015 г.</w:t>
      </w: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r w:rsidRPr="00341240">
        <w:rPr>
          <w:rFonts w:ascii="Times New Roman" w:eastAsia="Calibri" w:hAnsi="Times New Roman" w:cs="Arial"/>
          <w:noProof/>
          <w:sz w:val="24"/>
          <w:szCs w:val="24"/>
          <w:lang w:eastAsia="ru-RU"/>
        </w:rPr>
        <w:t>Таким образом в отчетном году созданы возможности для того, чтобы в 2016 году  участникам были доступны для заключения следующие внебиржевые договоры: процентный своп, валютный своп, валютный форвард, валютный опцион.</w:t>
      </w: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r w:rsidRPr="00341240">
        <w:rPr>
          <w:rFonts w:ascii="Times New Roman" w:eastAsia="Calibri" w:hAnsi="Times New Roman" w:cs="Arial"/>
          <w:noProof/>
          <w:sz w:val="24"/>
          <w:szCs w:val="24"/>
          <w:lang w:eastAsia="ru-RU"/>
        </w:rPr>
        <w:t xml:space="preserve">Для обеспечения возможности заключения сделок участники клиринга вносят индивидуальное и коллективное клиринговое обеспечение как в российских рублях, так и в иностранной валюте (долларов США). Расчёты по итогам клиринга осуществляются с использованием клиринговых счетов НКЦ, открытых в НКО ЗАО НРД. </w:t>
      </w:r>
    </w:p>
    <w:p w:rsidR="00341240" w:rsidRPr="00341240" w:rsidRDefault="00341240" w:rsidP="00341240">
      <w:pPr>
        <w:tabs>
          <w:tab w:val="right" w:pos="9356"/>
        </w:tabs>
        <w:autoSpaceDE w:val="0"/>
        <w:autoSpaceDN w:val="0"/>
        <w:spacing w:after="0" w:line="240" w:lineRule="auto"/>
        <w:ind w:firstLine="709"/>
        <w:jc w:val="both"/>
        <w:rPr>
          <w:rFonts w:ascii="Times New Roman" w:eastAsia="Calibri" w:hAnsi="Times New Roman" w:cs="Arial"/>
          <w:noProof/>
          <w:sz w:val="24"/>
          <w:szCs w:val="24"/>
          <w:lang w:eastAsia="ru-RU"/>
        </w:rPr>
      </w:pPr>
      <w:r w:rsidRPr="00341240">
        <w:rPr>
          <w:rFonts w:ascii="Times New Roman" w:eastAsia="Calibri" w:hAnsi="Times New Roman" w:cs="Arial"/>
          <w:noProof/>
          <w:sz w:val="24"/>
          <w:szCs w:val="24"/>
          <w:lang w:eastAsia="ru-RU"/>
        </w:rPr>
        <w:t xml:space="preserve">По итогам 2015 г. количество участников рынка стандартизированных ПФИ увеличилось с 20 до 35. Участниками рынка стандартизированных ПФИ являются крупные российские банки, в том числе с иностранным участием, среди которых: ОАО «Сбербанк России», ОАО «Банк ВТБ», ООО «Дойче Банк», ЗАО «Банк Кредит Свисс (Москва)», ЗАО «Райффайзенбанк», «Инг Банк (Евразия) ЗАО». </w:t>
      </w:r>
    </w:p>
    <w:p w:rsidR="00341240" w:rsidRPr="00341240" w:rsidRDefault="00341240" w:rsidP="00341240">
      <w:pPr>
        <w:ind w:right="76"/>
        <w:rPr>
          <w:rFonts w:ascii="Times New Roman" w:eastAsia="Calibri" w:hAnsi="Times New Roman" w:cs="Times New Roman"/>
          <w:b/>
          <w:bCs/>
          <w:sz w:val="28"/>
          <w:szCs w:val="28"/>
        </w:rPr>
      </w:pPr>
    </w:p>
    <w:p w:rsidR="00341240" w:rsidRPr="00341240" w:rsidRDefault="00341240" w:rsidP="00341240">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sz w:val="28"/>
          <w:szCs w:val="28"/>
          <w:lang w:eastAsia="ru-RU"/>
        </w:rPr>
      </w:pPr>
      <w:r w:rsidRPr="00341240">
        <w:rPr>
          <w:rFonts w:ascii="Times New Roman" w:eastAsia="Times New Roman" w:hAnsi="Times New Roman" w:cs="Times New Roman"/>
          <w:b/>
          <w:sz w:val="28"/>
          <w:szCs w:val="28"/>
          <w:lang w:eastAsia="ru-RU"/>
        </w:rPr>
        <w:t>6.Собственные операции на финансовых рынках</w:t>
      </w:r>
    </w:p>
    <w:p w:rsidR="00341240" w:rsidRPr="00341240" w:rsidRDefault="00341240" w:rsidP="00341240">
      <w:pPr>
        <w:widowControl w:val="0"/>
        <w:overflowPunct w:val="0"/>
        <w:autoSpaceDE w:val="0"/>
        <w:autoSpaceDN w:val="0"/>
        <w:adjustRightInd w:val="0"/>
        <w:spacing w:after="0" w:line="240" w:lineRule="auto"/>
        <w:jc w:val="center"/>
        <w:textAlignment w:val="baseline"/>
        <w:outlineLvl w:val="0"/>
        <w:rPr>
          <w:rFonts w:ascii="Arial" w:eastAsia="Times New Roman" w:hAnsi="Arial" w:cs="Arial"/>
          <w:sz w:val="28"/>
          <w:szCs w:val="28"/>
          <w:lang w:eastAsia="ru-RU"/>
        </w:rPr>
      </w:pP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Операции на финансовых рынках в 2015 году осуществлялись в условиях  серьезного давления со стороны упомянутых выше внешних факторов и внутрироссийских  причин. В результате этого на российском  финансовом рынке существенно возросли все виды риска, особенно валютный, рыночный и процентный и, в следствие этого, существенно изменились ограничения на совершаемые операции, налагаемые на НКЦ, как на центрального контрагента, в первую очередь со стороны регулятора – Банка России.</w:t>
      </w: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 xml:space="preserve">Изменения коснулись и операций по управлению ликвидностью, осуществляемых с целью обеспечения деятельности НКЦ как ЦК. </w:t>
      </w: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В условиях значительной неопределенности финансовых рынков основные усилия были направлены на:</w:t>
      </w:r>
    </w:p>
    <w:p w:rsidR="00341240" w:rsidRPr="00341240" w:rsidRDefault="00341240" w:rsidP="00AB0ACF">
      <w:pPr>
        <w:widowControl w:val="0"/>
        <w:numPr>
          <w:ilvl w:val="0"/>
          <w:numId w:val="68"/>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 xml:space="preserve">обеспечение основной деятельности НКЦ, как ЦК, путем совершения операций с обеспечением участников и управления денежными потоками в целях проведения расчетов; </w:t>
      </w:r>
    </w:p>
    <w:p w:rsidR="00341240" w:rsidRPr="00341240" w:rsidRDefault="00341240" w:rsidP="00AB0ACF">
      <w:pPr>
        <w:widowControl w:val="0"/>
        <w:numPr>
          <w:ilvl w:val="0"/>
          <w:numId w:val="68"/>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совершенствование системы управления позициями, возникающими в случае неисполнения обязательств участниками клиринга (дефолт-менеджмент), с целью снижения рыночного риска при соблюдении принципа безусловного выполнения обязательств НКЦ по клирингу;</w:t>
      </w:r>
    </w:p>
    <w:p w:rsidR="00341240" w:rsidRPr="00341240" w:rsidRDefault="00341240" w:rsidP="00AB0ACF">
      <w:pPr>
        <w:widowControl w:val="0"/>
        <w:numPr>
          <w:ilvl w:val="0"/>
          <w:numId w:val="68"/>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обеспечение оптимального соотношения ликвидности и доходности активов;</w:t>
      </w:r>
    </w:p>
    <w:p w:rsidR="00341240" w:rsidRPr="00341240" w:rsidRDefault="00341240" w:rsidP="00AB0ACF">
      <w:pPr>
        <w:widowControl w:val="0"/>
        <w:numPr>
          <w:ilvl w:val="0"/>
          <w:numId w:val="68"/>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изменение структуры портфеля активов НКЦ с целью снижения всех видов риска.</w:t>
      </w: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 xml:space="preserve">   Для обеспечения безусловного выполнения обязательств НКЦ как центрального контрагента в 2015 году продолжилось:</w:t>
      </w:r>
    </w:p>
    <w:p w:rsidR="00341240" w:rsidRPr="00341240" w:rsidRDefault="00341240" w:rsidP="00AB0ACF">
      <w:pPr>
        <w:widowControl w:val="0"/>
        <w:numPr>
          <w:ilvl w:val="0"/>
          <w:numId w:val="69"/>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расширение сети корреспондентских счетов НКЦ;</w:t>
      </w:r>
    </w:p>
    <w:p w:rsidR="00341240" w:rsidRPr="00341240" w:rsidRDefault="00341240" w:rsidP="00AB0ACF">
      <w:pPr>
        <w:widowControl w:val="0"/>
        <w:numPr>
          <w:ilvl w:val="0"/>
          <w:numId w:val="69"/>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увеличение объема ценных бумаг, обеспечивающих возможность получения кредитов от Банка России и заключения с Банком России сделок РЕПО с ценными бумагами, в качестве потенциальных источников финансирования.</w:t>
      </w: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Расширение сети корреспондентских счетов НКЦ осуществлялось как для обслуживания новых и планируемых финансовых инструментов, так и для оптимизации процесса управления активами.</w:t>
      </w: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В течение года было открыто 7 новых корреспондентских счетов, в том числе:</w:t>
      </w:r>
    </w:p>
    <w:p w:rsidR="00341240" w:rsidRPr="00341240" w:rsidRDefault="00341240" w:rsidP="00AB0ACF">
      <w:pPr>
        <w:widowControl w:val="0"/>
        <w:numPr>
          <w:ilvl w:val="0"/>
          <w:numId w:val="70"/>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для ускорения расчетов по итогам торгов в фунтах – 2;</w:t>
      </w:r>
    </w:p>
    <w:p w:rsidR="00341240" w:rsidRPr="00341240" w:rsidRDefault="00341240" w:rsidP="00AB0ACF">
      <w:pPr>
        <w:widowControl w:val="0"/>
        <w:numPr>
          <w:ilvl w:val="0"/>
          <w:numId w:val="70"/>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для целей эффективного управления ликвидностью в долларах США, евро и швейцарских франках -5.</w:t>
      </w: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Также, для обеспечения расчетов в финансовых инструментов в национальных валютах стран СНГ, были открыты счета:</w:t>
      </w:r>
    </w:p>
    <w:p w:rsidR="00341240" w:rsidRPr="00341240" w:rsidRDefault="00341240" w:rsidP="00AB0ACF">
      <w:pPr>
        <w:widowControl w:val="0"/>
        <w:numPr>
          <w:ilvl w:val="0"/>
          <w:numId w:val="71"/>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в таджикских сомони в Национальном банке Таджикистана;</w:t>
      </w:r>
    </w:p>
    <w:p w:rsidR="00341240" w:rsidRPr="00341240" w:rsidRDefault="00341240" w:rsidP="00AB0ACF">
      <w:pPr>
        <w:widowControl w:val="0"/>
        <w:numPr>
          <w:ilvl w:val="0"/>
          <w:numId w:val="71"/>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в белорусских рублях в Национальном банке Республики Беларусь.</w:t>
      </w: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highlight w:val="yellow"/>
          <w:lang w:eastAsia="ru-RU"/>
        </w:rPr>
      </w:pP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 xml:space="preserve"> Количество случаев технического дефолта, закрытия позиций в результате неисполнения обязательств участником клиринга и закрытие позиций банков при отзыве лицензий  в целом стабилизировалось,  а по отдельным валютам даже уменьшилось,  что проиллюстрировано на приведенном ниже графике. При этом объем таких позиций вырос примерно на 40% - по основным валютам – доллар США и рубль. (см. Таблицу 1).</w:t>
      </w: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 xml:space="preserve">        </w:t>
      </w:r>
      <w:r w:rsidRPr="00341240">
        <w:rPr>
          <w:rFonts w:ascii="Times New Roman" w:eastAsia="Times New Roman" w:hAnsi="Times New Roman" w:cs="Times New Roman"/>
          <w:sz w:val="24"/>
          <w:szCs w:val="24"/>
          <w:lang w:eastAsia="ru-RU"/>
        </w:rPr>
        <w:tab/>
      </w:r>
      <w:r w:rsidRPr="00341240">
        <w:rPr>
          <w:rFonts w:ascii="Times New Roman" w:eastAsia="Times New Roman" w:hAnsi="Times New Roman" w:cs="Times New Roman"/>
          <w:sz w:val="24"/>
          <w:szCs w:val="24"/>
          <w:lang w:eastAsia="ru-RU"/>
        </w:rPr>
        <w:tab/>
      </w:r>
      <w:r w:rsidRPr="00341240">
        <w:rPr>
          <w:rFonts w:ascii="Times New Roman" w:eastAsia="Times New Roman" w:hAnsi="Times New Roman" w:cs="Times New Roman"/>
          <w:sz w:val="24"/>
          <w:szCs w:val="24"/>
          <w:lang w:eastAsia="ru-RU"/>
        </w:rPr>
        <w:tab/>
      </w:r>
      <w:r w:rsidRPr="00341240">
        <w:rPr>
          <w:rFonts w:ascii="Times New Roman" w:eastAsia="Times New Roman" w:hAnsi="Times New Roman" w:cs="Times New Roman"/>
          <w:sz w:val="24"/>
          <w:szCs w:val="24"/>
          <w:lang w:eastAsia="ru-RU"/>
        </w:rPr>
        <w:tab/>
      </w:r>
      <w:r w:rsidRPr="00341240">
        <w:rPr>
          <w:rFonts w:ascii="Times New Roman" w:eastAsia="Times New Roman" w:hAnsi="Times New Roman" w:cs="Times New Roman"/>
          <w:sz w:val="24"/>
          <w:szCs w:val="24"/>
          <w:lang w:eastAsia="ru-RU"/>
        </w:rPr>
        <w:tab/>
      </w:r>
      <w:r w:rsidRPr="00341240">
        <w:rPr>
          <w:rFonts w:ascii="Times New Roman" w:eastAsia="Times New Roman" w:hAnsi="Times New Roman" w:cs="Times New Roman"/>
          <w:sz w:val="24"/>
          <w:szCs w:val="24"/>
          <w:lang w:eastAsia="ru-RU"/>
        </w:rPr>
        <w:tab/>
      </w:r>
      <w:r w:rsidRPr="00341240">
        <w:rPr>
          <w:rFonts w:ascii="Times New Roman" w:eastAsia="Times New Roman" w:hAnsi="Times New Roman" w:cs="Times New Roman"/>
          <w:sz w:val="24"/>
          <w:szCs w:val="24"/>
          <w:lang w:eastAsia="ru-RU"/>
        </w:rPr>
        <w:tab/>
      </w:r>
      <w:r w:rsidRPr="00341240">
        <w:rPr>
          <w:rFonts w:ascii="Times New Roman" w:eastAsia="Times New Roman" w:hAnsi="Times New Roman" w:cs="Times New Roman"/>
          <w:sz w:val="24"/>
          <w:szCs w:val="24"/>
          <w:lang w:eastAsia="ru-RU"/>
        </w:rPr>
        <w:tab/>
      </w:r>
      <w:r w:rsidRPr="00341240">
        <w:rPr>
          <w:rFonts w:ascii="Times New Roman" w:eastAsia="Times New Roman" w:hAnsi="Times New Roman" w:cs="Times New Roman"/>
          <w:sz w:val="24"/>
          <w:szCs w:val="24"/>
          <w:lang w:eastAsia="ru-RU"/>
        </w:rPr>
        <w:tab/>
      </w:r>
      <w:r w:rsidRPr="00341240">
        <w:rPr>
          <w:rFonts w:ascii="Times New Roman" w:eastAsia="Times New Roman" w:hAnsi="Times New Roman" w:cs="Times New Roman"/>
          <w:sz w:val="24"/>
          <w:szCs w:val="24"/>
          <w:lang w:eastAsia="ru-RU"/>
        </w:rPr>
        <w:tab/>
        <w:t>Таблица 1.</w:t>
      </w:r>
    </w:p>
    <w:tbl>
      <w:tblPr>
        <w:tblW w:w="9020" w:type="dxa"/>
        <w:tblInd w:w="93" w:type="dxa"/>
        <w:tblLook w:val="04A0" w:firstRow="1" w:lastRow="0" w:firstColumn="1" w:lastColumn="0" w:noHBand="0" w:noVBand="1"/>
      </w:tblPr>
      <w:tblGrid>
        <w:gridCol w:w="3053"/>
        <w:gridCol w:w="1588"/>
        <w:gridCol w:w="1341"/>
        <w:gridCol w:w="1697"/>
        <w:gridCol w:w="1341"/>
      </w:tblGrid>
      <w:tr w:rsidR="00341240" w:rsidRPr="00341240" w:rsidTr="00411971">
        <w:trPr>
          <w:trHeight w:val="780"/>
        </w:trPr>
        <w:tc>
          <w:tcPr>
            <w:tcW w:w="3053" w:type="dxa"/>
            <w:tcBorders>
              <w:top w:val="single" w:sz="12" w:space="0" w:color="auto"/>
              <w:left w:val="single" w:sz="12" w:space="0" w:color="auto"/>
              <w:bottom w:val="single" w:sz="12" w:space="0" w:color="auto"/>
              <w:right w:val="single" w:sz="8" w:space="0" w:color="auto"/>
            </w:tcBorders>
            <w:shd w:val="clear" w:color="auto" w:fill="auto"/>
            <w:vAlign w:val="center"/>
            <w:hideMark/>
          </w:tcPr>
          <w:p w:rsidR="00341240" w:rsidRPr="00341240" w:rsidRDefault="00341240" w:rsidP="00341240">
            <w:pPr>
              <w:spacing w:after="0" w:line="240" w:lineRule="auto"/>
              <w:jc w:val="center"/>
              <w:rPr>
                <w:rFonts w:ascii="Times New Roman" w:eastAsia="Times New Roman" w:hAnsi="Times New Roman" w:cs="Times New Roman"/>
                <w:color w:val="000000"/>
                <w:sz w:val="24"/>
                <w:szCs w:val="24"/>
                <w:lang w:eastAsia="ru-RU"/>
              </w:rPr>
            </w:pPr>
            <w:r w:rsidRPr="00341240">
              <w:rPr>
                <w:rFonts w:ascii="Times New Roman" w:eastAsia="Times New Roman" w:hAnsi="Times New Roman" w:cs="Times New Roman"/>
                <w:color w:val="000000"/>
                <w:sz w:val="24"/>
                <w:szCs w:val="24"/>
                <w:lang w:eastAsia="ru-RU"/>
              </w:rPr>
              <w:t>Операции</w:t>
            </w:r>
          </w:p>
        </w:tc>
        <w:tc>
          <w:tcPr>
            <w:tcW w:w="1588" w:type="dxa"/>
            <w:tcBorders>
              <w:top w:val="single" w:sz="12" w:space="0" w:color="auto"/>
              <w:left w:val="nil"/>
              <w:bottom w:val="single" w:sz="12" w:space="0" w:color="auto"/>
              <w:right w:val="single" w:sz="8" w:space="0" w:color="auto"/>
            </w:tcBorders>
            <w:shd w:val="clear" w:color="auto" w:fill="auto"/>
            <w:vAlign w:val="center"/>
            <w:hideMark/>
          </w:tcPr>
          <w:p w:rsidR="00341240" w:rsidRPr="00341240" w:rsidRDefault="00341240" w:rsidP="00341240">
            <w:pPr>
              <w:spacing w:after="0" w:line="240" w:lineRule="auto"/>
              <w:jc w:val="center"/>
              <w:rPr>
                <w:rFonts w:ascii="Times New Roman" w:eastAsia="Times New Roman" w:hAnsi="Times New Roman" w:cs="Times New Roman"/>
                <w:color w:val="000000"/>
                <w:sz w:val="24"/>
                <w:szCs w:val="24"/>
                <w:lang w:eastAsia="ru-RU"/>
              </w:rPr>
            </w:pPr>
            <w:r w:rsidRPr="00341240">
              <w:rPr>
                <w:rFonts w:ascii="Times New Roman" w:eastAsia="Times New Roman" w:hAnsi="Times New Roman" w:cs="Times New Roman"/>
                <w:color w:val="000000"/>
                <w:sz w:val="24"/>
                <w:szCs w:val="24"/>
                <w:lang w:eastAsia="ru-RU"/>
              </w:rPr>
              <w:t>Кол-во операций</w:t>
            </w:r>
          </w:p>
        </w:tc>
        <w:tc>
          <w:tcPr>
            <w:tcW w:w="1341" w:type="dxa"/>
            <w:tcBorders>
              <w:top w:val="single" w:sz="12" w:space="0" w:color="auto"/>
              <w:left w:val="nil"/>
              <w:bottom w:val="single" w:sz="12" w:space="0" w:color="auto"/>
              <w:right w:val="single" w:sz="12" w:space="0" w:color="auto"/>
            </w:tcBorders>
            <w:shd w:val="clear" w:color="auto" w:fill="auto"/>
            <w:vAlign w:val="center"/>
            <w:hideMark/>
          </w:tcPr>
          <w:p w:rsidR="00341240" w:rsidRPr="00341240" w:rsidRDefault="00341240" w:rsidP="00341240">
            <w:pPr>
              <w:spacing w:after="0" w:line="240" w:lineRule="auto"/>
              <w:jc w:val="center"/>
              <w:rPr>
                <w:rFonts w:ascii="Times New Roman" w:eastAsia="Times New Roman" w:hAnsi="Times New Roman" w:cs="Times New Roman"/>
                <w:color w:val="000000"/>
                <w:sz w:val="24"/>
                <w:szCs w:val="24"/>
                <w:lang w:eastAsia="ru-RU"/>
              </w:rPr>
            </w:pPr>
            <w:r w:rsidRPr="00341240">
              <w:rPr>
                <w:rFonts w:ascii="Times New Roman" w:eastAsia="Times New Roman" w:hAnsi="Times New Roman" w:cs="Times New Roman"/>
                <w:color w:val="000000"/>
                <w:sz w:val="24"/>
                <w:szCs w:val="24"/>
                <w:lang w:eastAsia="ru-RU"/>
              </w:rPr>
              <w:t>Изменение к 2014, %</w:t>
            </w:r>
          </w:p>
        </w:tc>
        <w:tc>
          <w:tcPr>
            <w:tcW w:w="1697" w:type="dxa"/>
            <w:tcBorders>
              <w:top w:val="single" w:sz="12" w:space="0" w:color="auto"/>
              <w:left w:val="nil"/>
              <w:bottom w:val="single" w:sz="12" w:space="0" w:color="auto"/>
              <w:right w:val="single" w:sz="8" w:space="0" w:color="auto"/>
            </w:tcBorders>
            <w:shd w:val="clear" w:color="auto" w:fill="auto"/>
            <w:vAlign w:val="center"/>
            <w:hideMark/>
          </w:tcPr>
          <w:p w:rsidR="00341240" w:rsidRPr="00341240" w:rsidRDefault="00341240" w:rsidP="00341240">
            <w:pPr>
              <w:spacing w:after="0" w:line="240" w:lineRule="auto"/>
              <w:jc w:val="center"/>
              <w:rPr>
                <w:rFonts w:ascii="Times New Roman" w:eastAsia="Times New Roman" w:hAnsi="Times New Roman" w:cs="Times New Roman"/>
                <w:color w:val="000000"/>
                <w:sz w:val="24"/>
                <w:szCs w:val="24"/>
                <w:lang w:eastAsia="ru-RU"/>
              </w:rPr>
            </w:pPr>
            <w:r w:rsidRPr="00341240">
              <w:rPr>
                <w:rFonts w:ascii="Times New Roman" w:eastAsia="Times New Roman" w:hAnsi="Times New Roman" w:cs="Times New Roman"/>
                <w:color w:val="000000"/>
                <w:sz w:val="24"/>
                <w:szCs w:val="24"/>
                <w:lang w:eastAsia="ru-RU"/>
              </w:rPr>
              <w:t>Объем, млн рублей</w:t>
            </w:r>
          </w:p>
        </w:tc>
        <w:tc>
          <w:tcPr>
            <w:tcW w:w="1341" w:type="dxa"/>
            <w:tcBorders>
              <w:top w:val="single" w:sz="12" w:space="0" w:color="auto"/>
              <w:left w:val="nil"/>
              <w:bottom w:val="single" w:sz="12" w:space="0" w:color="auto"/>
              <w:right w:val="single" w:sz="12" w:space="0" w:color="auto"/>
            </w:tcBorders>
            <w:shd w:val="clear" w:color="auto" w:fill="auto"/>
            <w:vAlign w:val="center"/>
            <w:hideMark/>
          </w:tcPr>
          <w:p w:rsidR="00341240" w:rsidRPr="00341240" w:rsidRDefault="00341240" w:rsidP="00341240">
            <w:pPr>
              <w:spacing w:after="0" w:line="240" w:lineRule="auto"/>
              <w:jc w:val="center"/>
              <w:rPr>
                <w:rFonts w:ascii="Times New Roman" w:eastAsia="Times New Roman" w:hAnsi="Times New Roman" w:cs="Times New Roman"/>
                <w:color w:val="000000"/>
                <w:sz w:val="24"/>
                <w:szCs w:val="24"/>
                <w:lang w:eastAsia="ru-RU"/>
              </w:rPr>
            </w:pPr>
            <w:r w:rsidRPr="00341240">
              <w:rPr>
                <w:rFonts w:ascii="Times New Roman" w:eastAsia="Times New Roman" w:hAnsi="Times New Roman" w:cs="Times New Roman"/>
                <w:color w:val="000000"/>
                <w:sz w:val="24"/>
                <w:szCs w:val="24"/>
                <w:lang w:eastAsia="ru-RU"/>
              </w:rPr>
              <w:t>Изменение к 2014, %</w:t>
            </w:r>
          </w:p>
        </w:tc>
      </w:tr>
      <w:tr w:rsidR="00341240" w:rsidRPr="00341240" w:rsidTr="00411971">
        <w:trPr>
          <w:trHeight w:val="255"/>
        </w:trPr>
        <w:tc>
          <w:tcPr>
            <w:tcW w:w="9020" w:type="dxa"/>
            <w:gridSpan w:val="5"/>
            <w:tcBorders>
              <w:top w:val="single" w:sz="12" w:space="0" w:color="auto"/>
              <w:left w:val="single" w:sz="12" w:space="0" w:color="auto"/>
              <w:bottom w:val="single" w:sz="8" w:space="0" w:color="auto"/>
              <w:right w:val="single" w:sz="12" w:space="0" w:color="auto"/>
            </w:tcBorders>
            <w:shd w:val="clear" w:color="000000" w:fill="CCFFFF"/>
            <w:vAlign w:val="center"/>
            <w:hideMark/>
          </w:tcPr>
          <w:p w:rsidR="00341240" w:rsidRPr="00341240" w:rsidRDefault="00341240" w:rsidP="00341240">
            <w:pPr>
              <w:spacing w:after="0" w:line="240" w:lineRule="auto"/>
              <w:jc w:val="center"/>
              <w:rPr>
                <w:rFonts w:ascii="Times New Roman" w:eastAsia="Times New Roman" w:hAnsi="Times New Roman" w:cs="Times New Roman"/>
                <w:color w:val="000000"/>
                <w:sz w:val="24"/>
                <w:szCs w:val="24"/>
                <w:lang w:eastAsia="ru-RU"/>
              </w:rPr>
            </w:pPr>
            <w:r w:rsidRPr="00341240">
              <w:rPr>
                <w:rFonts w:ascii="Times New Roman" w:eastAsia="Times New Roman" w:hAnsi="Times New Roman" w:cs="Times New Roman"/>
                <w:color w:val="000000"/>
                <w:sz w:val="24"/>
                <w:szCs w:val="24"/>
                <w:lang w:eastAsia="ru-RU"/>
              </w:rPr>
              <w:t>Валютный рынок</w:t>
            </w:r>
          </w:p>
        </w:tc>
      </w:tr>
      <w:tr w:rsidR="00341240" w:rsidRPr="00341240" w:rsidTr="00411971">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textAlignment w:val="baseline"/>
              <w:rPr>
                <w:rFonts w:ascii="Times New Roman" w:eastAsia="Times New Roman" w:hAnsi="Times New Roman" w:cs="Times New Roman"/>
                <w:i/>
                <w:iCs/>
                <w:color w:val="000000"/>
                <w:sz w:val="20"/>
                <w:szCs w:val="20"/>
                <w:lang w:eastAsia="ru-RU"/>
              </w:rPr>
            </w:pPr>
            <w:r w:rsidRPr="00341240">
              <w:rPr>
                <w:rFonts w:ascii="Times New Roman" w:eastAsia="Times New Roman" w:hAnsi="Times New Roman" w:cs="Times New Roman"/>
                <w:i/>
                <w:iCs/>
                <w:color w:val="000000"/>
                <w:sz w:val="20"/>
                <w:szCs w:val="20"/>
                <w:lang w:eastAsia="ru-RU"/>
              </w:rPr>
              <w:t>Перенос позиций (СВОП)</w:t>
            </w:r>
          </w:p>
        </w:tc>
        <w:tc>
          <w:tcPr>
            <w:tcW w:w="1588"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4"/>
                <w:szCs w:val="24"/>
                <w:lang w:eastAsia="ru-RU"/>
              </w:rPr>
            </w:pPr>
            <w:r w:rsidRPr="00341240">
              <w:rPr>
                <w:rFonts w:ascii="Times New Roman" w:eastAsia="Times New Roman" w:hAnsi="Times New Roman" w:cs="Times New Roman"/>
                <w:color w:val="000000"/>
                <w:sz w:val="20"/>
                <w:szCs w:val="20"/>
                <w:lang w:eastAsia="ru-RU"/>
              </w:rPr>
              <w:t> </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spacing w:after="0" w:line="240" w:lineRule="auto"/>
              <w:jc w:val="right"/>
              <w:rPr>
                <w:rFonts w:ascii="Times New Roman" w:eastAsia="Times New Roman" w:hAnsi="Times New Roman" w:cs="Times New Roman"/>
                <w:color w:val="000000"/>
                <w:sz w:val="24"/>
                <w:szCs w:val="24"/>
                <w:lang w:eastAsia="ru-RU"/>
              </w:rPr>
            </w:pPr>
            <w:r w:rsidRPr="00341240">
              <w:rPr>
                <w:rFonts w:ascii="Times New Roman" w:eastAsia="Times New Roman" w:hAnsi="Times New Roman" w:cs="Times New Roman"/>
                <w:color w:val="000000"/>
                <w:sz w:val="24"/>
                <w:szCs w:val="24"/>
                <w:lang w:eastAsia="ru-RU"/>
              </w:rPr>
              <w:t> </w:t>
            </w:r>
          </w:p>
        </w:tc>
        <w:tc>
          <w:tcPr>
            <w:tcW w:w="1697"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spacing w:after="0" w:line="240" w:lineRule="auto"/>
              <w:jc w:val="right"/>
              <w:rPr>
                <w:rFonts w:ascii="Times New Roman" w:eastAsia="Times New Roman" w:hAnsi="Times New Roman" w:cs="Times New Roman"/>
                <w:color w:val="000000"/>
                <w:sz w:val="24"/>
                <w:szCs w:val="24"/>
                <w:lang w:eastAsia="ru-RU"/>
              </w:rPr>
            </w:pPr>
            <w:r w:rsidRPr="00341240">
              <w:rPr>
                <w:rFonts w:ascii="Times New Roman" w:eastAsia="Times New Roman" w:hAnsi="Times New Roman" w:cs="Times New Roman"/>
                <w:color w:val="000000"/>
                <w:sz w:val="24"/>
                <w:szCs w:val="24"/>
                <w:lang w:eastAsia="ru-RU"/>
              </w:rPr>
              <w:t> </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spacing w:after="0" w:line="240" w:lineRule="auto"/>
              <w:jc w:val="right"/>
              <w:rPr>
                <w:rFonts w:ascii="Times New Roman" w:eastAsia="Times New Roman" w:hAnsi="Times New Roman" w:cs="Times New Roman"/>
                <w:color w:val="000000"/>
                <w:sz w:val="24"/>
                <w:szCs w:val="24"/>
                <w:lang w:eastAsia="ru-RU"/>
              </w:rPr>
            </w:pPr>
            <w:r w:rsidRPr="00341240">
              <w:rPr>
                <w:rFonts w:ascii="Times New Roman" w:eastAsia="Times New Roman" w:hAnsi="Times New Roman" w:cs="Times New Roman"/>
                <w:color w:val="000000"/>
                <w:sz w:val="24"/>
                <w:szCs w:val="24"/>
                <w:lang w:eastAsia="ru-RU"/>
              </w:rPr>
              <w:t> </w:t>
            </w:r>
          </w:p>
        </w:tc>
      </w:tr>
      <w:tr w:rsidR="00341240" w:rsidRPr="00341240" w:rsidTr="00411971">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USD</w:t>
            </w:r>
          </w:p>
        </w:tc>
        <w:tc>
          <w:tcPr>
            <w:tcW w:w="1588"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298</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-44%</w:t>
            </w:r>
          </w:p>
        </w:tc>
        <w:tc>
          <w:tcPr>
            <w:tcW w:w="1697"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82 554</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17%</w:t>
            </w:r>
          </w:p>
        </w:tc>
      </w:tr>
      <w:tr w:rsidR="00341240" w:rsidRPr="00341240" w:rsidTr="00411971">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EUR</w:t>
            </w:r>
          </w:p>
        </w:tc>
        <w:tc>
          <w:tcPr>
            <w:tcW w:w="1588"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114</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-7%</w:t>
            </w:r>
          </w:p>
        </w:tc>
        <w:tc>
          <w:tcPr>
            <w:tcW w:w="1697"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12 835</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-70%</w:t>
            </w:r>
          </w:p>
        </w:tc>
      </w:tr>
      <w:tr w:rsidR="00341240" w:rsidRPr="00341240" w:rsidTr="00411971">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CNY</w:t>
            </w:r>
          </w:p>
        </w:tc>
        <w:tc>
          <w:tcPr>
            <w:tcW w:w="1588"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15</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67%</w:t>
            </w:r>
          </w:p>
        </w:tc>
        <w:tc>
          <w:tcPr>
            <w:tcW w:w="1697"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484</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-88%</w:t>
            </w:r>
          </w:p>
        </w:tc>
      </w:tr>
      <w:tr w:rsidR="00341240" w:rsidRPr="00341240" w:rsidTr="00411971">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GBP</w:t>
            </w:r>
          </w:p>
        </w:tc>
        <w:tc>
          <w:tcPr>
            <w:tcW w:w="1588"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27</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2600%</w:t>
            </w:r>
          </w:p>
        </w:tc>
        <w:tc>
          <w:tcPr>
            <w:tcW w:w="1697"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266</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35461%</w:t>
            </w:r>
          </w:p>
        </w:tc>
      </w:tr>
      <w:tr w:rsidR="00341240" w:rsidRPr="00341240" w:rsidTr="00411971">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HKD</w:t>
            </w:r>
          </w:p>
        </w:tc>
        <w:tc>
          <w:tcPr>
            <w:tcW w:w="1588"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2</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100%</w:t>
            </w:r>
          </w:p>
        </w:tc>
        <w:tc>
          <w:tcPr>
            <w:tcW w:w="1697"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1</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12400%</w:t>
            </w:r>
          </w:p>
        </w:tc>
      </w:tr>
      <w:tr w:rsidR="00341240" w:rsidRPr="00341240" w:rsidTr="00411971">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BYR</w:t>
            </w:r>
          </w:p>
        </w:tc>
        <w:tc>
          <w:tcPr>
            <w:tcW w:w="1588"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3</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w:t>
            </w:r>
          </w:p>
        </w:tc>
        <w:tc>
          <w:tcPr>
            <w:tcW w:w="1697"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2</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w:t>
            </w:r>
          </w:p>
        </w:tc>
      </w:tr>
      <w:tr w:rsidR="00341240" w:rsidRPr="00341240" w:rsidTr="00411971">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SLV</w:t>
            </w:r>
          </w:p>
        </w:tc>
        <w:tc>
          <w:tcPr>
            <w:tcW w:w="1588"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1</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w:t>
            </w:r>
          </w:p>
        </w:tc>
        <w:tc>
          <w:tcPr>
            <w:tcW w:w="1697"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0</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w:t>
            </w:r>
          </w:p>
        </w:tc>
      </w:tr>
      <w:tr w:rsidR="00341240" w:rsidRPr="00341240" w:rsidTr="00411971">
        <w:trPr>
          <w:trHeight w:val="570"/>
        </w:trPr>
        <w:tc>
          <w:tcPr>
            <w:tcW w:w="3053" w:type="dxa"/>
            <w:tcBorders>
              <w:top w:val="nil"/>
              <w:left w:val="single" w:sz="12" w:space="0" w:color="auto"/>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textAlignment w:val="baseline"/>
              <w:rPr>
                <w:rFonts w:ascii="Times New Roman" w:eastAsia="Times New Roman" w:hAnsi="Times New Roman" w:cs="Times New Roman"/>
                <w:i/>
                <w:iCs/>
                <w:color w:val="000000"/>
                <w:sz w:val="20"/>
                <w:szCs w:val="20"/>
                <w:lang w:eastAsia="ru-RU"/>
              </w:rPr>
            </w:pPr>
            <w:r w:rsidRPr="00341240">
              <w:rPr>
                <w:rFonts w:ascii="Times New Roman" w:eastAsia="Times New Roman" w:hAnsi="Times New Roman" w:cs="Times New Roman"/>
                <w:i/>
                <w:iCs/>
                <w:color w:val="000000"/>
                <w:sz w:val="20"/>
                <w:szCs w:val="20"/>
                <w:lang w:eastAsia="ru-RU"/>
              </w:rPr>
              <w:t xml:space="preserve">Регулирование маржинальных требований </w:t>
            </w:r>
          </w:p>
        </w:tc>
        <w:tc>
          <w:tcPr>
            <w:tcW w:w="1588"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w:t>
            </w:r>
          </w:p>
        </w:tc>
        <w:tc>
          <w:tcPr>
            <w:tcW w:w="1697"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w:t>
            </w:r>
          </w:p>
        </w:tc>
      </w:tr>
      <w:tr w:rsidR="00341240" w:rsidRPr="00341240" w:rsidTr="00411971">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RUB</w:t>
            </w:r>
          </w:p>
        </w:tc>
        <w:tc>
          <w:tcPr>
            <w:tcW w:w="1588"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14</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-55%</w:t>
            </w:r>
          </w:p>
        </w:tc>
        <w:tc>
          <w:tcPr>
            <w:tcW w:w="1697"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682</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105%</w:t>
            </w:r>
          </w:p>
        </w:tc>
      </w:tr>
      <w:tr w:rsidR="00341240" w:rsidRPr="00341240" w:rsidTr="00411971">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textAlignment w:val="baseline"/>
              <w:rPr>
                <w:rFonts w:ascii="Times New Roman" w:eastAsia="Times New Roman" w:hAnsi="Times New Roman" w:cs="Times New Roman"/>
                <w:i/>
                <w:iCs/>
                <w:color w:val="000000"/>
                <w:sz w:val="20"/>
                <w:szCs w:val="20"/>
                <w:lang w:eastAsia="ru-RU"/>
              </w:rPr>
            </w:pPr>
            <w:r w:rsidRPr="00341240">
              <w:rPr>
                <w:rFonts w:ascii="Times New Roman" w:eastAsia="Times New Roman" w:hAnsi="Times New Roman" w:cs="Times New Roman"/>
                <w:i/>
                <w:iCs/>
                <w:color w:val="000000"/>
                <w:sz w:val="20"/>
                <w:szCs w:val="20"/>
                <w:lang w:eastAsia="ru-RU"/>
              </w:rPr>
              <w:t>Закрытие позиций</w:t>
            </w:r>
          </w:p>
        </w:tc>
        <w:tc>
          <w:tcPr>
            <w:tcW w:w="1588"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w:t>
            </w:r>
          </w:p>
        </w:tc>
        <w:tc>
          <w:tcPr>
            <w:tcW w:w="1697"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w:t>
            </w:r>
          </w:p>
        </w:tc>
      </w:tr>
      <w:tr w:rsidR="00341240" w:rsidRPr="00341240" w:rsidTr="00411971">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USD</w:t>
            </w:r>
          </w:p>
        </w:tc>
        <w:tc>
          <w:tcPr>
            <w:tcW w:w="1588"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14</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75%</w:t>
            </w:r>
          </w:p>
        </w:tc>
        <w:tc>
          <w:tcPr>
            <w:tcW w:w="1697"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21 029</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454%</w:t>
            </w:r>
          </w:p>
        </w:tc>
      </w:tr>
      <w:tr w:rsidR="00341240" w:rsidRPr="00341240" w:rsidTr="00411971">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EUR</w:t>
            </w:r>
          </w:p>
        </w:tc>
        <w:tc>
          <w:tcPr>
            <w:tcW w:w="1588"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11</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38%</w:t>
            </w:r>
          </w:p>
        </w:tc>
        <w:tc>
          <w:tcPr>
            <w:tcW w:w="1697"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6 765</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443%</w:t>
            </w:r>
          </w:p>
        </w:tc>
      </w:tr>
      <w:tr w:rsidR="00341240" w:rsidRPr="00341240" w:rsidTr="00411971">
        <w:trPr>
          <w:trHeight w:val="255"/>
        </w:trPr>
        <w:tc>
          <w:tcPr>
            <w:tcW w:w="3053" w:type="dxa"/>
            <w:tcBorders>
              <w:top w:val="nil"/>
              <w:left w:val="single" w:sz="12" w:space="0" w:color="auto"/>
              <w:bottom w:val="single" w:sz="12"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CNY</w:t>
            </w:r>
          </w:p>
        </w:tc>
        <w:tc>
          <w:tcPr>
            <w:tcW w:w="1588" w:type="dxa"/>
            <w:tcBorders>
              <w:top w:val="nil"/>
              <w:left w:val="nil"/>
              <w:bottom w:val="single" w:sz="12"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0</w:t>
            </w:r>
          </w:p>
        </w:tc>
        <w:tc>
          <w:tcPr>
            <w:tcW w:w="1341" w:type="dxa"/>
            <w:tcBorders>
              <w:top w:val="nil"/>
              <w:left w:val="nil"/>
              <w:bottom w:val="single" w:sz="12"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w:t>
            </w:r>
          </w:p>
        </w:tc>
        <w:tc>
          <w:tcPr>
            <w:tcW w:w="1697" w:type="dxa"/>
            <w:tcBorders>
              <w:top w:val="nil"/>
              <w:left w:val="nil"/>
              <w:bottom w:val="single" w:sz="12"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w:t>
            </w:r>
          </w:p>
        </w:tc>
        <w:tc>
          <w:tcPr>
            <w:tcW w:w="1341" w:type="dxa"/>
            <w:tcBorders>
              <w:top w:val="nil"/>
              <w:left w:val="nil"/>
              <w:bottom w:val="single" w:sz="12" w:space="0" w:color="auto"/>
              <w:right w:val="single" w:sz="12" w:space="0" w:color="auto"/>
            </w:tcBorders>
            <w:shd w:val="clear" w:color="auto" w:fill="auto"/>
            <w:vAlign w:val="center"/>
            <w:hideMark/>
          </w:tcPr>
          <w:p w:rsidR="00341240" w:rsidRPr="00341240" w:rsidRDefault="00341240" w:rsidP="00341240">
            <w:pPr>
              <w:spacing w:after="0" w:line="240" w:lineRule="auto"/>
              <w:jc w:val="right"/>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w:t>
            </w:r>
          </w:p>
        </w:tc>
      </w:tr>
      <w:tr w:rsidR="00341240" w:rsidRPr="00341240" w:rsidTr="00411971">
        <w:trPr>
          <w:trHeight w:val="255"/>
        </w:trPr>
        <w:tc>
          <w:tcPr>
            <w:tcW w:w="9020" w:type="dxa"/>
            <w:gridSpan w:val="5"/>
            <w:tcBorders>
              <w:top w:val="single" w:sz="12" w:space="0" w:color="auto"/>
              <w:left w:val="single" w:sz="12" w:space="0" w:color="auto"/>
              <w:bottom w:val="single" w:sz="8" w:space="0" w:color="auto"/>
              <w:right w:val="single" w:sz="12" w:space="0" w:color="auto"/>
            </w:tcBorders>
            <w:shd w:val="clear" w:color="000000" w:fill="CCFFFF"/>
            <w:vAlign w:val="center"/>
            <w:hideMark/>
          </w:tcPr>
          <w:p w:rsidR="00341240" w:rsidRPr="00341240" w:rsidRDefault="00341240" w:rsidP="00341240">
            <w:pPr>
              <w:spacing w:after="0" w:line="240" w:lineRule="auto"/>
              <w:jc w:val="center"/>
              <w:rPr>
                <w:rFonts w:ascii="Times New Roman" w:eastAsia="Times New Roman" w:hAnsi="Times New Roman" w:cs="Times New Roman"/>
                <w:color w:val="000000"/>
                <w:sz w:val="24"/>
                <w:szCs w:val="24"/>
                <w:lang w:eastAsia="ru-RU"/>
              </w:rPr>
            </w:pPr>
            <w:r w:rsidRPr="00341240">
              <w:rPr>
                <w:rFonts w:ascii="Times New Roman" w:eastAsia="Times New Roman" w:hAnsi="Times New Roman" w:cs="Times New Roman"/>
                <w:color w:val="000000"/>
                <w:sz w:val="24"/>
                <w:szCs w:val="24"/>
                <w:lang w:eastAsia="ru-RU"/>
              </w:rPr>
              <w:t>Фондовый рынок</w:t>
            </w:r>
          </w:p>
        </w:tc>
      </w:tr>
      <w:tr w:rsidR="00341240" w:rsidRPr="00341240" w:rsidTr="00411971">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textAlignment w:val="baseline"/>
              <w:rPr>
                <w:rFonts w:ascii="Times New Roman" w:eastAsia="Times New Roman" w:hAnsi="Times New Roman" w:cs="Times New Roman"/>
                <w:i/>
                <w:iCs/>
                <w:color w:val="000000"/>
                <w:sz w:val="20"/>
                <w:szCs w:val="20"/>
                <w:lang w:eastAsia="ru-RU"/>
              </w:rPr>
            </w:pPr>
            <w:r w:rsidRPr="00341240">
              <w:rPr>
                <w:rFonts w:ascii="Times New Roman" w:eastAsia="Times New Roman" w:hAnsi="Times New Roman" w:cs="Times New Roman"/>
                <w:i/>
                <w:iCs/>
                <w:color w:val="000000"/>
                <w:sz w:val="20"/>
                <w:szCs w:val="20"/>
                <w:lang w:eastAsia="ru-RU"/>
              </w:rPr>
              <w:t>Перенос позиций (РЕПО+СВОП+купля/продажа)</w:t>
            </w:r>
          </w:p>
        </w:tc>
        <w:tc>
          <w:tcPr>
            <w:tcW w:w="1588"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w:t>
            </w:r>
          </w:p>
        </w:tc>
        <w:tc>
          <w:tcPr>
            <w:tcW w:w="1697"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w:t>
            </w:r>
          </w:p>
        </w:tc>
      </w:tr>
      <w:tr w:rsidR="00341240" w:rsidRPr="00341240" w:rsidTr="00411971">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RUB</w:t>
            </w:r>
          </w:p>
        </w:tc>
        <w:tc>
          <w:tcPr>
            <w:tcW w:w="1588"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642</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20%</w:t>
            </w:r>
          </w:p>
        </w:tc>
        <w:tc>
          <w:tcPr>
            <w:tcW w:w="1697"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34 298</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43%</w:t>
            </w:r>
          </w:p>
        </w:tc>
      </w:tr>
      <w:tr w:rsidR="00341240" w:rsidRPr="00341240" w:rsidTr="00411971">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textAlignment w:val="baseline"/>
              <w:rPr>
                <w:rFonts w:ascii="Times New Roman" w:eastAsia="Times New Roman" w:hAnsi="Times New Roman" w:cs="Times New Roman"/>
                <w:i/>
                <w:iCs/>
                <w:color w:val="000000"/>
                <w:sz w:val="20"/>
                <w:szCs w:val="20"/>
                <w:lang w:eastAsia="ru-RU"/>
              </w:rPr>
            </w:pPr>
            <w:r w:rsidRPr="00341240">
              <w:rPr>
                <w:rFonts w:ascii="Times New Roman" w:eastAsia="Times New Roman" w:hAnsi="Times New Roman" w:cs="Times New Roman"/>
                <w:i/>
                <w:iCs/>
                <w:color w:val="000000"/>
                <w:sz w:val="20"/>
                <w:szCs w:val="20"/>
                <w:lang w:eastAsia="ru-RU"/>
              </w:rPr>
              <w:t>Закрытие позиций (купля-продажа+ликвидационный неттинг+Т+2)</w:t>
            </w:r>
          </w:p>
        </w:tc>
        <w:tc>
          <w:tcPr>
            <w:tcW w:w="1588"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w:t>
            </w:r>
          </w:p>
        </w:tc>
        <w:tc>
          <w:tcPr>
            <w:tcW w:w="1697"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w:t>
            </w:r>
          </w:p>
        </w:tc>
      </w:tr>
      <w:tr w:rsidR="00341240" w:rsidRPr="00341240" w:rsidTr="00411971">
        <w:trPr>
          <w:trHeight w:val="255"/>
        </w:trPr>
        <w:tc>
          <w:tcPr>
            <w:tcW w:w="3053" w:type="dxa"/>
            <w:tcBorders>
              <w:top w:val="nil"/>
              <w:left w:val="single" w:sz="12" w:space="0" w:color="auto"/>
              <w:bottom w:val="single" w:sz="12"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RUB</w:t>
            </w:r>
          </w:p>
        </w:tc>
        <w:tc>
          <w:tcPr>
            <w:tcW w:w="1588" w:type="dxa"/>
            <w:tcBorders>
              <w:top w:val="nil"/>
              <w:left w:val="nil"/>
              <w:bottom w:val="single" w:sz="12"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6</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20%</w:t>
            </w:r>
          </w:p>
        </w:tc>
        <w:tc>
          <w:tcPr>
            <w:tcW w:w="1697" w:type="dxa"/>
            <w:tcBorders>
              <w:top w:val="nil"/>
              <w:left w:val="nil"/>
              <w:bottom w:val="single" w:sz="12"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693</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24%</w:t>
            </w:r>
          </w:p>
        </w:tc>
      </w:tr>
      <w:tr w:rsidR="00341240" w:rsidRPr="00341240" w:rsidTr="00411971">
        <w:trPr>
          <w:trHeight w:val="255"/>
        </w:trPr>
        <w:tc>
          <w:tcPr>
            <w:tcW w:w="9020" w:type="dxa"/>
            <w:gridSpan w:val="5"/>
            <w:tcBorders>
              <w:top w:val="single" w:sz="12" w:space="0" w:color="auto"/>
              <w:left w:val="single" w:sz="12" w:space="0" w:color="auto"/>
              <w:bottom w:val="single" w:sz="8" w:space="0" w:color="auto"/>
              <w:right w:val="single" w:sz="12" w:space="0" w:color="auto"/>
            </w:tcBorders>
            <w:shd w:val="clear" w:color="000000" w:fill="CCFFFF"/>
            <w:vAlign w:val="center"/>
            <w:hideMark/>
          </w:tcPr>
          <w:p w:rsidR="00341240" w:rsidRPr="00341240" w:rsidRDefault="00341240" w:rsidP="00341240">
            <w:pPr>
              <w:spacing w:after="0" w:line="240" w:lineRule="auto"/>
              <w:jc w:val="center"/>
              <w:rPr>
                <w:rFonts w:ascii="Times New Roman" w:eastAsia="Times New Roman" w:hAnsi="Times New Roman" w:cs="Times New Roman"/>
                <w:color w:val="000000"/>
                <w:sz w:val="24"/>
                <w:szCs w:val="24"/>
                <w:lang w:eastAsia="ru-RU"/>
              </w:rPr>
            </w:pPr>
            <w:r w:rsidRPr="00341240">
              <w:rPr>
                <w:rFonts w:ascii="Times New Roman" w:eastAsia="Times New Roman" w:hAnsi="Times New Roman" w:cs="Times New Roman"/>
                <w:color w:val="000000"/>
                <w:sz w:val="24"/>
                <w:szCs w:val="24"/>
                <w:lang w:eastAsia="ru-RU"/>
              </w:rPr>
              <w:t>Срочный  рынок</w:t>
            </w:r>
          </w:p>
        </w:tc>
      </w:tr>
      <w:tr w:rsidR="00341240" w:rsidRPr="00341240" w:rsidTr="00411971">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textAlignment w:val="baseline"/>
              <w:rPr>
                <w:rFonts w:ascii="Times New Roman" w:eastAsia="Times New Roman" w:hAnsi="Times New Roman" w:cs="Times New Roman"/>
                <w:i/>
                <w:iCs/>
                <w:color w:val="000000"/>
                <w:sz w:val="20"/>
                <w:szCs w:val="20"/>
                <w:lang w:eastAsia="ru-RU"/>
              </w:rPr>
            </w:pPr>
            <w:r w:rsidRPr="00341240">
              <w:rPr>
                <w:rFonts w:ascii="Times New Roman" w:eastAsia="Times New Roman" w:hAnsi="Times New Roman" w:cs="Times New Roman"/>
                <w:i/>
                <w:iCs/>
                <w:color w:val="000000"/>
                <w:sz w:val="20"/>
                <w:szCs w:val="20"/>
                <w:lang w:eastAsia="ru-RU"/>
              </w:rPr>
              <w:t>Закрытие позиций</w:t>
            </w:r>
          </w:p>
        </w:tc>
        <w:tc>
          <w:tcPr>
            <w:tcW w:w="1588"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spacing w:after="0" w:line="240" w:lineRule="auto"/>
              <w:jc w:val="right"/>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w:t>
            </w:r>
          </w:p>
        </w:tc>
        <w:tc>
          <w:tcPr>
            <w:tcW w:w="1697"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spacing w:after="0" w:line="240" w:lineRule="auto"/>
              <w:jc w:val="right"/>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spacing w:after="0" w:line="240" w:lineRule="auto"/>
              <w:jc w:val="right"/>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w:t>
            </w:r>
          </w:p>
        </w:tc>
      </w:tr>
      <w:tr w:rsidR="00341240" w:rsidRPr="00341240" w:rsidTr="00411971">
        <w:trPr>
          <w:trHeight w:val="255"/>
        </w:trPr>
        <w:tc>
          <w:tcPr>
            <w:tcW w:w="3053" w:type="dxa"/>
            <w:tcBorders>
              <w:top w:val="nil"/>
              <w:left w:val="single" w:sz="12" w:space="0" w:color="auto"/>
              <w:bottom w:val="single" w:sz="12"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RUB</w:t>
            </w:r>
          </w:p>
        </w:tc>
        <w:tc>
          <w:tcPr>
            <w:tcW w:w="1588" w:type="dxa"/>
            <w:tcBorders>
              <w:top w:val="nil"/>
              <w:left w:val="nil"/>
              <w:bottom w:val="single" w:sz="12"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2</w:t>
            </w:r>
          </w:p>
        </w:tc>
        <w:tc>
          <w:tcPr>
            <w:tcW w:w="1341" w:type="dxa"/>
            <w:tcBorders>
              <w:top w:val="nil"/>
              <w:left w:val="nil"/>
              <w:bottom w:val="single" w:sz="12"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-50%</w:t>
            </w:r>
          </w:p>
        </w:tc>
        <w:tc>
          <w:tcPr>
            <w:tcW w:w="1697" w:type="dxa"/>
            <w:tcBorders>
              <w:top w:val="nil"/>
              <w:left w:val="nil"/>
              <w:bottom w:val="single" w:sz="12"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18</w:t>
            </w:r>
          </w:p>
        </w:tc>
        <w:tc>
          <w:tcPr>
            <w:tcW w:w="1341" w:type="dxa"/>
            <w:tcBorders>
              <w:top w:val="nil"/>
              <w:left w:val="nil"/>
              <w:bottom w:val="single" w:sz="12" w:space="0" w:color="auto"/>
              <w:right w:val="single" w:sz="12" w:space="0" w:color="auto"/>
            </w:tcBorders>
            <w:shd w:val="clear" w:color="auto" w:fill="auto"/>
            <w:vAlign w:val="center"/>
            <w:hideMark/>
          </w:tcPr>
          <w:p w:rsidR="00341240" w:rsidRPr="00341240" w:rsidRDefault="00341240" w:rsidP="00341240">
            <w:pPr>
              <w:spacing w:after="0" w:line="240" w:lineRule="auto"/>
              <w:jc w:val="right"/>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70%</w:t>
            </w:r>
          </w:p>
        </w:tc>
      </w:tr>
      <w:tr w:rsidR="00341240" w:rsidRPr="00341240" w:rsidTr="00411971">
        <w:trPr>
          <w:trHeight w:val="255"/>
        </w:trPr>
        <w:tc>
          <w:tcPr>
            <w:tcW w:w="9020" w:type="dxa"/>
            <w:gridSpan w:val="5"/>
            <w:tcBorders>
              <w:top w:val="single" w:sz="12" w:space="0" w:color="auto"/>
              <w:left w:val="single" w:sz="12" w:space="0" w:color="auto"/>
              <w:bottom w:val="single" w:sz="8" w:space="0" w:color="auto"/>
              <w:right w:val="single" w:sz="12" w:space="0" w:color="auto"/>
            </w:tcBorders>
            <w:shd w:val="clear" w:color="000000" w:fill="FFFFCC"/>
            <w:vAlign w:val="center"/>
            <w:hideMark/>
          </w:tcPr>
          <w:p w:rsidR="00341240" w:rsidRPr="00341240" w:rsidRDefault="00341240" w:rsidP="00341240">
            <w:pPr>
              <w:spacing w:after="0" w:line="240" w:lineRule="auto"/>
              <w:jc w:val="center"/>
              <w:rPr>
                <w:rFonts w:ascii="Times New Roman" w:eastAsia="Times New Roman" w:hAnsi="Times New Roman" w:cs="Times New Roman"/>
                <w:color w:val="000000"/>
                <w:sz w:val="24"/>
                <w:szCs w:val="24"/>
                <w:lang w:eastAsia="ru-RU"/>
              </w:rPr>
            </w:pPr>
            <w:r w:rsidRPr="00341240">
              <w:rPr>
                <w:rFonts w:ascii="Times New Roman" w:eastAsia="Times New Roman" w:hAnsi="Times New Roman" w:cs="Times New Roman"/>
                <w:color w:val="000000"/>
                <w:sz w:val="24"/>
                <w:szCs w:val="24"/>
                <w:lang w:eastAsia="ru-RU"/>
              </w:rPr>
              <w:t>ИТОГО</w:t>
            </w:r>
          </w:p>
        </w:tc>
      </w:tr>
      <w:tr w:rsidR="00341240" w:rsidRPr="00341240" w:rsidTr="00411971">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USD</w:t>
            </w:r>
          </w:p>
        </w:tc>
        <w:tc>
          <w:tcPr>
            <w:tcW w:w="1588"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312</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-42%</w:t>
            </w:r>
          </w:p>
        </w:tc>
        <w:tc>
          <w:tcPr>
            <w:tcW w:w="1697"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103 583</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39%</w:t>
            </w:r>
          </w:p>
        </w:tc>
      </w:tr>
      <w:tr w:rsidR="00341240" w:rsidRPr="00341240" w:rsidTr="00411971">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EUR</w:t>
            </w:r>
          </w:p>
        </w:tc>
        <w:tc>
          <w:tcPr>
            <w:tcW w:w="1588"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125</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-4%</w:t>
            </w:r>
          </w:p>
        </w:tc>
        <w:tc>
          <w:tcPr>
            <w:tcW w:w="1697"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19 600</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-55%</w:t>
            </w:r>
          </w:p>
        </w:tc>
      </w:tr>
      <w:tr w:rsidR="00341240" w:rsidRPr="00341240" w:rsidTr="00411971">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CNY</w:t>
            </w:r>
          </w:p>
        </w:tc>
        <w:tc>
          <w:tcPr>
            <w:tcW w:w="1588"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15</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50%</w:t>
            </w:r>
          </w:p>
        </w:tc>
        <w:tc>
          <w:tcPr>
            <w:tcW w:w="1697"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484</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-88%</w:t>
            </w:r>
          </w:p>
        </w:tc>
      </w:tr>
      <w:tr w:rsidR="00341240" w:rsidRPr="00341240" w:rsidTr="00411971">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GBP</w:t>
            </w:r>
          </w:p>
        </w:tc>
        <w:tc>
          <w:tcPr>
            <w:tcW w:w="1588"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27</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w:t>
            </w:r>
          </w:p>
        </w:tc>
        <w:tc>
          <w:tcPr>
            <w:tcW w:w="1697"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266</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w:t>
            </w:r>
          </w:p>
        </w:tc>
      </w:tr>
      <w:tr w:rsidR="00341240" w:rsidRPr="00341240" w:rsidTr="00411971">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HKD</w:t>
            </w:r>
          </w:p>
        </w:tc>
        <w:tc>
          <w:tcPr>
            <w:tcW w:w="1588"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2</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w:t>
            </w:r>
          </w:p>
        </w:tc>
        <w:tc>
          <w:tcPr>
            <w:tcW w:w="1697"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1</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w:t>
            </w:r>
          </w:p>
        </w:tc>
      </w:tr>
      <w:tr w:rsidR="00341240" w:rsidRPr="00341240" w:rsidTr="00411971">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BYR</w:t>
            </w:r>
          </w:p>
        </w:tc>
        <w:tc>
          <w:tcPr>
            <w:tcW w:w="1588"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3</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w:t>
            </w:r>
          </w:p>
        </w:tc>
        <w:tc>
          <w:tcPr>
            <w:tcW w:w="1697"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2</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w:t>
            </w:r>
          </w:p>
        </w:tc>
      </w:tr>
      <w:tr w:rsidR="00341240" w:rsidRPr="00341240" w:rsidTr="00411971">
        <w:trPr>
          <w:trHeight w:val="255"/>
        </w:trPr>
        <w:tc>
          <w:tcPr>
            <w:tcW w:w="3053" w:type="dxa"/>
            <w:tcBorders>
              <w:top w:val="nil"/>
              <w:left w:val="single" w:sz="12" w:space="0" w:color="auto"/>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SLV</w:t>
            </w:r>
          </w:p>
        </w:tc>
        <w:tc>
          <w:tcPr>
            <w:tcW w:w="1588"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1</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w:t>
            </w:r>
          </w:p>
        </w:tc>
        <w:tc>
          <w:tcPr>
            <w:tcW w:w="1697" w:type="dxa"/>
            <w:tcBorders>
              <w:top w:val="nil"/>
              <w:left w:val="nil"/>
              <w:bottom w:val="single" w:sz="8"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0</w:t>
            </w:r>
          </w:p>
        </w:tc>
        <w:tc>
          <w:tcPr>
            <w:tcW w:w="1341" w:type="dxa"/>
            <w:tcBorders>
              <w:top w:val="nil"/>
              <w:left w:val="nil"/>
              <w:bottom w:val="single" w:sz="8"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w:t>
            </w:r>
          </w:p>
        </w:tc>
      </w:tr>
      <w:tr w:rsidR="00341240" w:rsidRPr="00341240" w:rsidTr="00411971">
        <w:trPr>
          <w:trHeight w:val="255"/>
        </w:trPr>
        <w:tc>
          <w:tcPr>
            <w:tcW w:w="3053" w:type="dxa"/>
            <w:tcBorders>
              <w:top w:val="nil"/>
              <w:left w:val="single" w:sz="12" w:space="0" w:color="auto"/>
              <w:bottom w:val="single" w:sz="12"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RUB</w:t>
            </w:r>
          </w:p>
        </w:tc>
        <w:tc>
          <w:tcPr>
            <w:tcW w:w="1588" w:type="dxa"/>
            <w:tcBorders>
              <w:top w:val="nil"/>
              <w:left w:val="nil"/>
              <w:bottom w:val="single" w:sz="12"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664</w:t>
            </w:r>
          </w:p>
        </w:tc>
        <w:tc>
          <w:tcPr>
            <w:tcW w:w="1341" w:type="dxa"/>
            <w:tcBorders>
              <w:top w:val="nil"/>
              <w:left w:val="nil"/>
              <w:bottom w:val="single" w:sz="12"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15%</w:t>
            </w:r>
          </w:p>
        </w:tc>
        <w:tc>
          <w:tcPr>
            <w:tcW w:w="1697" w:type="dxa"/>
            <w:tcBorders>
              <w:top w:val="single" w:sz="8" w:space="0" w:color="auto"/>
              <w:left w:val="nil"/>
              <w:bottom w:val="single" w:sz="12" w:space="0" w:color="auto"/>
              <w:right w:val="single" w:sz="8"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35 691</w:t>
            </w:r>
          </w:p>
        </w:tc>
        <w:tc>
          <w:tcPr>
            <w:tcW w:w="1341" w:type="dxa"/>
            <w:tcBorders>
              <w:top w:val="single" w:sz="8" w:space="0" w:color="auto"/>
              <w:left w:val="nil"/>
              <w:bottom w:val="single" w:sz="12" w:space="0" w:color="auto"/>
              <w:right w:val="single" w:sz="12" w:space="0" w:color="auto"/>
            </w:tcBorders>
            <w:shd w:val="clear" w:color="auto" w:fill="auto"/>
            <w:vAlign w:val="center"/>
            <w:hideMark/>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43%</w:t>
            </w:r>
          </w:p>
        </w:tc>
      </w:tr>
    </w:tbl>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p>
    <w:p w:rsidR="00341240" w:rsidRPr="00341240" w:rsidRDefault="00341240" w:rsidP="00341240">
      <w:pPr>
        <w:widowControl w:val="0"/>
        <w:overflowPunct w:val="0"/>
        <w:autoSpaceDE w:val="0"/>
        <w:autoSpaceDN w:val="0"/>
        <w:adjustRightInd w:val="0"/>
        <w:spacing w:after="0" w:line="240" w:lineRule="auto"/>
        <w:ind w:left="7788"/>
        <w:jc w:val="both"/>
        <w:textAlignment w:val="baseline"/>
        <w:rPr>
          <w:rFonts w:ascii="Times New Roman" w:eastAsia="Times New Roman" w:hAnsi="Times New Roman" w:cs="Times New Roman"/>
          <w:sz w:val="24"/>
          <w:szCs w:val="24"/>
          <w:lang w:eastAsia="ru-RU"/>
        </w:rPr>
      </w:pP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noProof/>
          <w:sz w:val="20"/>
          <w:szCs w:val="20"/>
          <w:lang w:eastAsia="ru-RU"/>
        </w:rPr>
        <w:drawing>
          <wp:inline distT="0" distB="0" distL="0" distR="0" wp14:anchorId="69B041A4" wp14:editId="29D32E16">
            <wp:extent cx="5924550" cy="3747770"/>
            <wp:effectExtent l="0" t="0" r="19050" b="2413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 xml:space="preserve"> Увеличение волатильности финансовых рынков, и, как следствие, увеличение ставки депонируемого участниками клиринга обеспечения для участия в торгах привело в первом квартале 2015 года к увеличению пассивов НКЦ во всех валютах. В течение года объемы обеспечения участников клиринга снижались, за исключением обеспечения в евро, что, скорее всего, обусловлено отрицательными ставками по данной валюте.</w:t>
      </w: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В результате вышеизложенных факторов пассивная база НКЦ изменилась следующим образом:</w:t>
      </w: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val="en-US" w:eastAsia="ru-RU"/>
        </w:rPr>
      </w:pPr>
      <w:r w:rsidRPr="00341240">
        <w:rPr>
          <w:rFonts w:ascii="Times New Roman" w:eastAsia="Times New Roman" w:hAnsi="Times New Roman" w:cs="Times New Roman"/>
          <w:sz w:val="24"/>
          <w:szCs w:val="24"/>
          <w:lang w:eastAsia="ru-RU"/>
        </w:rPr>
        <w:t>01.01.201</w:t>
      </w:r>
      <w:r w:rsidRPr="00341240">
        <w:rPr>
          <w:rFonts w:ascii="Times New Roman" w:eastAsia="Times New Roman" w:hAnsi="Times New Roman" w:cs="Times New Roman"/>
          <w:sz w:val="24"/>
          <w:szCs w:val="24"/>
          <w:lang w:val="en-US" w:eastAsia="ru-RU"/>
        </w:rPr>
        <w:t>5</w:t>
      </w:r>
    </w:p>
    <w:tbl>
      <w:tblPr>
        <w:tblW w:w="971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85"/>
        <w:gridCol w:w="1559"/>
        <w:gridCol w:w="1416"/>
        <w:gridCol w:w="1418"/>
        <w:gridCol w:w="2233"/>
      </w:tblGrid>
      <w:tr w:rsidR="00341240" w:rsidRPr="00341240" w:rsidTr="00411971">
        <w:tc>
          <w:tcPr>
            <w:tcW w:w="3085" w:type="dxa"/>
            <w:tcBorders>
              <w:top w:val="single" w:sz="12" w:space="0" w:color="auto"/>
              <w:bottom w:val="single" w:sz="12" w:space="0" w:color="auto"/>
              <w:right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Источник</w:t>
            </w:r>
          </w:p>
        </w:tc>
        <w:tc>
          <w:tcPr>
            <w:tcW w:w="1559" w:type="dxa"/>
            <w:tcBorders>
              <w:top w:val="single" w:sz="12" w:space="0" w:color="auto"/>
              <w:left w:val="single" w:sz="12" w:space="0" w:color="auto"/>
              <w:bottom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val="en-US" w:eastAsia="ru-RU"/>
              </w:rPr>
              <w:t>RUB</w:t>
            </w:r>
            <w:r w:rsidRPr="00341240">
              <w:rPr>
                <w:rFonts w:ascii="Times New Roman" w:eastAsia="Times New Roman" w:hAnsi="Times New Roman" w:cs="Times New Roman"/>
                <w:sz w:val="24"/>
                <w:szCs w:val="24"/>
                <w:lang w:eastAsia="ru-RU"/>
              </w:rPr>
              <w:t>, млн</w:t>
            </w:r>
          </w:p>
        </w:tc>
        <w:tc>
          <w:tcPr>
            <w:tcW w:w="1416" w:type="dxa"/>
            <w:tcBorders>
              <w:top w:val="single" w:sz="12" w:space="0" w:color="auto"/>
              <w:bottom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val="en-US" w:eastAsia="ru-RU"/>
              </w:rPr>
              <w:t>USD</w:t>
            </w:r>
            <w:r w:rsidRPr="00341240">
              <w:rPr>
                <w:rFonts w:ascii="Times New Roman" w:eastAsia="Times New Roman" w:hAnsi="Times New Roman" w:cs="Times New Roman"/>
                <w:sz w:val="24"/>
                <w:szCs w:val="24"/>
                <w:lang w:eastAsia="ru-RU"/>
              </w:rPr>
              <w:t>, млн</w:t>
            </w:r>
          </w:p>
        </w:tc>
        <w:tc>
          <w:tcPr>
            <w:tcW w:w="1418" w:type="dxa"/>
            <w:tcBorders>
              <w:top w:val="single" w:sz="12" w:space="0" w:color="auto"/>
              <w:bottom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val="en-US" w:eastAsia="ru-RU"/>
              </w:rPr>
              <w:t>EUR</w:t>
            </w:r>
            <w:r w:rsidRPr="00341240">
              <w:rPr>
                <w:rFonts w:ascii="Times New Roman" w:eastAsia="Times New Roman" w:hAnsi="Times New Roman" w:cs="Times New Roman"/>
                <w:sz w:val="24"/>
                <w:szCs w:val="24"/>
                <w:lang w:eastAsia="ru-RU"/>
              </w:rPr>
              <w:t>, млн</w:t>
            </w:r>
          </w:p>
        </w:tc>
        <w:tc>
          <w:tcPr>
            <w:tcW w:w="2233" w:type="dxa"/>
            <w:tcBorders>
              <w:top w:val="single" w:sz="12" w:space="0" w:color="auto"/>
              <w:bottom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 xml:space="preserve">Эквивалент, </w:t>
            </w:r>
            <w:r w:rsidRPr="00341240">
              <w:rPr>
                <w:rFonts w:ascii="Times New Roman" w:eastAsia="Times New Roman" w:hAnsi="Times New Roman" w:cs="Times New Roman"/>
                <w:sz w:val="24"/>
                <w:szCs w:val="24"/>
                <w:lang w:val="en-US" w:eastAsia="ru-RU"/>
              </w:rPr>
              <w:t>RUB</w:t>
            </w:r>
          </w:p>
        </w:tc>
      </w:tr>
      <w:tr w:rsidR="00341240" w:rsidRPr="00341240" w:rsidTr="00411971">
        <w:tc>
          <w:tcPr>
            <w:tcW w:w="3085" w:type="dxa"/>
            <w:tcBorders>
              <w:top w:val="single" w:sz="12" w:space="0" w:color="auto"/>
              <w:right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Валютный рынок</w:t>
            </w:r>
          </w:p>
        </w:tc>
        <w:tc>
          <w:tcPr>
            <w:tcW w:w="1559" w:type="dxa"/>
            <w:tcBorders>
              <w:top w:val="single" w:sz="12" w:space="0" w:color="auto"/>
              <w:left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104 568,278</w:t>
            </w:r>
          </w:p>
        </w:tc>
        <w:tc>
          <w:tcPr>
            <w:tcW w:w="1416" w:type="dxa"/>
            <w:tcBorders>
              <w:top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10 608,832</w:t>
            </w:r>
          </w:p>
        </w:tc>
        <w:tc>
          <w:tcPr>
            <w:tcW w:w="1418" w:type="dxa"/>
            <w:tcBorders>
              <w:top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4 712,276</w:t>
            </w:r>
          </w:p>
        </w:tc>
        <w:tc>
          <w:tcPr>
            <w:tcW w:w="2233" w:type="dxa"/>
            <w:tcBorders>
              <w:top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1 023 453,866</w:t>
            </w:r>
          </w:p>
        </w:tc>
      </w:tr>
      <w:tr w:rsidR="00341240" w:rsidRPr="00341240" w:rsidTr="00411971">
        <w:tc>
          <w:tcPr>
            <w:tcW w:w="3085" w:type="dxa"/>
            <w:tcBorders>
              <w:right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Срочный рынок</w:t>
            </w:r>
          </w:p>
        </w:tc>
        <w:tc>
          <w:tcPr>
            <w:tcW w:w="1559" w:type="dxa"/>
            <w:tcBorders>
              <w:left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63 194,016</w:t>
            </w:r>
          </w:p>
        </w:tc>
        <w:tc>
          <w:tcPr>
            <w:tcW w:w="1416" w:type="dxa"/>
            <w:shd w:val="clear" w:color="auto" w:fill="auto"/>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585,504</w:t>
            </w:r>
          </w:p>
        </w:tc>
        <w:tc>
          <w:tcPr>
            <w:tcW w:w="1418" w:type="dxa"/>
            <w:shd w:val="clear" w:color="auto" w:fill="auto"/>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139,206</w:t>
            </w:r>
          </w:p>
        </w:tc>
        <w:tc>
          <w:tcPr>
            <w:tcW w:w="2233" w:type="dxa"/>
            <w:shd w:val="clear" w:color="auto" w:fill="auto"/>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105 647,226</w:t>
            </w:r>
          </w:p>
        </w:tc>
      </w:tr>
      <w:tr w:rsidR="00341240" w:rsidRPr="00341240" w:rsidTr="00411971">
        <w:tc>
          <w:tcPr>
            <w:tcW w:w="3085" w:type="dxa"/>
            <w:tcBorders>
              <w:right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Т+, РЕПО с ЦК</w:t>
            </w:r>
          </w:p>
        </w:tc>
        <w:tc>
          <w:tcPr>
            <w:tcW w:w="1559" w:type="dxa"/>
            <w:tcBorders>
              <w:left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28 779,687</w:t>
            </w:r>
          </w:p>
        </w:tc>
        <w:tc>
          <w:tcPr>
            <w:tcW w:w="1416" w:type="dxa"/>
            <w:shd w:val="clear" w:color="auto" w:fill="auto"/>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181,711</w:t>
            </w:r>
          </w:p>
        </w:tc>
        <w:tc>
          <w:tcPr>
            <w:tcW w:w="1418" w:type="dxa"/>
            <w:shd w:val="clear" w:color="auto" w:fill="auto"/>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35,700</w:t>
            </w:r>
          </w:p>
        </w:tc>
        <w:tc>
          <w:tcPr>
            <w:tcW w:w="2233" w:type="dxa"/>
            <w:shd w:val="clear" w:color="auto" w:fill="auto"/>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41 422,265</w:t>
            </w:r>
          </w:p>
        </w:tc>
      </w:tr>
      <w:tr w:rsidR="00341240" w:rsidRPr="00341240" w:rsidTr="00411971">
        <w:tc>
          <w:tcPr>
            <w:tcW w:w="3085" w:type="dxa"/>
            <w:tcBorders>
              <w:bottom w:val="single" w:sz="12" w:space="0" w:color="auto"/>
              <w:right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Собственные средства</w:t>
            </w:r>
          </w:p>
        </w:tc>
        <w:tc>
          <w:tcPr>
            <w:tcW w:w="1559" w:type="dxa"/>
            <w:tcBorders>
              <w:left w:val="single" w:sz="12" w:space="0" w:color="auto"/>
              <w:bottom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38 542,136</w:t>
            </w:r>
          </w:p>
        </w:tc>
        <w:tc>
          <w:tcPr>
            <w:tcW w:w="1416" w:type="dxa"/>
            <w:tcBorders>
              <w:bottom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p>
        </w:tc>
        <w:tc>
          <w:tcPr>
            <w:tcW w:w="1418" w:type="dxa"/>
            <w:tcBorders>
              <w:bottom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p>
        </w:tc>
        <w:tc>
          <w:tcPr>
            <w:tcW w:w="2233" w:type="dxa"/>
            <w:tcBorders>
              <w:bottom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38 542,136</w:t>
            </w:r>
          </w:p>
        </w:tc>
      </w:tr>
      <w:tr w:rsidR="00341240" w:rsidRPr="00341240" w:rsidTr="00411971">
        <w:tc>
          <w:tcPr>
            <w:tcW w:w="3085" w:type="dxa"/>
            <w:tcBorders>
              <w:top w:val="single" w:sz="12" w:space="0" w:color="auto"/>
              <w:bottom w:val="single" w:sz="12" w:space="0" w:color="auto"/>
              <w:right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Итого</w:t>
            </w:r>
          </w:p>
        </w:tc>
        <w:tc>
          <w:tcPr>
            <w:tcW w:w="1559" w:type="dxa"/>
            <w:tcBorders>
              <w:top w:val="single" w:sz="12" w:space="0" w:color="auto"/>
              <w:left w:val="single" w:sz="12" w:space="0" w:color="auto"/>
              <w:bottom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235 084,117</w:t>
            </w:r>
          </w:p>
        </w:tc>
        <w:tc>
          <w:tcPr>
            <w:tcW w:w="1416" w:type="dxa"/>
            <w:tcBorders>
              <w:top w:val="single" w:sz="12" w:space="0" w:color="auto"/>
              <w:bottom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11 376,047</w:t>
            </w:r>
          </w:p>
        </w:tc>
        <w:tc>
          <w:tcPr>
            <w:tcW w:w="1418" w:type="dxa"/>
            <w:tcBorders>
              <w:top w:val="single" w:sz="12" w:space="0" w:color="auto"/>
              <w:bottom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4 887,182</w:t>
            </w:r>
          </w:p>
        </w:tc>
        <w:tc>
          <w:tcPr>
            <w:tcW w:w="2233" w:type="dxa"/>
            <w:tcBorders>
              <w:top w:val="single" w:sz="12" w:space="0" w:color="auto"/>
              <w:bottom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1 209 065,493</w:t>
            </w:r>
          </w:p>
        </w:tc>
      </w:tr>
    </w:tbl>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01.01.2016</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85"/>
        <w:gridCol w:w="1559"/>
        <w:gridCol w:w="1418"/>
        <w:gridCol w:w="1417"/>
        <w:gridCol w:w="2092"/>
      </w:tblGrid>
      <w:tr w:rsidR="00341240" w:rsidRPr="00341240" w:rsidTr="00411971">
        <w:tc>
          <w:tcPr>
            <w:tcW w:w="3085" w:type="dxa"/>
            <w:tcBorders>
              <w:top w:val="single" w:sz="12" w:space="0" w:color="auto"/>
              <w:bottom w:val="single" w:sz="12" w:space="0" w:color="auto"/>
              <w:right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Источник</w:t>
            </w:r>
          </w:p>
        </w:tc>
        <w:tc>
          <w:tcPr>
            <w:tcW w:w="1559" w:type="dxa"/>
            <w:tcBorders>
              <w:top w:val="single" w:sz="12" w:space="0" w:color="auto"/>
              <w:left w:val="single" w:sz="12" w:space="0" w:color="auto"/>
              <w:bottom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val="en-US" w:eastAsia="ru-RU"/>
              </w:rPr>
              <w:t>RUB</w:t>
            </w:r>
            <w:r w:rsidRPr="00341240">
              <w:rPr>
                <w:rFonts w:ascii="Times New Roman" w:eastAsia="Times New Roman" w:hAnsi="Times New Roman" w:cs="Times New Roman"/>
                <w:sz w:val="24"/>
                <w:szCs w:val="24"/>
                <w:lang w:eastAsia="ru-RU"/>
              </w:rPr>
              <w:t>, млн</w:t>
            </w:r>
          </w:p>
        </w:tc>
        <w:tc>
          <w:tcPr>
            <w:tcW w:w="1418" w:type="dxa"/>
            <w:tcBorders>
              <w:top w:val="single" w:sz="12" w:space="0" w:color="auto"/>
              <w:bottom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val="en-US" w:eastAsia="ru-RU"/>
              </w:rPr>
              <w:t>USD</w:t>
            </w:r>
            <w:r w:rsidRPr="00341240">
              <w:rPr>
                <w:rFonts w:ascii="Times New Roman" w:eastAsia="Times New Roman" w:hAnsi="Times New Roman" w:cs="Times New Roman"/>
                <w:sz w:val="24"/>
                <w:szCs w:val="24"/>
                <w:lang w:eastAsia="ru-RU"/>
              </w:rPr>
              <w:t>, млн</w:t>
            </w:r>
          </w:p>
        </w:tc>
        <w:tc>
          <w:tcPr>
            <w:tcW w:w="1417" w:type="dxa"/>
            <w:tcBorders>
              <w:top w:val="single" w:sz="12" w:space="0" w:color="auto"/>
              <w:bottom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val="en-US" w:eastAsia="ru-RU"/>
              </w:rPr>
              <w:t>EUR</w:t>
            </w:r>
            <w:r w:rsidRPr="00341240">
              <w:rPr>
                <w:rFonts w:ascii="Times New Roman" w:eastAsia="Times New Roman" w:hAnsi="Times New Roman" w:cs="Times New Roman"/>
                <w:sz w:val="24"/>
                <w:szCs w:val="24"/>
                <w:lang w:eastAsia="ru-RU"/>
              </w:rPr>
              <w:t>, млн</w:t>
            </w:r>
          </w:p>
        </w:tc>
        <w:tc>
          <w:tcPr>
            <w:tcW w:w="2092" w:type="dxa"/>
            <w:tcBorders>
              <w:top w:val="single" w:sz="12" w:space="0" w:color="auto"/>
              <w:bottom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 xml:space="preserve">Эквивалент, </w:t>
            </w:r>
            <w:r w:rsidRPr="00341240">
              <w:rPr>
                <w:rFonts w:ascii="Times New Roman" w:eastAsia="Times New Roman" w:hAnsi="Times New Roman" w:cs="Times New Roman"/>
                <w:sz w:val="24"/>
                <w:szCs w:val="24"/>
                <w:lang w:val="en-US" w:eastAsia="ru-RU"/>
              </w:rPr>
              <w:t>RUB</w:t>
            </w:r>
          </w:p>
        </w:tc>
      </w:tr>
      <w:tr w:rsidR="00341240" w:rsidRPr="00341240" w:rsidTr="00411971">
        <w:tc>
          <w:tcPr>
            <w:tcW w:w="3085" w:type="dxa"/>
            <w:tcBorders>
              <w:top w:val="single" w:sz="12" w:space="0" w:color="auto"/>
              <w:right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Валютный рынок</w:t>
            </w:r>
          </w:p>
        </w:tc>
        <w:tc>
          <w:tcPr>
            <w:tcW w:w="1559" w:type="dxa"/>
            <w:tcBorders>
              <w:top w:val="single" w:sz="12" w:space="0" w:color="auto"/>
              <w:left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56 663,932</w:t>
            </w:r>
          </w:p>
        </w:tc>
        <w:tc>
          <w:tcPr>
            <w:tcW w:w="1418" w:type="dxa"/>
            <w:tcBorders>
              <w:top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5 045,722</w:t>
            </w:r>
          </w:p>
        </w:tc>
        <w:tc>
          <w:tcPr>
            <w:tcW w:w="1417" w:type="dxa"/>
            <w:tcBorders>
              <w:top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6 369,871</w:t>
            </w:r>
          </w:p>
        </w:tc>
        <w:tc>
          <w:tcPr>
            <w:tcW w:w="2092" w:type="dxa"/>
            <w:tcBorders>
              <w:top w:val="single" w:sz="12" w:space="0" w:color="auto"/>
            </w:tcBorders>
            <w:shd w:val="clear" w:color="auto" w:fill="auto"/>
            <w:vAlign w:val="bottom"/>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4"/>
                <w:szCs w:val="24"/>
                <w:lang w:eastAsia="ru-RU"/>
              </w:rPr>
            </w:pPr>
            <w:r w:rsidRPr="00341240">
              <w:rPr>
                <w:rFonts w:ascii="Times New Roman" w:eastAsia="Times New Roman" w:hAnsi="Times New Roman" w:cs="Times New Roman"/>
                <w:color w:val="000000"/>
                <w:sz w:val="24"/>
                <w:szCs w:val="24"/>
                <w:lang w:eastAsia="ru-RU"/>
              </w:rPr>
              <w:t>932 070,658</w:t>
            </w:r>
          </w:p>
        </w:tc>
      </w:tr>
      <w:tr w:rsidR="00341240" w:rsidRPr="00341240" w:rsidTr="00411971">
        <w:tc>
          <w:tcPr>
            <w:tcW w:w="3085" w:type="dxa"/>
            <w:tcBorders>
              <w:right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Срочный рынок</w:t>
            </w:r>
          </w:p>
        </w:tc>
        <w:tc>
          <w:tcPr>
            <w:tcW w:w="1559" w:type="dxa"/>
            <w:tcBorders>
              <w:left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27 233,653</w:t>
            </w:r>
          </w:p>
        </w:tc>
        <w:tc>
          <w:tcPr>
            <w:tcW w:w="1418" w:type="dxa"/>
            <w:shd w:val="clear" w:color="auto" w:fill="auto"/>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544,822</w:t>
            </w:r>
          </w:p>
        </w:tc>
        <w:tc>
          <w:tcPr>
            <w:tcW w:w="1417" w:type="dxa"/>
            <w:shd w:val="clear" w:color="auto" w:fill="auto"/>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171,511</w:t>
            </w:r>
          </w:p>
        </w:tc>
        <w:tc>
          <w:tcPr>
            <w:tcW w:w="2092" w:type="dxa"/>
            <w:shd w:val="clear" w:color="auto" w:fill="auto"/>
            <w:vAlign w:val="bottom"/>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4"/>
                <w:szCs w:val="24"/>
                <w:lang w:eastAsia="ru-RU"/>
              </w:rPr>
            </w:pPr>
            <w:r w:rsidRPr="00341240">
              <w:rPr>
                <w:rFonts w:ascii="Times New Roman" w:eastAsia="Times New Roman" w:hAnsi="Times New Roman" w:cs="Times New Roman"/>
                <w:color w:val="000000"/>
                <w:sz w:val="24"/>
                <w:szCs w:val="24"/>
                <w:lang w:eastAsia="ru-RU"/>
              </w:rPr>
              <w:t>80 610,698</w:t>
            </w:r>
          </w:p>
        </w:tc>
      </w:tr>
      <w:tr w:rsidR="00341240" w:rsidRPr="00341240" w:rsidTr="00411971">
        <w:tc>
          <w:tcPr>
            <w:tcW w:w="3085" w:type="dxa"/>
            <w:tcBorders>
              <w:right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Т+, РЕПО с ЦК</w:t>
            </w:r>
          </w:p>
        </w:tc>
        <w:tc>
          <w:tcPr>
            <w:tcW w:w="1559" w:type="dxa"/>
            <w:tcBorders>
              <w:left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25 791,617</w:t>
            </w:r>
          </w:p>
        </w:tc>
        <w:tc>
          <w:tcPr>
            <w:tcW w:w="1418" w:type="dxa"/>
            <w:shd w:val="clear" w:color="auto" w:fill="auto"/>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200,888</w:t>
            </w:r>
          </w:p>
        </w:tc>
        <w:tc>
          <w:tcPr>
            <w:tcW w:w="1417" w:type="dxa"/>
            <w:shd w:val="clear" w:color="auto" w:fill="auto"/>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49,178</w:t>
            </w:r>
          </w:p>
        </w:tc>
        <w:tc>
          <w:tcPr>
            <w:tcW w:w="2092" w:type="dxa"/>
            <w:shd w:val="clear" w:color="auto" w:fill="auto"/>
            <w:vAlign w:val="bottom"/>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sz w:val="24"/>
                <w:szCs w:val="24"/>
                <w:lang w:eastAsia="ru-RU"/>
              </w:rPr>
            </w:pPr>
            <w:r w:rsidRPr="00341240">
              <w:rPr>
                <w:rFonts w:ascii="Times New Roman" w:eastAsia="Times New Roman" w:hAnsi="Times New Roman" w:cs="Times New Roman"/>
                <w:color w:val="000000"/>
                <w:sz w:val="24"/>
                <w:szCs w:val="24"/>
                <w:lang w:eastAsia="ru-RU"/>
              </w:rPr>
              <w:t>44 352,226</w:t>
            </w:r>
          </w:p>
        </w:tc>
      </w:tr>
      <w:tr w:rsidR="00341240" w:rsidRPr="00341240" w:rsidTr="00411971">
        <w:tc>
          <w:tcPr>
            <w:tcW w:w="3085" w:type="dxa"/>
            <w:tcBorders>
              <w:right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Собственные средства</w:t>
            </w:r>
          </w:p>
        </w:tc>
        <w:tc>
          <w:tcPr>
            <w:tcW w:w="1559" w:type="dxa"/>
            <w:tcBorders>
              <w:left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54 179,568</w:t>
            </w:r>
          </w:p>
        </w:tc>
        <w:tc>
          <w:tcPr>
            <w:tcW w:w="1418" w:type="dxa"/>
            <w:shd w:val="clear" w:color="auto" w:fill="auto"/>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p>
        </w:tc>
        <w:tc>
          <w:tcPr>
            <w:tcW w:w="1417" w:type="dxa"/>
            <w:shd w:val="clear" w:color="auto" w:fill="auto"/>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p>
        </w:tc>
        <w:tc>
          <w:tcPr>
            <w:tcW w:w="2092" w:type="dxa"/>
            <w:shd w:val="clear" w:color="auto" w:fill="auto"/>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54 179,568</w:t>
            </w:r>
          </w:p>
        </w:tc>
      </w:tr>
      <w:tr w:rsidR="00341240" w:rsidRPr="00341240" w:rsidTr="00411971">
        <w:tc>
          <w:tcPr>
            <w:tcW w:w="3085" w:type="dxa"/>
            <w:tcBorders>
              <w:bottom w:val="single" w:sz="12" w:space="0" w:color="auto"/>
              <w:right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Выделенный капитал ЦК</w:t>
            </w:r>
          </w:p>
        </w:tc>
        <w:tc>
          <w:tcPr>
            <w:tcW w:w="1559" w:type="dxa"/>
            <w:tcBorders>
              <w:left w:val="single" w:sz="12" w:space="0" w:color="auto"/>
              <w:bottom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7 266,498</w:t>
            </w:r>
          </w:p>
        </w:tc>
        <w:tc>
          <w:tcPr>
            <w:tcW w:w="1418" w:type="dxa"/>
            <w:tcBorders>
              <w:bottom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p>
        </w:tc>
        <w:tc>
          <w:tcPr>
            <w:tcW w:w="1417" w:type="dxa"/>
            <w:tcBorders>
              <w:bottom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p>
        </w:tc>
        <w:tc>
          <w:tcPr>
            <w:tcW w:w="2092" w:type="dxa"/>
            <w:tcBorders>
              <w:bottom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7 266,498</w:t>
            </w:r>
          </w:p>
        </w:tc>
      </w:tr>
      <w:tr w:rsidR="00341240" w:rsidRPr="00341240" w:rsidTr="00411971">
        <w:tc>
          <w:tcPr>
            <w:tcW w:w="3085" w:type="dxa"/>
            <w:tcBorders>
              <w:top w:val="single" w:sz="12" w:space="0" w:color="auto"/>
              <w:bottom w:val="single" w:sz="12" w:space="0" w:color="auto"/>
              <w:right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Итого</w:t>
            </w:r>
          </w:p>
        </w:tc>
        <w:tc>
          <w:tcPr>
            <w:tcW w:w="1559" w:type="dxa"/>
            <w:tcBorders>
              <w:top w:val="single" w:sz="12" w:space="0" w:color="auto"/>
              <w:left w:val="single" w:sz="12" w:space="0" w:color="auto"/>
              <w:bottom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171 135,268</w:t>
            </w:r>
          </w:p>
        </w:tc>
        <w:tc>
          <w:tcPr>
            <w:tcW w:w="1418" w:type="dxa"/>
            <w:tcBorders>
              <w:top w:val="single" w:sz="12" w:space="0" w:color="auto"/>
              <w:bottom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5 791,432</w:t>
            </w:r>
          </w:p>
        </w:tc>
        <w:tc>
          <w:tcPr>
            <w:tcW w:w="1417" w:type="dxa"/>
            <w:tcBorders>
              <w:top w:val="single" w:sz="12" w:space="0" w:color="auto"/>
              <w:bottom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6 590,560</w:t>
            </w:r>
          </w:p>
        </w:tc>
        <w:tc>
          <w:tcPr>
            <w:tcW w:w="2092" w:type="dxa"/>
            <w:tcBorders>
              <w:top w:val="single" w:sz="12" w:space="0" w:color="auto"/>
              <w:bottom w:val="single" w:sz="12" w:space="0" w:color="auto"/>
            </w:tcBorders>
            <w:shd w:val="clear" w:color="auto" w:fill="auto"/>
          </w:tcPr>
          <w:p w:rsidR="00341240" w:rsidRPr="00341240" w:rsidRDefault="00341240" w:rsidP="00341240">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1 118 479,656</w:t>
            </w:r>
          </w:p>
        </w:tc>
      </w:tr>
    </w:tbl>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В условиях резкого увеличения пассивов в начале года основное внимание уделялось формированию оптимальной структуры активов, обеспечивающей как доходность операций, так и безусловное исполнение обязательств, в случае снижения объема пассивов. Данная  цель достигалась, в первую очередь, за счет увеличения объема межбанковских кредитов в российских рублях, преимущественно краткосрочных, а также создания дополнительной мгновенной ликвидности за счет увеличения остатков на корреспондентских счетах. Так объем межбанковских кредитов (включая операции СВОП) в среднем за первый квартал 2015 года составил более 49 млрд рублей, что выше среднего уровня за 2014 год почти на 30 %. В результате снижение пассивов, начавшееся со второго квартала, было полностью обеспечено ликвидностью. При этом, несмотря на повышенный уровень мгновенной ликвидности, в первом квартале был получен значительный доход.</w:t>
      </w: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color w:val="000000"/>
          <w:sz w:val="24"/>
          <w:szCs w:val="24"/>
          <w:lang w:eastAsia="ru-RU"/>
        </w:rPr>
      </w:pPr>
      <w:r w:rsidRPr="00341240">
        <w:rPr>
          <w:rFonts w:ascii="Times New Roman" w:eastAsia="Times New Roman" w:hAnsi="Times New Roman" w:cs="Times New Roman"/>
          <w:sz w:val="24"/>
          <w:szCs w:val="24"/>
          <w:lang w:eastAsia="ru-RU"/>
        </w:rPr>
        <w:t xml:space="preserve">В рамках сопровождения клиринговой деятельности НКЦ в 2015 году продолжил проведение операций с драгоценными металлами. В течение года было совершено операций </w:t>
      </w:r>
      <w:r w:rsidRPr="00341240">
        <w:rPr>
          <w:rFonts w:ascii="Times New Roman" w:eastAsia="Times New Roman" w:hAnsi="Times New Roman" w:cs="Times New Roman"/>
          <w:sz w:val="24"/>
          <w:szCs w:val="24"/>
          <w:lang w:val="en-US" w:eastAsia="ru-RU"/>
        </w:rPr>
        <w:t>Location</w:t>
      </w:r>
      <w:r w:rsidRPr="00341240">
        <w:rPr>
          <w:rFonts w:ascii="Times New Roman" w:eastAsia="Times New Roman" w:hAnsi="Times New Roman" w:cs="Times New Roman"/>
          <w:sz w:val="24"/>
          <w:szCs w:val="24"/>
          <w:lang w:eastAsia="ru-RU"/>
        </w:rPr>
        <w:t xml:space="preserve"> </w:t>
      </w:r>
      <w:r w:rsidRPr="00341240">
        <w:rPr>
          <w:rFonts w:ascii="Times New Roman" w:eastAsia="Times New Roman" w:hAnsi="Times New Roman" w:cs="Times New Roman"/>
          <w:sz w:val="24"/>
          <w:szCs w:val="24"/>
          <w:lang w:val="en-US" w:eastAsia="ru-RU"/>
        </w:rPr>
        <w:t>SWAP</w:t>
      </w:r>
      <w:r w:rsidRPr="00341240">
        <w:rPr>
          <w:rFonts w:ascii="Times New Roman" w:eastAsia="Times New Roman" w:hAnsi="Times New Roman" w:cs="Times New Roman"/>
          <w:sz w:val="24"/>
          <w:szCs w:val="24"/>
          <w:lang w:eastAsia="ru-RU"/>
        </w:rPr>
        <w:t xml:space="preserve"> с золотом в объеме 1462 кг и операций покупки продажи физического золота в объеме 1451кг.</w:t>
      </w: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color w:val="000000"/>
          <w:sz w:val="24"/>
          <w:szCs w:val="24"/>
          <w:lang w:eastAsia="ru-RU"/>
        </w:rPr>
      </w:pPr>
      <w:r w:rsidRPr="00341240">
        <w:rPr>
          <w:rFonts w:ascii="Times New Roman" w:eastAsia="Times New Roman" w:hAnsi="Times New Roman" w:cs="Times New Roman"/>
          <w:sz w:val="24"/>
          <w:szCs w:val="24"/>
          <w:lang w:eastAsia="ru-RU"/>
        </w:rPr>
        <w:t>С целью повышения доходности валютных активов в 2015 году НКЦ проводил операции обратного РЕПО. Среднегодовой объем таких операций в долларах США и евро составил около 26 млрд в рублевом эквиваленте.</w:t>
      </w:r>
    </w:p>
    <w:p w:rsidR="00341240" w:rsidRPr="00341240" w:rsidRDefault="00341240" w:rsidP="00341240">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 xml:space="preserve">      В условиях нестабильности на финансовых рынках НКЦ в 2015 году большое внимание уделял повышению кредитного качества активов и, в первую очередь, портфеля ценных бумаг. В частности, была поставлена цель в течение 2015 года  обеспечить наличие в портфеле облигаций с долгосрочным рейтингом эмитента на уровне не ниже </w:t>
      </w:r>
      <w:r w:rsidRPr="00341240">
        <w:rPr>
          <w:rFonts w:ascii="Times New Roman" w:eastAsia="Times New Roman" w:hAnsi="Times New Roman" w:cs="Times New Roman"/>
          <w:sz w:val="24"/>
          <w:szCs w:val="24"/>
          <w:lang w:val="en-US" w:eastAsia="ru-RU"/>
        </w:rPr>
        <w:t>BB</w:t>
      </w:r>
      <w:r w:rsidRPr="00341240">
        <w:rPr>
          <w:rFonts w:ascii="Times New Roman" w:eastAsia="Times New Roman" w:hAnsi="Times New Roman" w:cs="Times New Roman"/>
          <w:sz w:val="24"/>
          <w:szCs w:val="24"/>
          <w:lang w:eastAsia="ru-RU"/>
        </w:rPr>
        <w:t xml:space="preserve"> по классификации рейтинговых агентств "Standard&amp;Poor's" или "Fitch Ratings" либо "Ba1" по классификации рейтингового агентства "Moody's Investors Service", что на одну ступень выше требований Банка России для центрального контрагента, изложенных в Указании Банка России от 03.12.2012 №2919-У «Об оценке качества управления кредитной организации, осуществляющей функции центрального контрагента». В результате на 01.01.2016г. доля облигаций эмитентов, имеющих рейтинг не ниже </w:t>
      </w:r>
      <w:r w:rsidRPr="00341240">
        <w:rPr>
          <w:rFonts w:ascii="Times New Roman" w:eastAsia="Times New Roman" w:hAnsi="Times New Roman" w:cs="Times New Roman"/>
          <w:sz w:val="24"/>
          <w:szCs w:val="24"/>
          <w:lang w:val="en-US" w:eastAsia="ru-RU"/>
        </w:rPr>
        <w:t>BB</w:t>
      </w:r>
      <w:r w:rsidRPr="00341240">
        <w:rPr>
          <w:rFonts w:ascii="Times New Roman" w:eastAsia="Times New Roman" w:hAnsi="Times New Roman" w:cs="Times New Roman"/>
          <w:sz w:val="24"/>
          <w:szCs w:val="24"/>
          <w:lang w:eastAsia="ru-RU"/>
        </w:rPr>
        <w:t>, составляла 99,5% портфеля.</w:t>
      </w: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Еще одним направлением повышения кредитного качества было увеличение доли облигаций Российской Федерации. Так, доля государственных облигаций в рублях и валюте в портфеле НКЦ выросла более чем на 17% (62,9% на 01.01.2016г., 45,7%  на 01.01.2015г.).</w:t>
      </w: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Одной мерой повышения кредитного качества также являлось поддержание низкой дюрации негосударственных облигаций. В течение 2015г. дюрация субфедеральных, корпоративных и банковских облигаций находилась не выше уровня 0,75 года.</w:t>
      </w: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Несмотря на ожидаемое постепенное снижение волатильности финансовых рынков в 2016 году, НКЦ при проведении финансовых операций, продолжит уделять повышенное внимание уменьшению рисков портфеля активов, в первую очередь кредитного и рыночного, что будет особенно актуально после введения Банком России более жестких требований по обязательным нормативам банков в части расчета рисков по различным финансовым инструментам.</w:t>
      </w:r>
    </w:p>
    <w:p w:rsidR="00341240" w:rsidRPr="00341240" w:rsidRDefault="00341240" w:rsidP="00341240">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Как ожидается, в 2016 году усилится влияние наметившихся тенденций роста ограничений по корреспондентским счетам в иностранной валюте, связанных с режимом антироссийских санкций, регуляторными требованиями к иностранным банкам, а также отрицательными процентными ставками. Это потребует проведение дополнительных мероприятий по настройке сети корреспондентских счетов с целью минимизации временных и финансовых затрат на проведение расчетов по клирингу. Кроме того, дальнейшее расширение линейки финансовых инструментов, по которым НКЦ будет осуществлять клиринг, в первую очередь на валютном и фондовом рынке, будет отражаться и на количестве, и объеме операций на финансовых рынках, особенно в области дефолт-менеджмента.</w:t>
      </w:r>
    </w:p>
    <w:p w:rsidR="00341240" w:rsidRPr="00341240" w:rsidRDefault="00341240" w:rsidP="00341240">
      <w:pPr>
        <w:tabs>
          <w:tab w:val="num" w:pos="720"/>
        </w:tabs>
        <w:rPr>
          <w:rFonts w:ascii="Times New Roman" w:eastAsia="Calibri" w:hAnsi="Times New Roman" w:cs="Times New Roman"/>
          <w:sz w:val="24"/>
          <w:szCs w:val="24"/>
        </w:rPr>
      </w:pPr>
    </w:p>
    <w:p w:rsidR="00341240" w:rsidRPr="00341240" w:rsidRDefault="00341240" w:rsidP="00341240">
      <w:pPr>
        <w:widowControl w:val="0"/>
        <w:tabs>
          <w:tab w:val="left" w:pos="8820"/>
        </w:tabs>
        <w:overflowPunct w:val="0"/>
        <w:autoSpaceDE w:val="0"/>
        <w:autoSpaceDN w:val="0"/>
        <w:adjustRightInd w:val="0"/>
        <w:spacing w:after="0" w:line="240" w:lineRule="auto"/>
        <w:ind w:left="709" w:right="76"/>
        <w:contextualSpacing/>
        <w:jc w:val="center"/>
        <w:textAlignment w:val="baseline"/>
        <w:rPr>
          <w:rFonts w:ascii="Times New Roman" w:eastAsia="Times New Roman" w:hAnsi="Times New Roman" w:cs="Times New Roman"/>
          <w:b/>
          <w:sz w:val="28"/>
          <w:szCs w:val="28"/>
          <w:lang w:eastAsia="ru-RU"/>
        </w:rPr>
      </w:pPr>
      <w:r w:rsidRPr="00341240">
        <w:rPr>
          <w:rFonts w:ascii="Times New Roman" w:eastAsia="Times New Roman" w:hAnsi="Times New Roman" w:cs="Times New Roman"/>
          <w:b/>
          <w:sz w:val="28"/>
          <w:szCs w:val="28"/>
          <w:lang w:eastAsia="ru-RU"/>
        </w:rPr>
        <w:t>7. Управление рисками, включая меры по поддержанию качества управления НКЦ как ЦК</w:t>
      </w:r>
    </w:p>
    <w:p w:rsidR="00341240" w:rsidRPr="00341240" w:rsidRDefault="00341240" w:rsidP="00341240">
      <w:pPr>
        <w:autoSpaceDE w:val="0"/>
        <w:autoSpaceDN w:val="0"/>
        <w:adjustRightInd w:val="0"/>
        <w:spacing w:after="0" w:line="240" w:lineRule="auto"/>
        <w:jc w:val="center"/>
        <w:rPr>
          <w:rFonts w:ascii="Times New Roman" w:eastAsia="Calibri" w:hAnsi="Times New Roman" w:cs="Times New Roman"/>
          <w:b/>
          <w:color w:val="000000"/>
          <w:sz w:val="24"/>
          <w:szCs w:val="24"/>
        </w:rPr>
      </w:pPr>
    </w:p>
    <w:p w:rsidR="00341240" w:rsidRPr="00341240" w:rsidRDefault="00341240" w:rsidP="00AB0ACF">
      <w:pPr>
        <w:numPr>
          <w:ilvl w:val="0"/>
          <w:numId w:val="21"/>
        </w:numPr>
        <w:spacing w:after="0"/>
        <w:jc w:val="center"/>
        <w:rPr>
          <w:rFonts w:ascii="Times New Roman" w:eastAsia="Calibri" w:hAnsi="Times New Roman" w:cs="Times New Roman"/>
          <w:b/>
          <w:sz w:val="24"/>
          <w:szCs w:val="24"/>
        </w:rPr>
      </w:pPr>
      <w:r w:rsidRPr="00341240">
        <w:rPr>
          <w:rFonts w:ascii="Times New Roman" w:eastAsia="Calibri" w:hAnsi="Times New Roman" w:cs="Times New Roman"/>
          <w:b/>
          <w:sz w:val="24"/>
          <w:szCs w:val="24"/>
        </w:rPr>
        <w:t>Соответствие системы управления рисками требованиям регулятора и международным стандартам</w:t>
      </w:r>
    </w:p>
    <w:p w:rsidR="00341240" w:rsidRPr="00341240" w:rsidRDefault="00341240" w:rsidP="00341240">
      <w:pPr>
        <w:spacing w:after="0"/>
        <w:jc w:val="center"/>
        <w:rPr>
          <w:rFonts w:ascii="Times New Roman" w:eastAsia="Calibri" w:hAnsi="Times New Roman" w:cs="Times New Roman"/>
          <w:b/>
          <w:sz w:val="24"/>
          <w:szCs w:val="24"/>
        </w:rPr>
      </w:pPr>
    </w:p>
    <w:p w:rsidR="00341240" w:rsidRPr="00341240" w:rsidRDefault="00341240" w:rsidP="00341240">
      <w:pPr>
        <w:spacing w:after="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НКЦ, выполняя функции клиринговой организации, центрального контрагента  оператора товарных поставок (далее – ОТП) на рынках Группы «Московская Биржа», использует в своей деятельности современную, отвечающую международным стандартам систему управления рисками (СУР) и предоставляет участникам клиринговые услуги, позволяющие эффективно использовать направляемые на рынок средства.</w:t>
      </w:r>
    </w:p>
    <w:p w:rsidR="00341240" w:rsidRPr="00341240" w:rsidRDefault="00341240" w:rsidP="00341240">
      <w:pPr>
        <w:widowControl w:val="0"/>
        <w:autoSpaceDE w:val="0"/>
        <w:autoSpaceDN w:val="0"/>
        <w:adjustRightInd w:val="0"/>
        <w:spacing w:after="0" w:line="240" w:lineRule="auto"/>
        <w:ind w:firstLine="540"/>
        <w:jc w:val="both"/>
        <w:rPr>
          <w:rFonts w:ascii="Times New Roman" w:eastAsia="Calibri" w:hAnsi="Times New Roman" w:cs="Times New Roman"/>
          <w:sz w:val="24"/>
        </w:rPr>
      </w:pPr>
      <w:r w:rsidRPr="00341240">
        <w:rPr>
          <w:rFonts w:ascii="Times New Roman" w:eastAsia="Calibri" w:hAnsi="Times New Roman" w:cs="Times New Roman"/>
          <w:sz w:val="24"/>
        </w:rPr>
        <w:t>Исходя из функций и задач, НКЦ имеет специфическую структуру рисков, которая состоит из следующих взаимосвязанных групп:</w:t>
      </w:r>
    </w:p>
    <w:p w:rsidR="00341240" w:rsidRPr="00341240" w:rsidRDefault="00341240" w:rsidP="00AB0ACF">
      <w:pPr>
        <w:numPr>
          <w:ilvl w:val="0"/>
          <w:numId w:val="19"/>
        </w:numPr>
        <w:spacing w:after="0"/>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риски, присущие НКЦ как центральному контрагенту и клиринговой организации;</w:t>
      </w:r>
    </w:p>
    <w:p w:rsidR="00341240" w:rsidRPr="00341240" w:rsidRDefault="00341240" w:rsidP="00AB0ACF">
      <w:pPr>
        <w:numPr>
          <w:ilvl w:val="0"/>
          <w:numId w:val="19"/>
        </w:numPr>
        <w:spacing w:after="0"/>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риски банковской деятельности;</w:t>
      </w:r>
    </w:p>
    <w:p w:rsidR="00341240" w:rsidRPr="00341240" w:rsidRDefault="00341240" w:rsidP="00AB0ACF">
      <w:pPr>
        <w:numPr>
          <w:ilvl w:val="0"/>
          <w:numId w:val="19"/>
        </w:numPr>
        <w:spacing w:after="0"/>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риски ОТП. </w:t>
      </w:r>
    </w:p>
    <w:p w:rsidR="00341240" w:rsidRPr="00341240" w:rsidRDefault="00341240" w:rsidP="00341240">
      <w:pPr>
        <w:spacing w:after="0"/>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Система управления рисками НКЦ охватывает следующий перечень рисков:</w:t>
      </w:r>
    </w:p>
    <w:p w:rsidR="00341240" w:rsidRPr="00341240" w:rsidRDefault="00341240" w:rsidP="00AB0ACF">
      <w:pPr>
        <w:numPr>
          <w:ilvl w:val="0"/>
          <w:numId w:val="19"/>
        </w:numPr>
        <w:spacing w:after="0"/>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риск центрального контрагента (кредитный риск ЦК);</w:t>
      </w:r>
    </w:p>
    <w:p w:rsidR="00341240" w:rsidRPr="00341240" w:rsidRDefault="00341240" w:rsidP="00AB0ACF">
      <w:pPr>
        <w:numPr>
          <w:ilvl w:val="0"/>
          <w:numId w:val="19"/>
        </w:numPr>
        <w:spacing w:after="0"/>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кастодиальный риск;</w:t>
      </w:r>
    </w:p>
    <w:p w:rsidR="00341240" w:rsidRPr="00341240" w:rsidRDefault="00341240" w:rsidP="00AB0ACF">
      <w:pPr>
        <w:numPr>
          <w:ilvl w:val="0"/>
          <w:numId w:val="19"/>
        </w:numPr>
        <w:spacing w:after="0"/>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кредитный риск;</w:t>
      </w:r>
    </w:p>
    <w:p w:rsidR="00341240" w:rsidRPr="00341240" w:rsidRDefault="00341240" w:rsidP="00AB0ACF">
      <w:pPr>
        <w:numPr>
          <w:ilvl w:val="0"/>
          <w:numId w:val="19"/>
        </w:numPr>
        <w:spacing w:after="0"/>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рыночный риск;</w:t>
      </w:r>
    </w:p>
    <w:p w:rsidR="00341240" w:rsidRPr="00341240" w:rsidRDefault="00341240" w:rsidP="00AB0ACF">
      <w:pPr>
        <w:numPr>
          <w:ilvl w:val="0"/>
          <w:numId w:val="19"/>
        </w:numPr>
        <w:spacing w:after="0"/>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риск ликвидности;</w:t>
      </w:r>
    </w:p>
    <w:p w:rsidR="00341240" w:rsidRPr="00341240" w:rsidRDefault="00341240" w:rsidP="00AB0ACF">
      <w:pPr>
        <w:numPr>
          <w:ilvl w:val="0"/>
          <w:numId w:val="19"/>
        </w:numPr>
        <w:spacing w:after="0"/>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операционный риск;</w:t>
      </w:r>
    </w:p>
    <w:p w:rsidR="00341240" w:rsidRPr="00341240" w:rsidRDefault="00341240" w:rsidP="00AB0ACF">
      <w:pPr>
        <w:numPr>
          <w:ilvl w:val="0"/>
          <w:numId w:val="19"/>
        </w:numPr>
        <w:spacing w:after="0"/>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стратегический риск;</w:t>
      </w:r>
    </w:p>
    <w:p w:rsidR="00341240" w:rsidRPr="00341240" w:rsidRDefault="00341240" w:rsidP="00AB0ACF">
      <w:pPr>
        <w:numPr>
          <w:ilvl w:val="0"/>
          <w:numId w:val="19"/>
        </w:numPr>
        <w:spacing w:after="0"/>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коммерческий риск;</w:t>
      </w:r>
    </w:p>
    <w:p w:rsidR="00341240" w:rsidRPr="00341240" w:rsidRDefault="00341240" w:rsidP="00AB0ACF">
      <w:pPr>
        <w:numPr>
          <w:ilvl w:val="0"/>
          <w:numId w:val="19"/>
        </w:numPr>
        <w:spacing w:after="0"/>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правовой риск;</w:t>
      </w:r>
    </w:p>
    <w:p w:rsidR="00341240" w:rsidRPr="00341240" w:rsidRDefault="00341240" w:rsidP="00AB0ACF">
      <w:pPr>
        <w:numPr>
          <w:ilvl w:val="0"/>
          <w:numId w:val="19"/>
        </w:numPr>
        <w:spacing w:after="0"/>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регуляторный риск;</w:t>
      </w:r>
    </w:p>
    <w:p w:rsidR="00341240" w:rsidRPr="00341240" w:rsidRDefault="00341240" w:rsidP="00AB0ACF">
      <w:pPr>
        <w:numPr>
          <w:ilvl w:val="0"/>
          <w:numId w:val="19"/>
        </w:numPr>
        <w:spacing w:after="0"/>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риск потери деловой репутации.</w:t>
      </w:r>
    </w:p>
    <w:p w:rsidR="00341240" w:rsidRPr="00341240" w:rsidRDefault="00341240" w:rsidP="00341240">
      <w:pPr>
        <w:spacing w:after="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К ключевым задачам НКЦ относится снижение рисков финансовой системы и обеспечение стабильности на обслуживаемых сегментах финансового и товарного рынков. Достижению этой цели способствует внедрение современной, отвечающей международным стандартам системы управления рисками, в рамках которой НКЦ проводит комплексный анализ рисков, возникающих при осуществлении всех видов деятельности.</w:t>
      </w:r>
    </w:p>
    <w:p w:rsidR="00341240" w:rsidRPr="00341240" w:rsidRDefault="00341240" w:rsidP="00341240">
      <w:pPr>
        <w:spacing w:after="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В целях обеспечения надежности своей деятельности НКЦ использует подходы к управлению рисками, предусмотренные требованиями Банка России, рекомендациями Базельского комитета по банковскому надзору, а также международными стандартами Комитета по расчетным и платежным системам Банка Международных расчетов и Технического комитета Международной организации комиссий по ценным бумагам (CP</w:t>
      </w:r>
      <w:r w:rsidRPr="00341240">
        <w:rPr>
          <w:rFonts w:ascii="Times New Roman" w:eastAsia="Calibri" w:hAnsi="Times New Roman" w:cs="Times New Roman"/>
          <w:sz w:val="24"/>
          <w:szCs w:val="24"/>
          <w:lang w:val="en-US"/>
        </w:rPr>
        <w:t>MI</w:t>
      </w:r>
      <w:r w:rsidRPr="00341240">
        <w:rPr>
          <w:rFonts w:ascii="Times New Roman" w:eastAsia="Calibri" w:hAnsi="Times New Roman" w:cs="Times New Roman"/>
          <w:sz w:val="24"/>
          <w:szCs w:val="24"/>
        </w:rPr>
        <w:t>-IOSCO) для системно значимых инфраструктурных организаций.</w:t>
      </w:r>
    </w:p>
    <w:p w:rsidR="00341240" w:rsidRPr="00341240" w:rsidRDefault="00341240" w:rsidP="00341240">
      <w:pPr>
        <w:spacing w:after="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В отчетном году деятельность НКЦ в сфере совершенствования системы управления рисками была направлена на соблюдение требований Указания Банка России от 2 декабря 2012 г. № 2919-У «Об оценке качества управления кредитной организации, осуществляющей функции центрального контрагента» (далее – Указание № 2919-У), во исполнение которых  был, в частности, разработан и внедрен механизм выделенного капитала ЦК как дополнительного уровня защиты.</w:t>
      </w:r>
    </w:p>
    <w:p w:rsidR="00341240" w:rsidRPr="00341240" w:rsidRDefault="00341240" w:rsidP="00341240">
      <w:pPr>
        <w:spacing w:after="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Также, в целях соответствия Положению от 12.03.2015 г. № 463-П «</w:t>
      </w:r>
      <w:r w:rsidRPr="00341240">
        <w:rPr>
          <w:rFonts w:ascii="Times New Roman" w:eastAsia="Calibri" w:hAnsi="Times New Roman" w:cs="Times New Roman"/>
          <w:sz w:val="24"/>
        </w:rPr>
        <w:t>О требованиях, направленных на снижение рисков осуществления клиринговой деятельности, и требованиях к документу (документам), определяющему (определяющим) меры, направленные на снижение кредитных, операционных и иных рисков, в том числе рисков, связанных с совмещением клиринговой деятельности с иными видами деятельности</w:t>
      </w:r>
      <w:r w:rsidRPr="00341240">
        <w:rPr>
          <w:rFonts w:ascii="Times New Roman" w:eastAsia="Calibri" w:hAnsi="Times New Roman" w:cs="Times New Roman"/>
          <w:sz w:val="24"/>
          <w:szCs w:val="24"/>
        </w:rPr>
        <w:t>»  был разработан и зарегистрировал в Банке России единый документ, регламентирующий процессы управления всеми рисками, присущими деятельности НКЦ – правила организации системы управления рисками. Документ содержит общие положения, определяющие систему управления рисками, присущими деятельности НКЦ, как клиринговой, кредитной организации и ОТП, а также описание процедур по идентификации, мониторингу и контролю за рисками, перечень мер, направленных на снижение рисков, критерии применения таких мер.</w:t>
      </w:r>
    </w:p>
    <w:p w:rsidR="00341240" w:rsidRPr="00341240" w:rsidRDefault="00341240" w:rsidP="00341240">
      <w:pPr>
        <w:spacing w:after="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В 2015 году во исполнение Указания Банка России от 15.04.2015 г. № 3624-У «О требованиях к системе управления рисками и капиталом кредитной организации и банковской группы», НКЦ начал внедрение внутренних процедур оценки достаточности капитала (далее – ВПОДК), в том числе были разработаны следующие внутренние документы:</w:t>
      </w:r>
    </w:p>
    <w:p w:rsidR="00341240" w:rsidRPr="00341240" w:rsidRDefault="00341240" w:rsidP="00AB0ACF">
      <w:pPr>
        <w:numPr>
          <w:ilvl w:val="0"/>
          <w:numId w:val="20"/>
        </w:numPr>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стратегия управления рисками и капиталом, направленная на гармонизацию процесса управления рисками банковской деятельности НКЦ и его связь с управлением достаточностью капитала;</w:t>
      </w:r>
    </w:p>
    <w:p w:rsidR="00341240" w:rsidRPr="00341240" w:rsidRDefault="00341240" w:rsidP="00AB0ACF">
      <w:pPr>
        <w:numPr>
          <w:ilvl w:val="0"/>
          <w:numId w:val="20"/>
        </w:numPr>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контрольные показатели риск-аппетита Банка на 2016 год, установившие пороговые значения количественных и качественных показателей уровня значимых рисков на предстоящий год для целей последующего ежеквартального мониторинга;</w:t>
      </w:r>
    </w:p>
    <w:p w:rsidR="00341240" w:rsidRPr="00341240" w:rsidRDefault="00341240" w:rsidP="00AB0ACF">
      <w:pPr>
        <w:numPr>
          <w:ilvl w:val="0"/>
          <w:numId w:val="20"/>
        </w:numPr>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методика оценки экономического капитала Банка, содержащая описание подходов, используемых НКЦ для оценки требований к капиталу на покрытие наиболее значимых рисков как на индивидуальном, так и на агрегированном уровне, включая расчет дополнительных буферов капитала.</w:t>
      </w:r>
    </w:p>
    <w:p w:rsidR="00341240" w:rsidRPr="00341240" w:rsidRDefault="00341240" w:rsidP="00341240">
      <w:pPr>
        <w:spacing w:after="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Совершенствование методологической базы процессов, связанных с управлением рисками и капиталом, остается одним из наиболее важных элементов деятельности НКЦ.</w:t>
      </w:r>
    </w:p>
    <w:p w:rsidR="00341240" w:rsidRPr="00341240" w:rsidRDefault="00341240" w:rsidP="00AB0ACF">
      <w:pPr>
        <w:numPr>
          <w:ilvl w:val="0"/>
          <w:numId w:val="21"/>
        </w:numPr>
        <w:spacing w:before="240" w:after="0"/>
        <w:jc w:val="center"/>
        <w:rPr>
          <w:rFonts w:ascii="Times New Roman" w:eastAsia="Calibri" w:hAnsi="Times New Roman" w:cs="Times New Roman"/>
          <w:b/>
          <w:sz w:val="24"/>
          <w:szCs w:val="24"/>
        </w:rPr>
      </w:pPr>
      <w:r w:rsidRPr="00341240">
        <w:rPr>
          <w:rFonts w:ascii="Times New Roman" w:eastAsia="Calibri" w:hAnsi="Times New Roman" w:cs="Times New Roman"/>
          <w:b/>
          <w:sz w:val="24"/>
          <w:szCs w:val="24"/>
        </w:rPr>
        <w:t>Управление рисками клиринговой организации и центрального контрагента</w:t>
      </w:r>
    </w:p>
    <w:p w:rsidR="00341240" w:rsidRPr="00341240" w:rsidRDefault="00341240" w:rsidP="00341240">
      <w:pPr>
        <w:spacing w:before="120"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Развитие системы риск-менеджмента НКЦ в 2015 году было ориентировано в первую очередь на обеспечение финансовой устойчивости и надежности Банка как клиринговой организаций и центрального контрагента и осуществлялось по следующим основным направлениям:</w:t>
      </w:r>
    </w:p>
    <w:p w:rsidR="00341240" w:rsidRPr="00341240" w:rsidRDefault="00341240" w:rsidP="00AB0ACF">
      <w:pPr>
        <w:numPr>
          <w:ilvl w:val="0"/>
          <w:numId w:val="15"/>
        </w:numPr>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обеспечение достаточности финансовых ресурсов для расчетов в нормальных рыночных условиях и в условиях экстремальной рыночной конъюнктуры;</w:t>
      </w:r>
    </w:p>
    <w:p w:rsidR="00341240" w:rsidRPr="00341240" w:rsidRDefault="00341240" w:rsidP="00AB0ACF">
      <w:pPr>
        <w:numPr>
          <w:ilvl w:val="0"/>
          <w:numId w:val="15"/>
        </w:numPr>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создание механизмов защиты от потенциальных убытков в случае дефолта участников клиринга;</w:t>
      </w:r>
    </w:p>
    <w:p w:rsidR="00341240" w:rsidRPr="00341240" w:rsidRDefault="00341240" w:rsidP="00AB0ACF">
      <w:pPr>
        <w:numPr>
          <w:ilvl w:val="0"/>
          <w:numId w:val="15"/>
        </w:numPr>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совершенствование методологии оценки рисков, необходимой для предоставления НКЦ новых клиринговых продуктов и расширении списка инструментов, по которым осуществляется клиринг;</w:t>
      </w:r>
    </w:p>
    <w:p w:rsidR="00341240" w:rsidRPr="00341240" w:rsidRDefault="00341240" w:rsidP="00AB0ACF">
      <w:pPr>
        <w:numPr>
          <w:ilvl w:val="0"/>
          <w:numId w:val="15"/>
        </w:numPr>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реализация мер по поддержанию соответствия текущей деятельности НКЦ, требованиям Банка России для центральных контрагентов, качество управления которых признано «удовлетворительным» в соответствии с требованиями Указания № 2919-У;</w:t>
      </w:r>
    </w:p>
    <w:p w:rsidR="00341240" w:rsidRPr="00341240" w:rsidRDefault="00341240" w:rsidP="00AB0ACF">
      <w:pPr>
        <w:numPr>
          <w:ilvl w:val="0"/>
          <w:numId w:val="15"/>
        </w:numPr>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обеспечение информационной прозрачности, позволяющей участникам клиринга адекватно оценивать риски, а органам надзора осуществлять эффективное регулирование их деятельности.</w:t>
      </w:r>
    </w:p>
    <w:p w:rsidR="00341240" w:rsidRPr="00341240" w:rsidRDefault="00341240" w:rsidP="00341240">
      <w:pPr>
        <w:spacing w:after="0"/>
        <w:jc w:val="center"/>
        <w:rPr>
          <w:rFonts w:ascii="Times New Roman" w:eastAsia="Calibri" w:hAnsi="Times New Roman" w:cs="Times New Roman"/>
          <w:b/>
          <w:sz w:val="24"/>
          <w:szCs w:val="24"/>
        </w:rPr>
      </w:pPr>
    </w:p>
    <w:p w:rsidR="00341240" w:rsidRPr="00341240" w:rsidRDefault="00341240" w:rsidP="00341240">
      <w:pPr>
        <w:spacing w:after="0"/>
        <w:jc w:val="center"/>
        <w:rPr>
          <w:rFonts w:ascii="Times New Roman" w:eastAsia="Calibri" w:hAnsi="Times New Roman" w:cs="Times New Roman"/>
          <w:b/>
          <w:i/>
          <w:sz w:val="24"/>
          <w:szCs w:val="24"/>
        </w:rPr>
      </w:pPr>
      <w:r w:rsidRPr="00341240">
        <w:rPr>
          <w:rFonts w:ascii="Times New Roman" w:eastAsia="Calibri" w:hAnsi="Times New Roman" w:cs="Times New Roman"/>
          <w:b/>
          <w:i/>
          <w:sz w:val="24"/>
          <w:szCs w:val="24"/>
        </w:rPr>
        <w:t>Система маржирования сделок участников клиринга</w:t>
      </w:r>
    </w:p>
    <w:p w:rsidR="00341240" w:rsidRPr="00341240" w:rsidRDefault="00341240" w:rsidP="00341240">
      <w:pPr>
        <w:spacing w:after="0"/>
        <w:jc w:val="center"/>
        <w:rPr>
          <w:rFonts w:ascii="Times New Roman" w:eastAsia="Calibri" w:hAnsi="Times New Roman" w:cs="Times New Roman"/>
          <w:b/>
          <w:i/>
          <w:sz w:val="24"/>
          <w:szCs w:val="24"/>
        </w:rPr>
      </w:pPr>
    </w:p>
    <w:p w:rsidR="00341240" w:rsidRPr="00341240" w:rsidRDefault="00341240" w:rsidP="00341240">
      <w:pPr>
        <w:spacing w:after="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В НКЦ используются различные модели для определения требований к размеру обеспечения в зависимости от конкретного рынка.</w:t>
      </w:r>
      <w:r w:rsidRPr="00341240">
        <w:rPr>
          <w:rFonts w:ascii="Times New Roman" w:eastAsia="Calibri" w:hAnsi="Times New Roman" w:cs="Times New Roman"/>
        </w:rPr>
        <w:t xml:space="preserve"> </w:t>
      </w:r>
      <w:r w:rsidRPr="00341240">
        <w:rPr>
          <w:rFonts w:ascii="Times New Roman" w:eastAsia="Calibri" w:hAnsi="Times New Roman" w:cs="Times New Roman"/>
          <w:sz w:val="24"/>
          <w:szCs w:val="24"/>
        </w:rPr>
        <w:t xml:space="preserve">Модель определения требований к размеру обеспечения учитывает особенности инструментов и, соответственно, применяется с небольшими различиями, принимающими во внимание особенности каждого из них. </w:t>
      </w:r>
    </w:p>
    <w:p w:rsidR="00341240" w:rsidRPr="00341240" w:rsidRDefault="00341240" w:rsidP="00341240">
      <w:pPr>
        <w:spacing w:after="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На валютном, рынке ценных бумаг и товарном рынке в силу линейности инструментов относительно риск-факторов используется упрощенный подход, рассматривающий 2 сценария для каждого инструмента (рост и падение), учитывающий при этом также размер позиции с помощью лимитов концентрации. </w:t>
      </w:r>
    </w:p>
    <w:p w:rsidR="00341240" w:rsidRPr="00341240" w:rsidRDefault="00341240" w:rsidP="00341240">
      <w:pPr>
        <w:spacing w:after="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На срочном рынке набор сценариев выбирается с учетом возможного присутствия в позиции нелинейных инструментов, и, таким образом, набор сценариев по спот-рискам расширяется до 23-х, также учитываются сценарии возможного изменения подразумеваемой волатильности. </w:t>
      </w:r>
    </w:p>
    <w:p w:rsidR="00341240" w:rsidRPr="00341240" w:rsidRDefault="00341240" w:rsidP="00341240">
      <w:pPr>
        <w:spacing w:after="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На рынке Стандартизированных ПФИ применяются также сценарии движения кривых процентных ставок/кривой подразумеваемой волатильности, определенные с помощью метода главных компонент (shift – twist – butterfly). </w:t>
      </w:r>
    </w:p>
    <w:p w:rsidR="00341240" w:rsidRPr="00341240" w:rsidRDefault="00341240" w:rsidP="00341240">
      <w:pPr>
        <w:spacing w:after="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Сценарии, используемые в моделях маржирования, калибруются на исторических данных, а также с учетом потенциальных сценариев движения цен активов, еще не отраженных в исторических данных, таким образом, чтобы обеспечить на всех рынках доверительную вероятность требуемого размера обеспечения не менее 99%. </w:t>
      </w:r>
    </w:p>
    <w:p w:rsidR="00341240" w:rsidRPr="00341240" w:rsidRDefault="00341240" w:rsidP="00341240">
      <w:pPr>
        <w:spacing w:before="120" w:after="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В зависимости от конкретного рынка отличаются также типы активов, принимаемых в обеспечение:</w:t>
      </w:r>
    </w:p>
    <w:p w:rsidR="00341240" w:rsidRPr="00341240" w:rsidRDefault="00341240" w:rsidP="00341240">
      <w:pPr>
        <w:spacing w:before="120" w:after="0" w:line="240" w:lineRule="auto"/>
        <w:ind w:left="-567" w:firstLine="567"/>
        <w:jc w:val="both"/>
        <w:rPr>
          <w:rFonts w:ascii="Times New Roman" w:eastAsia="Calibri" w:hAnsi="Times New Roman" w:cs="Times New Roman"/>
          <w:sz w:val="24"/>
          <w:szCs w:val="24"/>
        </w:rPr>
      </w:pPr>
      <w:r w:rsidRPr="00341240">
        <w:rPr>
          <w:rFonts w:ascii="Times New Roman" w:eastAsia="Calibri" w:hAnsi="Times New Roman" w:cs="Times New Roman"/>
          <w:noProof/>
          <w:lang w:eastAsia="ru-RU"/>
        </w:rPr>
        <w:drawing>
          <wp:inline distT="0" distB="0" distL="0" distR="0" wp14:anchorId="1B81E279" wp14:editId="60D9FF77">
            <wp:extent cx="6193790" cy="199263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3790" cy="1992630"/>
                    </a:xfrm>
                    <a:prstGeom prst="rect">
                      <a:avLst/>
                    </a:prstGeom>
                    <a:noFill/>
                    <a:ln>
                      <a:noFill/>
                    </a:ln>
                  </pic:spPr>
                </pic:pic>
              </a:graphicData>
            </a:graphic>
          </wp:inline>
        </w:drawing>
      </w:r>
    </w:p>
    <w:p w:rsidR="00341240" w:rsidRPr="00341240" w:rsidRDefault="00341240" w:rsidP="00341240">
      <w:pPr>
        <w:spacing w:before="120" w:after="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В 2015 году были введены следующие наиболее существенные изменения, расширяющие возможности участников торгов и клиринга при заключении биржевых и внебиржевых сделок с НКЦ, как с центральным контрагентом:</w:t>
      </w:r>
    </w:p>
    <w:p w:rsidR="00341240" w:rsidRPr="00341240" w:rsidRDefault="00341240" w:rsidP="00AB0ACF">
      <w:pPr>
        <w:numPr>
          <w:ilvl w:val="0"/>
          <w:numId w:val="16"/>
        </w:numPr>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на рынке ценных бумаг – внедрено РЕПО с ЦК с расчетами в долларах США и евро на срок до одной недели, расширен </w:t>
      </w:r>
      <w:hyperlink r:id="rId24" w:history="1">
        <w:r w:rsidRPr="00341240">
          <w:rPr>
            <w:rFonts w:ascii="Times New Roman" w:eastAsia="Calibri" w:hAnsi="Times New Roman" w:cs="Times New Roman"/>
            <w:sz w:val="24"/>
            <w:szCs w:val="24"/>
          </w:rPr>
          <w:t>список бумаг</w:t>
        </w:r>
      </w:hyperlink>
      <w:r w:rsidRPr="00341240">
        <w:rPr>
          <w:rFonts w:ascii="Times New Roman" w:eastAsia="Calibri" w:hAnsi="Times New Roman" w:cs="Times New Roman"/>
          <w:sz w:val="24"/>
          <w:szCs w:val="24"/>
        </w:rPr>
        <w:t>, допущенных к торгам с частичным обеспечением, благодаря разделению ценных бумаг на принимаемые в обеспечение и допущенные к торгам с частичным обеспечением;</w:t>
      </w:r>
    </w:p>
    <w:p w:rsidR="00341240" w:rsidRPr="00341240" w:rsidRDefault="00341240" w:rsidP="00AB0ACF">
      <w:pPr>
        <w:numPr>
          <w:ilvl w:val="0"/>
          <w:numId w:val="16"/>
        </w:numPr>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на срочном рынке участникам клиринга предоставлена возможность контролировать риски экспирации опционов по позициям клиентов; </w:t>
      </w:r>
    </w:p>
    <w:p w:rsidR="00341240" w:rsidRPr="00341240" w:rsidRDefault="00341240" w:rsidP="00AB0ACF">
      <w:pPr>
        <w:numPr>
          <w:ilvl w:val="0"/>
          <w:numId w:val="16"/>
        </w:numPr>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на фондовом рынке по ОФЗ внедрен единый цикл расчетов Т+1 с частичным депонированием, который пришел на смену циклам расчетов T0 и Т+2. Цикл расчетов Т+1 позволяет снизить затраты участников рынка на фондирование операций на рынке государственного долга, увеличить объем операций за счет частичного обеспечения по сделкам, а также повысить эффективность работы маркет-мейкеров, что способствует росту ликвидности биржевого рынка ОФЗ;</w:t>
      </w:r>
    </w:p>
    <w:p w:rsidR="00341240" w:rsidRPr="00341240" w:rsidRDefault="00341240" w:rsidP="00AB0ACF">
      <w:pPr>
        <w:numPr>
          <w:ilvl w:val="0"/>
          <w:numId w:val="16"/>
        </w:numPr>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на рынке СПФИ утвержден алгоритм маржирования портфелей, включающих в себя опционные продукты; </w:t>
      </w:r>
    </w:p>
    <w:p w:rsidR="00341240" w:rsidRPr="00341240" w:rsidRDefault="00341240" w:rsidP="00AB0ACF">
      <w:pPr>
        <w:numPr>
          <w:ilvl w:val="0"/>
          <w:numId w:val="16"/>
        </w:numPr>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на срочном рынке, рынке ценных бумаг, валютном рынке и рынке драгоценных металлов утверждена методика определения размера обеспечения под стресс;</w:t>
      </w:r>
    </w:p>
    <w:p w:rsidR="00341240" w:rsidRPr="00341240" w:rsidRDefault="00341240" w:rsidP="00AB0ACF">
      <w:pPr>
        <w:numPr>
          <w:ilvl w:val="0"/>
          <w:numId w:val="16"/>
        </w:numPr>
        <w:spacing w:after="0" w:line="240" w:lineRule="auto"/>
        <w:contextualSpacing/>
        <w:jc w:val="both"/>
        <w:rPr>
          <w:rFonts w:ascii="Times New Roman" w:eastAsia="Calibri" w:hAnsi="Times New Roman" w:cs="Times New Roman"/>
          <w:b/>
          <w:sz w:val="24"/>
          <w:szCs w:val="24"/>
        </w:rPr>
      </w:pPr>
      <w:r w:rsidRPr="00341240">
        <w:rPr>
          <w:rFonts w:ascii="Times New Roman" w:eastAsia="Calibri" w:hAnsi="Times New Roman" w:cs="Times New Roman"/>
          <w:sz w:val="24"/>
          <w:szCs w:val="24"/>
        </w:rPr>
        <w:t>запущены биржевые торги форвардными контрактами, базовым активом которых является товар (пшеница мягкая). По этим операциям используется система маржирования, аналогичная системе маржирования валютного рынка и рынка ценных бумаг.</w:t>
      </w:r>
    </w:p>
    <w:p w:rsidR="00341240" w:rsidRPr="00341240" w:rsidRDefault="00341240" w:rsidP="00341240">
      <w:pPr>
        <w:spacing w:after="0" w:line="240" w:lineRule="auto"/>
        <w:ind w:left="720"/>
        <w:contextualSpacing/>
        <w:jc w:val="both"/>
        <w:rPr>
          <w:rFonts w:ascii="Times New Roman" w:eastAsia="Calibri" w:hAnsi="Times New Roman" w:cs="Times New Roman"/>
          <w:b/>
          <w:sz w:val="24"/>
          <w:szCs w:val="24"/>
        </w:rPr>
      </w:pPr>
    </w:p>
    <w:p w:rsidR="00341240" w:rsidRPr="00341240" w:rsidRDefault="00341240" w:rsidP="00341240">
      <w:pPr>
        <w:spacing w:after="0"/>
        <w:jc w:val="center"/>
        <w:rPr>
          <w:rFonts w:ascii="Times New Roman" w:eastAsia="Calibri" w:hAnsi="Times New Roman" w:cs="Times New Roman"/>
          <w:b/>
          <w:i/>
          <w:sz w:val="24"/>
          <w:szCs w:val="24"/>
        </w:rPr>
      </w:pPr>
      <w:r w:rsidRPr="00341240">
        <w:rPr>
          <w:rFonts w:ascii="Times New Roman" w:eastAsia="Calibri" w:hAnsi="Times New Roman" w:cs="Times New Roman"/>
          <w:b/>
          <w:i/>
          <w:sz w:val="24"/>
          <w:szCs w:val="24"/>
        </w:rPr>
        <w:t>Структура защиты ЦК</w:t>
      </w:r>
    </w:p>
    <w:p w:rsidR="00341240" w:rsidRPr="00341240" w:rsidRDefault="00341240" w:rsidP="00341240">
      <w:pPr>
        <w:spacing w:after="0" w:line="240" w:lineRule="auto"/>
        <w:jc w:val="center"/>
        <w:rPr>
          <w:rFonts w:ascii="Times New Roman" w:eastAsia="Calibri" w:hAnsi="Times New Roman" w:cs="Times New Roman"/>
          <w:b/>
          <w:sz w:val="24"/>
          <w:szCs w:val="24"/>
        </w:rPr>
      </w:pPr>
    </w:p>
    <w:p w:rsidR="00341240" w:rsidRPr="00341240" w:rsidRDefault="00341240" w:rsidP="00341240">
      <w:pPr>
        <w:spacing w:after="0" w:line="240" w:lineRule="auto"/>
        <w:ind w:firstLine="426"/>
        <w:jc w:val="both"/>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В 2015 году была разработана и внедрена новая структура уровней защиты ЦК, которая нацелена на обеспечение надежности и прозрачности взаимодействия с участниками клиринга, а также гарантированное сохранение финансовой устойчивости НКЦ в связи с выполнением им функции центрального контрагента в любой рыночной ситуации. Разработанная структура защиты соответствует международным стандартам деятельности центральных контрагентов и включает в себя следующие нововведения:</w:t>
      </w:r>
    </w:p>
    <w:p w:rsidR="00341240" w:rsidRPr="00341240" w:rsidRDefault="00341240" w:rsidP="00AB0ACF">
      <w:pPr>
        <w:numPr>
          <w:ilvl w:val="0"/>
          <w:numId w:val="16"/>
        </w:numPr>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унифицированную для всех рынков Группы «Московская биржа» систему защиты при дефолте участника;</w:t>
      </w:r>
    </w:p>
    <w:p w:rsidR="00341240" w:rsidRPr="00341240" w:rsidRDefault="00341240" w:rsidP="00AB0ACF">
      <w:pPr>
        <w:numPr>
          <w:ilvl w:val="0"/>
          <w:numId w:val="16"/>
        </w:numPr>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формирование выделенного капитала ЦК, используемого в случае дефолта участника клиринга до средств гарантийных фондов;</w:t>
      </w:r>
    </w:p>
    <w:p w:rsidR="00341240" w:rsidRPr="00341240" w:rsidRDefault="00341240" w:rsidP="00AB0ACF">
      <w:pPr>
        <w:numPr>
          <w:ilvl w:val="0"/>
          <w:numId w:val="16"/>
        </w:numPr>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обеспечение сохранности минимального уровня капитала НКЦ, гарантирующего непрерывность предоставления услуг участникам клиринга даже в случае чрезвычайной ситуации;</w:t>
      </w:r>
    </w:p>
    <w:p w:rsidR="00341240" w:rsidRPr="00341240" w:rsidRDefault="00341240" w:rsidP="00AB0ACF">
      <w:pPr>
        <w:numPr>
          <w:ilvl w:val="0"/>
          <w:numId w:val="16"/>
        </w:numPr>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механизм ограничения ответственности ЦК в случае использования остальных уровней финансовой защиты;</w:t>
      </w:r>
    </w:p>
    <w:p w:rsidR="00341240" w:rsidRPr="00341240" w:rsidRDefault="00341240" w:rsidP="00AB0ACF">
      <w:pPr>
        <w:numPr>
          <w:ilvl w:val="0"/>
          <w:numId w:val="16"/>
        </w:numPr>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порядок восполнения выделенного капитала НКЦ и гарантийных фондов.</w:t>
      </w:r>
    </w:p>
    <w:p w:rsidR="00341240" w:rsidRPr="00341240" w:rsidRDefault="00341240" w:rsidP="00341240">
      <w:pPr>
        <w:pageBreakBefore/>
        <w:spacing w:after="0" w:line="240" w:lineRule="auto"/>
        <w:ind w:left="720"/>
        <w:contextualSpacing/>
        <w:jc w:val="both"/>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Новая структура защиты НКЦ приведена на рисунке ниже:</w:t>
      </w:r>
    </w:p>
    <w:p w:rsidR="00341240" w:rsidRPr="00341240" w:rsidRDefault="00341240" w:rsidP="00341240">
      <w:pPr>
        <w:spacing w:before="120"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noProof/>
          <w:sz w:val="24"/>
          <w:szCs w:val="24"/>
          <w:lang w:eastAsia="ru-RU"/>
        </w:rPr>
        <w:drawing>
          <wp:inline distT="0" distB="0" distL="0" distR="0" wp14:anchorId="25B19ABC" wp14:editId="2989D585">
            <wp:extent cx="6334125" cy="324612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t="661"/>
                    <a:stretch>
                      <a:fillRect/>
                    </a:stretch>
                  </pic:blipFill>
                  <pic:spPr bwMode="auto">
                    <a:xfrm>
                      <a:off x="0" y="0"/>
                      <a:ext cx="6334125" cy="3246120"/>
                    </a:xfrm>
                    <a:prstGeom prst="rect">
                      <a:avLst/>
                    </a:prstGeom>
                    <a:noFill/>
                  </pic:spPr>
                </pic:pic>
              </a:graphicData>
            </a:graphic>
          </wp:inline>
        </w:drawing>
      </w:r>
    </w:p>
    <w:p w:rsidR="00341240" w:rsidRPr="00341240" w:rsidRDefault="00341240" w:rsidP="00341240">
      <w:pPr>
        <w:spacing w:after="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Согласно международным стандартам деятельности клиринговых организаций - центральных контрагентов уровень покрытия риска за счет средств коллективных фондов считается достаточным, если за счет этих средств в течение короткого промежутка времени может быть покрыт максимальный риск не менее чем по одной или двум дефолтным позициям. НКЦ ориентируется на покрытие максимального риска вследствие дефолта любых 2-3 участников клиринга, что превышает требования международных стандартов.</w:t>
      </w:r>
    </w:p>
    <w:p w:rsidR="00341240" w:rsidRPr="00341240" w:rsidRDefault="00341240" w:rsidP="00341240">
      <w:pPr>
        <w:spacing w:after="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С целью обеспечения дополнительной защиты добросовестных участников клиринга использование взносов этих участников в гарантийный фонд осуществляется только в случаях, если размер совокупной задолженности недобросовестных участников клиринга перед НКЦ превысит максимально допустимую величину. </w:t>
      </w:r>
    </w:p>
    <w:p w:rsidR="00341240" w:rsidRPr="00341240" w:rsidRDefault="00341240" w:rsidP="00341240">
      <w:pPr>
        <w:spacing w:after="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В 2015 году был сформирован гарантийный фонд на валютном рынке и рынке драгоценных металлов. Таким образом, в настоящее время на всех обслуживаемых рынках Группы «Московская Биржа» гарантийный фонд может быть использован, как инструмент покрытия потерь в случае дефолта участника клиринга. Размер гарантийных фондов по состоянию на 1 января 2016 г. представлен в таблице:</w:t>
      </w:r>
    </w:p>
    <w:p w:rsidR="00341240" w:rsidRPr="00341240" w:rsidRDefault="00341240" w:rsidP="00341240">
      <w:pPr>
        <w:spacing w:before="120" w:after="0" w:line="240" w:lineRule="auto"/>
        <w:jc w:val="both"/>
        <w:rPr>
          <w:rFonts w:ascii="Times New Roman" w:eastAsia="Calibri" w:hAnsi="Times New Roman" w:cs="Times New Roman"/>
          <w:sz w:val="24"/>
          <w:szCs w:val="24"/>
        </w:rPr>
      </w:pPr>
      <w:r w:rsidRPr="00341240">
        <w:rPr>
          <w:rFonts w:ascii="Calibri" w:eastAsia="Calibri" w:hAnsi="Calibri" w:cs="Times New Roman"/>
          <w:noProof/>
          <w:lang w:eastAsia="ru-RU"/>
        </w:rPr>
        <w:drawing>
          <wp:inline distT="0" distB="0" distL="0" distR="0" wp14:anchorId="068DA2A3" wp14:editId="02A4EC4F">
            <wp:extent cx="6210935" cy="2837815"/>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10935" cy="2837815"/>
                    </a:xfrm>
                    <a:prstGeom prst="rect">
                      <a:avLst/>
                    </a:prstGeom>
                    <a:noFill/>
                    <a:ln>
                      <a:noFill/>
                    </a:ln>
                  </pic:spPr>
                </pic:pic>
              </a:graphicData>
            </a:graphic>
          </wp:inline>
        </w:drawing>
      </w:r>
    </w:p>
    <w:p w:rsidR="00341240" w:rsidRPr="00341240" w:rsidRDefault="00341240" w:rsidP="00341240">
      <w:pPr>
        <w:spacing w:before="120" w:after="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Кроме того, осуществлена унификация порядка учета средств гарантийных фондов валютного рынка и рынка драгоценных металлов, фондового, срочного и товарного рынков и перечня активов, принимаемых в гарантийные фонды, что создало дополнительные условия для более эффективного и удобного использования участникам собственных средств.</w:t>
      </w:r>
    </w:p>
    <w:p w:rsidR="00341240" w:rsidRPr="00341240" w:rsidRDefault="00341240" w:rsidP="00341240">
      <w:pPr>
        <w:spacing w:after="0"/>
        <w:rPr>
          <w:rFonts w:ascii="Times New Roman" w:eastAsia="Calibri" w:hAnsi="Times New Roman" w:cs="Times New Roman"/>
          <w:b/>
          <w:sz w:val="24"/>
          <w:szCs w:val="24"/>
        </w:rPr>
      </w:pPr>
      <w:r w:rsidRPr="00341240">
        <w:rPr>
          <w:rFonts w:ascii="Calibri" w:eastAsia="Calibri" w:hAnsi="Calibri" w:cs="Times New Roman"/>
          <w:noProof/>
          <w:lang w:eastAsia="ru-RU"/>
        </w:rPr>
        <w:drawing>
          <wp:inline distT="0" distB="0" distL="0" distR="0" wp14:anchorId="39E7591F" wp14:editId="7B52C5AA">
            <wp:extent cx="6210935" cy="190627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0935" cy="1906270"/>
                    </a:xfrm>
                    <a:prstGeom prst="rect">
                      <a:avLst/>
                    </a:prstGeom>
                    <a:noFill/>
                    <a:ln>
                      <a:noFill/>
                    </a:ln>
                  </pic:spPr>
                </pic:pic>
              </a:graphicData>
            </a:graphic>
          </wp:inline>
        </w:drawing>
      </w:r>
    </w:p>
    <w:p w:rsidR="00341240" w:rsidRPr="00341240" w:rsidRDefault="00341240" w:rsidP="00341240">
      <w:pPr>
        <w:spacing w:before="240" w:after="120"/>
        <w:ind w:firstLine="425"/>
        <w:jc w:val="center"/>
        <w:rPr>
          <w:rFonts w:ascii="Times New Roman" w:eastAsia="Times New Roman" w:hAnsi="Times New Roman" w:cs="Times New Roman"/>
          <w:b/>
          <w:i/>
          <w:sz w:val="24"/>
          <w:szCs w:val="24"/>
          <w:lang w:eastAsia="ru-RU"/>
        </w:rPr>
      </w:pPr>
      <w:r w:rsidRPr="00341240">
        <w:rPr>
          <w:rFonts w:ascii="Times New Roman" w:eastAsia="Times New Roman" w:hAnsi="Times New Roman" w:cs="Times New Roman"/>
          <w:b/>
          <w:i/>
          <w:sz w:val="24"/>
          <w:szCs w:val="24"/>
          <w:lang w:eastAsia="ru-RU"/>
        </w:rPr>
        <w:t>Мониторинг финансового состояния участников клиринга</w:t>
      </w:r>
    </w:p>
    <w:p w:rsidR="00341240" w:rsidRPr="00341240" w:rsidRDefault="00341240" w:rsidP="00341240">
      <w:pPr>
        <w:spacing w:before="120" w:line="240" w:lineRule="auto"/>
        <w:jc w:val="both"/>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 xml:space="preserve">     В качестве эффективного инструмента мониторинга финансового состояния участников клиринга и контрагентов по активным операциям в НКЦ используется система внутреннего рейтингования. Применение формализованных внутренних оценок позволяет  оперативно реагировать на ухудшение финансового состояния</w:t>
      </w:r>
      <w:r w:rsidRPr="00341240">
        <w:rPr>
          <w:rFonts w:ascii="Times New Roman" w:eastAsia="Calibri" w:hAnsi="Times New Roman" w:cs="Times New Roman"/>
        </w:rPr>
        <w:t xml:space="preserve">  </w:t>
      </w:r>
      <w:r w:rsidRPr="00341240">
        <w:rPr>
          <w:rFonts w:ascii="Times New Roman" w:eastAsia="Times New Roman" w:hAnsi="Times New Roman" w:cs="Times New Roman"/>
          <w:sz w:val="24"/>
          <w:szCs w:val="24"/>
          <w:lang w:eastAsia="ru-RU"/>
        </w:rPr>
        <w:t xml:space="preserve">участников клиринга и контрагентов,  устанавливать лимиты активных операций и формировать адекватные резервы на возможные потери по несущим риск операциям. </w:t>
      </w:r>
    </w:p>
    <w:p w:rsidR="00341240" w:rsidRPr="00341240" w:rsidRDefault="00341240" w:rsidP="00341240">
      <w:pPr>
        <w:widowControl w:val="0"/>
        <w:spacing w:before="120" w:line="240" w:lineRule="auto"/>
        <w:jc w:val="both"/>
        <w:rPr>
          <w:rFonts w:ascii="Times New Roman" w:eastAsia="Calibri" w:hAnsi="Times New Roman" w:cs="Times New Roman"/>
          <w:noProof/>
          <w:lang w:eastAsia="ru-RU"/>
        </w:rPr>
      </w:pPr>
      <w:r w:rsidRPr="00341240">
        <w:rPr>
          <w:rFonts w:ascii="Times New Roman" w:eastAsia="Times New Roman" w:hAnsi="Times New Roman" w:cs="Times New Roman"/>
          <w:sz w:val="24"/>
          <w:szCs w:val="24"/>
          <w:lang w:eastAsia="ru-RU"/>
        </w:rPr>
        <w:t xml:space="preserve">     Внутреннее рейтингование осуществляется в соответствии с действующей в НКЦ Методикой определения внутренних рейтингов контрагентов (эмитентов) и включает следующие элементы:</w:t>
      </w:r>
      <w:r w:rsidRPr="00341240" w:rsidDel="00A20526">
        <w:rPr>
          <w:rFonts w:ascii="Times New Roman" w:eastAsia="Calibri" w:hAnsi="Times New Roman" w:cs="Times New Roman"/>
          <w:noProof/>
          <w:lang w:eastAsia="ru-RU"/>
        </w:rPr>
        <w:t xml:space="preserve"> </w:t>
      </w:r>
    </w:p>
    <w:p w:rsidR="00341240" w:rsidRPr="00341240" w:rsidRDefault="00341240" w:rsidP="00341240">
      <w:pPr>
        <w:widowControl w:val="0"/>
        <w:spacing w:before="120" w:line="240" w:lineRule="auto"/>
        <w:jc w:val="both"/>
        <w:rPr>
          <w:rFonts w:ascii="Times New Roman" w:eastAsia="Times New Roman" w:hAnsi="Times New Roman" w:cs="Times New Roman"/>
          <w:sz w:val="24"/>
          <w:szCs w:val="24"/>
          <w:lang w:eastAsia="ru-RU"/>
        </w:rPr>
      </w:pPr>
      <w:r w:rsidRPr="00341240">
        <w:rPr>
          <w:rFonts w:ascii="Times New Roman" w:eastAsia="Times New Roman" w:hAnsi="Times New Roman" w:cs="Times New Roman"/>
          <w:noProof/>
          <w:sz w:val="24"/>
          <w:szCs w:val="24"/>
          <w:lang w:eastAsia="ru-RU"/>
        </w:rPr>
        <w:drawing>
          <wp:anchor distT="0" distB="0" distL="114300" distR="114300" simplePos="0" relativeHeight="251693056" behindDoc="0" locked="0" layoutInCell="1" allowOverlap="1" wp14:anchorId="60C873CD" wp14:editId="050F659B">
            <wp:simplePos x="0" y="0"/>
            <wp:positionH relativeFrom="margin">
              <wp:posOffset>0</wp:posOffset>
            </wp:positionH>
            <wp:positionV relativeFrom="margin">
              <wp:posOffset>5372735</wp:posOffset>
            </wp:positionV>
            <wp:extent cx="6480810" cy="451739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0810" cy="4517390"/>
                    </a:xfrm>
                    <a:prstGeom prst="rect">
                      <a:avLst/>
                    </a:prstGeom>
                    <a:noFill/>
                  </pic:spPr>
                </pic:pic>
              </a:graphicData>
            </a:graphic>
            <wp14:sizeRelH relativeFrom="page">
              <wp14:pctWidth>0</wp14:pctWidth>
            </wp14:sizeRelH>
            <wp14:sizeRelV relativeFrom="page">
              <wp14:pctHeight>0</wp14:pctHeight>
            </wp14:sizeRelV>
          </wp:anchor>
        </w:drawing>
      </w:r>
    </w:p>
    <w:p w:rsidR="00341240" w:rsidRPr="00341240" w:rsidRDefault="00341240" w:rsidP="00341240">
      <w:pPr>
        <w:spacing w:before="120" w:line="240" w:lineRule="auto"/>
        <w:jc w:val="both"/>
        <w:rPr>
          <w:rFonts w:ascii="Times New Roman" w:eastAsia="Times New Roman" w:hAnsi="Times New Roman" w:cs="Times New Roman"/>
          <w:sz w:val="24"/>
          <w:szCs w:val="24"/>
          <w:lang w:eastAsia="ru-RU"/>
        </w:rPr>
      </w:pPr>
    </w:p>
    <w:p w:rsidR="00341240" w:rsidRPr="00341240" w:rsidRDefault="00341240" w:rsidP="00341240">
      <w:pPr>
        <w:spacing w:before="120" w:line="240" w:lineRule="auto"/>
        <w:ind w:firstLine="567"/>
        <w:jc w:val="both"/>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Источниками информации для определения внутреннего рейтинга служит финансовая отчетность и иная информация об участниках клиринга и контрагентах, существенная для оценки уровня принимаемых на них рисков. Внутренний рейтинг является результатом совокупной бальной оценки финансовых и нефинансовых показателей и может быть скорректирован по результатам экспертной оценки (учитываются сведения о составе собственников, данные о развитии бизнеса контрагента, рыночных позициях участника клиринга на отдельных сегментах рынка, динамике стоимости акций, эмитентами которых они являются, другая значимая информация).</w:t>
      </w:r>
    </w:p>
    <w:p w:rsidR="00341240" w:rsidRPr="00341240" w:rsidRDefault="00341240" w:rsidP="00341240">
      <w:pPr>
        <w:spacing w:after="12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По состоянию на 01.01.2016 года системой внутреннего рейтингования НКЦ было охвачено 745 организаций. Распределение по типам рейтингуемых участников клиринга и контрагентов НКЦ на 01.01.2016 года отражено в таблице:</w:t>
      </w:r>
    </w:p>
    <w:p w:rsidR="00341240" w:rsidRPr="00341240" w:rsidRDefault="00341240" w:rsidP="00341240">
      <w:pPr>
        <w:spacing w:before="120" w:after="0"/>
        <w:rPr>
          <w:rFonts w:ascii="Times New Roman" w:eastAsia="Calibri" w:hAnsi="Times New Roman" w:cs="Times New Roman"/>
          <w:b/>
          <w:sz w:val="24"/>
          <w:szCs w:val="24"/>
        </w:rPr>
      </w:pPr>
      <w:r w:rsidRPr="00341240">
        <w:rPr>
          <w:rFonts w:ascii="Calibri" w:eastAsia="Calibri" w:hAnsi="Calibri" w:cs="Times New Roman"/>
          <w:noProof/>
          <w:lang w:eastAsia="ru-RU"/>
        </w:rPr>
        <w:drawing>
          <wp:inline distT="0" distB="0" distL="0" distR="0" wp14:anchorId="380B40B9" wp14:editId="22BEDA8A">
            <wp:extent cx="6210935" cy="16478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10935" cy="1647825"/>
                    </a:xfrm>
                    <a:prstGeom prst="rect">
                      <a:avLst/>
                    </a:prstGeom>
                    <a:noFill/>
                    <a:ln>
                      <a:noFill/>
                    </a:ln>
                  </pic:spPr>
                </pic:pic>
              </a:graphicData>
            </a:graphic>
          </wp:inline>
        </w:drawing>
      </w:r>
    </w:p>
    <w:p w:rsidR="00341240" w:rsidRPr="00341240" w:rsidRDefault="00341240" w:rsidP="00341240">
      <w:pPr>
        <w:pageBreakBefore/>
        <w:spacing w:before="120" w:after="0"/>
        <w:jc w:val="center"/>
        <w:rPr>
          <w:rFonts w:ascii="Times New Roman" w:eastAsia="Calibri" w:hAnsi="Times New Roman" w:cs="Times New Roman"/>
          <w:b/>
          <w:sz w:val="24"/>
          <w:szCs w:val="24"/>
        </w:rPr>
      </w:pPr>
      <w:r w:rsidRPr="00341240">
        <w:rPr>
          <w:rFonts w:ascii="Times New Roman" w:eastAsia="Calibri" w:hAnsi="Times New Roman" w:cs="Times New Roman"/>
          <w:b/>
          <w:sz w:val="24"/>
          <w:szCs w:val="24"/>
          <w:lang w:val="en-US"/>
        </w:rPr>
        <w:t>III</w:t>
      </w:r>
      <w:r w:rsidRPr="00341240">
        <w:rPr>
          <w:rFonts w:ascii="Times New Roman" w:eastAsia="Calibri" w:hAnsi="Times New Roman" w:cs="Times New Roman"/>
          <w:b/>
          <w:sz w:val="24"/>
          <w:szCs w:val="24"/>
        </w:rPr>
        <w:t>. Управление рисками банковских операций</w:t>
      </w:r>
    </w:p>
    <w:p w:rsidR="00341240" w:rsidRPr="00341240" w:rsidRDefault="00341240" w:rsidP="00341240">
      <w:pPr>
        <w:spacing w:before="120"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НКЦ в силу специфики своего статуса и видов деятельности придерживается консервативной политики по формированию активов при размещении свободных денежных средств. </w:t>
      </w:r>
    </w:p>
    <w:p w:rsidR="00341240" w:rsidRPr="00341240" w:rsidRDefault="00341240" w:rsidP="00341240">
      <w:pPr>
        <w:spacing w:before="120"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Основные элементы управления рисками, возникающими при осуществлении банковской деятельности, включают:  </w:t>
      </w:r>
    </w:p>
    <w:p w:rsidR="00341240" w:rsidRPr="00341240" w:rsidRDefault="00341240" w:rsidP="00AB0ACF">
      <w:pPr>
        <w:numPr>
          <w:ilvl w:val="0"/>
          <w:numId w:val="17"/>
        </w:numPr>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управление портфелем активов и пассивов; </w:t>
      </w:r>
    </w:p>
    <w:p w:rsidR="00341240" w:rsidRPr="00341240" w:rsidRDefault="00341240" w:rsidP="00AB0ACF">
      <w:pPr>
        <w:numPr>
          <w:ilvl w:val="0"/>
          <w:numId w:val="17"/>
        </w:numPr>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мониторинг финансового состояния контрагентов;</w:t>
      </w:r>
    </w:p>
    <w:p w:rsidR="00341240" w:rsidRPr="00341240" w:rsidRDefault="00341240" w:rsidP="00AB0ACF">
      <w:pPr>
        <w:numPr>
          <w:ilvl w:val="0"/>
          <w:numId w:val="17"/>
        </w:numPr>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установление лимитов;</w:t>
      </w:r>
    </w:p>
    <w:p w:rsidR="00341240" w:rsidRPr="00341240" w:rsidRDefault="00341240" w:rsidP="00AB0ACF">
      <w:pPr>
        <w:numPr>
          <w:ilvl w:val="0"/>
          <w:numId w:val="17"/>
        </w:numPr>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формирование резервов на возможные потери для покрытия рисков;</w:t>
      </w:r>
    </w:p>
    <w:p w:rsidR="00341240" w:rsidRPr="00341240" w:rsidRDefault="00341240" w:rsidP="00AB0ACF">
      <w:pPr>
        <w:numPr>
          <w:ilvl w:val="0"/>
          <w:numId w:val="17"/>
        </w:numPr>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отказ от принятия отдельных видов рисков.</w:t>
      </w:r>
    </w:p>
    <w:p w:rsidR="00341240" w:rsidRPr="00341240" w:rsidRDefault="00341240" w:rsidP="00341240">
      <w:pPr>
        <w:spacing w:before="120" w:after="0"/>
        <w:jc w:val="center"/>
        <w:rPr>
          <w:rFonts w:ascii="Times New Roman" w:eastAsia="Calibri" w:hAnsi="Times New Roman" w:cs="Times New Roman"/>
          <w:b/>
          <w:i/>
          <w:sz w:val="24"/>
          <w:szCs w:val="24"/>
        </w:rPr>
      </w:pPr>
      <w:r w:rsidRPr="00341240">
        <w:rPr>
          <w:rFonts w:ascii="Times New Roman" w:eastAsia="Calibri" w:hAnsi="Times New Roman" w:cs="Times New Roman"/>
          <w:b/>
          <w:i/>
          <w:sz w:val="24"/>
          <w:szCs w:val="24"/>
        </w:rPr>
        <w:t>Управление кредитным риском</w:t>
      </w:r>
    </w:p>
    <w:p w:rsidR="00341240" w:rsidRPr="00341240" w:rsidRDefault="00341240" w:rsidP="00341240">
      <w:pPr>
        <w:spacing w:before="120" w:after="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Кредитный риск применительно к банковской деятельности НКЦ проявляется в результате осуществления НКЦ инвестиционной деятельности.</w:t>
      </w:r>
    </w:p>
    <w:p w:rsidR="00341240" w:rsidRPr="00341240" w:rsidRDefault="00341240" w:rsidP="00341240">
      <w:pPr>
        <w:spacing w:after="0"/>
        <w:ind w:left="1080" w:hanging="513"/>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Процесс управления кредитным риском кратко представлен на рисунке ниже:</w:t>
      </w:r>
    </w:p>
    <w:p w:rsidR="00341240" w:rsidRPr="00341240" w:rsidRDefault="00341240" w:rsidP="00341240">
      <w:pPr>
        <w:spacing w:before="120" w:after="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noProof/>
          <w:sz w:val="24"/>
          <w:szCs w:val="24"/>
          <w:lang w:eastAsia="ru-RU"/>
        </w:rPr>
        <w:drawing>
          <wp:anchor distT="0" distB="0" distL="114300" distR="114300" simplePos="0" relativeHeight="251675648" behindDoc="0" locked="0" layoutInCell="1" allowOverlap="1" wp14:anchorId="7A5C0F75" wp14:editId="38C9FC4E">
            <wp:simplePos x="0" y="0"/>
            <wp:positionH relativeFrom="margin">
              <wp:posOffset>260985</wp:posOffset>
            </wp:positionH>
            <wp:positionV relativeFrom="margin">
              <wp:posOffset>3391535</wp:posOffset>
            </wp:positionV>
            <wp:extent cx="6210300" cy="426847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t="12422"/>
                    <a:stretch>
                      <a:fillRect/>
                    </a:stretch>
                  </pic:blipFill>
                  <pic:spPr bwMode="auto">
                    <a:xfrm>
                      <a:off x="0" y="0"/>
                      <a:ext cx="6210300" cy="4268470"/>
                    </a:xfrm>
                    <a:prstGeom prst="rect">
                      <a:avLst/>
                    </a:prstGeom>
                    <a:noFill/>
                  </pic:spPr>
                </pic:pic>
              </a:graphicData>
            </a:graphic>
            <wp14:sizeRelH relativeFrom="page">
              <wp14:pctWidth>0</wp14:pctWidth>
            </wp14:sizeRelH>
            <wp14:sizeRelV relativeFrom="page">
              <wp14:pctHeight>0</wp14:pctHeight>
            </wp14:sizeRelV>
          </wp:anchor>
        </w:drawing>
      </w:r>
      <w:r w:rsidRPr="00341240">
        <w:rPr>
          <w:rFonts w:ascii="Times New Roman" w:eastAsia="Calibri" w:hAnsi="Times New Roman" w:cs="Times New Roman"/>
          <w:sz w:val="24"/>
          <w:szCs w:val="24"/>
        </w:rPr>
        <w:t xml:space="preserve">Инвестиционная деятельность НКЦ, критерии выбора контрагентов и инструментов при размещении свободных денежных средств, а также сроки размещения с учетом рыночной ликвидности инструментов регламентируются политикой осуществления казначейской деятельности Банка. </w:t>
      </w:r>
    </w:p>
    <w:p w:rsidR="00341240" w:rsidRPr="00341240" w:rsidRDefault="00341240" w:rsidP="00341240">
      <w:pPr>
        <w:spacing w:before="120" w:after="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Основные положения инвестиционной политики НКЦ обеспечивают достаточную доходность активов при умеренном уровне риска:</w:t>
      </w:r>
    </w:p>
    <w:p w:rsidR="00341240" w:rsidRPr="00341240" w:rsidRDefault="00341240" w:rsidP="00341240">
      <w:pPr>
        <w:spacing w:before="120"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noProof/>
          <w:lang w:eastAsia="ru-RU"/>
        </w:rPr>
        <w:drawing>
          <wp:inline distT="0" distB="0" distL="0" distR="0" wp14:anchorId="399C79A6" wp14:editId="42F3AB9F">
            <wp:extent cx="6366510" cy="3752215"/>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66510" cy="3752215"/>
                    </a:xfrm>
                    <a:prstGeom prst="rect">
                      <a:avLst/>
                    </a:prstGeom>
                    <a:noFill/>
                    <a:ln>
                      <a:noFill/>
                    </a:ln>
                  </pic:spPr>
                </pic:pic>
              </a:graphicData>
            </a:graphic>
          </wp:inline>
        </w:drawing>
      </w:r>
    </w:p>
    <w:p w:rsidR="00341240" w:rsidRPr="00341240" w:rsidRDefault="00341240" w:rsidP="00341240">
      <w:pPr>
        <w:widowControl w:val="0"/>
        <w:spacing w:after="0"/>
        <w:jc w:val="center"/>
        <w:rPr>
          <w:rFonts w:ascii="Times New Roman" w:eastAsia="Calibri" w:hAnsi="Times New Roman" w:cs="Times New Roman"/>
          <w:noProof/>
          <w:lang w:eastAsia="ru-RU"/>
        </w:rPr>
      </w:pPr>
    </w:p>
    <w:p w:rsidR="00341240" w:rsidRPr="00341240" w:rsidRDefault="00341240" w:rsidP="00341240">
      <w:pPr>
        <w:spacing w:after="0"/>
        <w:rPr>
          <w:rFonts w:ascii="Times New Roman" w:eastAsia="Calibri" w:hAnsi="Times New Roman" w:cs="Times New Roman"/>
          <w:sz w:val="24"/>
          <w:szCs w:val="24"/>
        </w:rPr>
      </w:pPr>
      <w:r w:rsidRPr="00341240">
        <w:rPr>
          <w:rFonts w:ascii="Times New Roman" w:eastAsia="Calibri" w:hAnsi="Times New Roman" w:cs="Times New Roman"/>
          <w:noProof/>
          <w:sz w:val="24"/>
          <w:szCs w:val="24"/>
          <w:lang w:eastAsia="ru-RU"/>
        </w:rPr>
        <w:drawing>
          <wp:anchor distT="0" distB="0" distL="114300" distR="114300" simplePos="0" relativeHeight="251676672" behindDoc="0" locked="0" layoutInCell="1" allowOverlap="1" wp14:anchorId="0240D5CC" wp14:editId="0C56A4A4">
            <wp:simplePos x="0" y="0"/>
            <wp:positionH relativeFrom="margin">
              <wp:posOffset>0</wp:posOffset>
            </wp:positionH>
            <wp:positionV relativeFrom="margin">
              <wp:posOffset>3876675</wp:posOffset>
            </wp:positionV>
            <wp:extent cx="6352540" cy="4657725"/>
            <wp:effectExtent l="0" t="0" r="0" b="952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52540" cy="4657725"/>
                    </a:xfrm>
                    <a:prstGeom prst="rect">
                      <a:avLst/>
                    </a:prstGeom>
                    <a:noFill/>
                  </pic:spPr>
                </pic:pic>
              </a:graphicData>
            </a:graphic>
            <wp14:sizeRelH relativeFrom="page">
              <wp14:pctWidth>0</wp14:pctWidth>
            </wp14:sizeRelH>
            <wp14:sizeRelV relativeFrom="page">
              <wp14:pctHeight>0</wp14:pctHeight>
            </wp14:sizeRelV>
          </wp:anchor>
        </w:drawing>
      </w:r>
    </w:p>
    <w:p w:rsidR="00341240" w:rsidRPr="00341240" w:rsidRDefault="00341240" w:rsidP="00341240">
      <w:pPr>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Важнейшим элементом контроля кредитных рисков, возникающих при размещении денежных средств, является лимитирование казначейских операций. Действующая система лимитов обеспечивает ограничение объема принимаемых НКЦ рисков на уровне, соответствующем гарантированному выполнению регулятивных требований Банка России и политике осуществления казначейской деятельности НКЦ.</w:t>
      </w:r>
    </w:p>
    <w:p w:rsidR="00341240" w:rsidRPr="00341240" w:rsidRDefault="00341240" w:rsidP="00341240">
      <w:pPr>
        <w:spacing w:after="0" w:line="240" w:lineRule="auto"/>
        <w:ind w:firstLine="567"/>
        <w:jc w:val="both"/>
        <w:rPr>
          <w:rFonts w:ascii="Times New Roman" w:eastAsia="Calibri" w:hAnsi="Times New Roman" w:cs="Times New Roman"/>
          <w:sz w:val="24"/>
          <w:szCs w:val="24"/>
          <w:lang w:eastAsia="ru-RU"/>
        </w:rPr>
      </w:pPr>
      <w:r w:rsidRPr="00341240">
        <w:rPr>
          <w:rFonts w:ascii="Times New Roman" w:eastAsia="Calibri" w:hAnsi="Times New Roman" w:cs="Times New Roman"/>
          <w:sz w:val="24"/>
          <w:szCs w:val="24"/>
          <w:lang w:eastAsia="ru-RU"/>
        </w:rPr>
        <w:t>По состоянию на 01.01.2016 в структуре подверженных кредитному риску активов НКЦ превалировали средства, размещенные на корсчетах в кредитных организациях, преимущественно в крупных иностранных и наиболее надежных российских банках. Наибольший объем средств был размещен на корсчетах в JP Morgan Chase Bank и его дочерних компаниях в связи с выполнением ими функций расчетных банков на биржевом валютном рынке Группы «Московская Биржа».</w:t>
      </w:r>
      <w:r w:rsidRPr="00341240" w:rsidDel="00C10D1B">
        <w:rPr>
          <w:rFonts w:ascii="Times New Roman" w:eastAsia="Calibri" w:hAnsi="Times New Roman" w:cs="Times New Roman"/>
          <w:sz w:val="24"/>
          <w:szCs w:val="24"/>
          <w:lang w:eastAsia="ru-RU"/>
        </w:rPr>
        <w:t xml:space="preserve"> </w:t>
      </w:r>
    </w:p>
    <w:p w:rsidR="00341240" w:rsidRPr="00341240" w:rsidRDefault="00341240" w:rsidP="00341240">
      <w:pPr>
        <w:spacing w:after="0" w:line="240" w:lineRule="auto"/>
        <w:jc w:val="both"/>
        <w:rPr>
          <w:rFonts w:ascii="Times New Roman" w:eastAsia="Calibri" w:hAnsi="Times New Roman" w:cs="Times New Roman"/>
          <w:sz w:val="24"/>
          <w:szCs w:val="24"/>
          <w:lang w:eastAsia="ru-RU"/>
        </w:rPr>
      </w:pPr>
      <w:r w:rsidRPr="00341240">
        <w:rPr>
          <w:rFonts w:ascii="Times New Roman" w:eastAsia="Calibri" w:hAnsi="Times New Roman" w:cs="Times New Roman"/>
          <w:sz w:val="24"/>
          <w:szCs w:val="24"/>
          <w:lang w:eastAsia="ru-RU"/>
        </w:rPr>
        <w:t xml:space="preserve">       Информация о распределении совокупного портфеля ценных бумаг НКЦ в отраслевом разрезе эмитентов долговых обязательств, а также группировка активов по уровню международного рейтинга в соответствии со шкалой </w:t>
      </w:r>
      <w:r w:rsidRPr="00341240">
        <w:rPr>
          <w:rFonts w:ascii="Times New Roman" w:eastAsia="Calibri" w:hAnsi="Times New Roman" w:cs="Times New Roman"/>
          <w:sz w:val="24"/>
          <w:szCs w:val="24"/>
          <w:lang w:val="en-US" w:eastAsia="ru-RU"/>
        </w:rPr>
        <w:t>S</w:t>
      </w:r>
      <w:r w:rsidRPr="00341240">
        <w:rPr>
          <w:rFonts w:ascii="Times New Roman" w:eastAsia="Calibri" w:hAnsi="Times New Roman" w:cs="Times New Roman"/>
          <w:sz w:val="24"/>
          <w:szCs w:val="24"/>
          <w:lang w:eastAsia="ru-RU"/>
        </w:rPr>
        <w:t>&amp;</w:t>
      </w:r>
      <w:r w:rsidRPr="00341240">
        <w:rPr>
          <w:rFonts w:ascii="Times New Roman" w:eastAsia="Calibri" w:hAnsi="Times New Roman" w:cs="Times New Roman"/>
          <w:sz w:val="24"/>
          <w:szCs w:val="24"/>
          <w:lang w:val="en-US" w:eastAsia="ru-RU"/>
        </w:rPr>
        <w:t>P</w:t>
      </w:r>
      <w:r w:rsidRPr="00341240">
        <w:rPr>
          <w:rFonts w:ascii="Times New Roman" w:eastAsia="Calibri" w:hAnsi="Times New Roman" w:cs="Times New Roman"/>
          <w:sz w:val="24"/>
          <w:szCs w:val="24"/>
          <w:lang w:eastAsia="ru-RU"/>
        </w:rPr>
        <w:t xml:space="preserve"> приведена на диаграмме:</w:t>
      </w:r>
    </w:p>
    <w:p w:rsidR="00341240" w:rsidRPr="00341240" w:rsidRDefault="00341240" w:rsidP="00341240">
      <w:pPr>
        <w:spacing w:after="0" w:line="240" w:lineRule="auto"/>
        <w:jc w:val="both"/>
        <w:rPr>
          <w:rFonts w:ascii="Times New Roman" w:eastAsia="Calibri" w:hAnsi="Times New Roman" w:cs="Times New Roman"/>
          <w:sz w:val="24"/>
          <w:szCs w:val="24"/>
          <w:lang w:eastAsia="ru-RU"/>
        </w:rPr>
      </w:pPr>
    </w:p>
    <w:p w:rsidR="00341240" w:rsidRPr="00341240" w:rsidRDefault="00341240" w:rsidP="00341240">
      <w:pPr>
        <w:spacing w:before="120" w:after="120" w:line="240" w:lineRule="auto"/>
        <w:jc w:val="center"/>
        <w:rPr>
          <w:rFonts w:ascii="Times New Roman" w:eastAsia="Calibri" w:hAnsi="Times New Roman" w:cs="Times New Roman"/>
          <w:sz w:val="24"/>
          <w:szCs w:val="24"/>
          <w:lang w:eastAsia="ru-RU"/>
        </w:rPr>
      </w:pPr>
      <w:r w:rsidRPr="00341240">
        <w:rPr>
          <w:rFonts w:ascii="Calibri" w:eastAsia="Calibri" w:hAnsi="Calibri" w:cs="Times New Roman"/>
          <w:noProof/>
          <w:lang w:eastAsia="ru-RU"/>
        </w:rPr>
        <w:drawing>
          <wp:inline distT="0" distB="0" distL="0" distR="0" wp14:anchorId="02DFD692" wp14:editId="60376399">
            <wp:extent cx="5038090" cy="3312795"/>
            <wp:effectExtent l="0" t="0" r="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t="16759" r="8270" b="6403"/>
                    <a:stretch>
                      <a:fillRect/>
                    </a:stretch>
                  </pic:blipFill>
                  <pic:spPr bwMode="auto">
                    <a:xfrm>
                      <a:off x="0" y="0"/>
                      <a:ext cx="5038090" cy="3312795"/>
                    </a:xfrm>
                    <a:prstGeom prst="rect">
                      <a:avLst/>
                    </a:prstGeom>
                    <a:noFill/>
                    <a:ln>
                      <a:noFill/>
                    </a:ln>
                  </pic:spPr>
                </pic:pic>
              </a:graphicData>
            </a:graphic>
          </wp:inline>
        </w:drawing>
      </w:r>
    </w:p>
    <w:p w:rsidR="00341240" w:rsidRPr="00341240" w:rsidRDefault="00341240" w:rsidP="00341240">
      <w:pPr>
        <w:spacing w:after="0" w:line="240" w:lineRule="auto"/>
        <w:jc w:val="both"/>
        <w:rPr>
          <w:rFonts w:ascii="Times New Roman" w:eastAsia="Calibri" w:hAnsi="Times New Roman" w:cs="Times New Roman"/>
          <w:sz w:val="24"/>
          <w:szCs w:val="24"/>
        </w:rPr>
      </w:pPr>
    </w:p>
    <w:p w:rsidR="00341240" w:rsidRPr="00341240" w:rsidRDefault="00341240" w:rsidP="00341240">
      <w:pPr>
        <w:spacing w:before="120" w:after="0" w:line="240" w:lineRule="auto"/>
        <w:jc w:val="both"/>
        <w:rPr>
          <w:rFonts w:ascii="Times New Roman" w:eastAsia="Calibri" w:hAnsi="Times New Roman" w:cs="Times New Roman"/>
          <w:b/>
        </w:rPr>
      </w:pPr>
      <w:r w:rsidRPr="00341240">
        <w:rPr>
          <w:rFonts w:ascii="Times New Roman" w:eastAsia="Calibri" w:hAnsi="Times New Roman" w:cs="Times New Roman"/>
          <w:sz w:val="24"/>
          <w:szCs w:val="24"/>
        </w:rPr>
        <w:t xml:space="preserve">         В соответствии со вступившими в силу с 01.11.2015 года нормативными изменениями к порядку формирования резервов на возможные потери по ссудам, ссудной и приравненной к ней задолженности и порядку формирования резервов на возможные потери, требования НКЦ по операциям, связанным с осуществлением клиринговой деятельности и выполнением функций центрального контрагента не подлежат резервированию. В связи с этим резервы по клиринговым операциям и операциям, связанным с выполнением Банком функций центрального контрагента не формируются и не учитывается стоимость полученного обеспечения.  Благодаря  высокому качеству активов показатель достаточности капитала (норматив Н1.0) на 01.01.2016 составлял 13,48%, при регулятивном минимуме в 10%, что наглядно подтверждает финансовую устойчивость НКЦ.</w:t>
      </w:r>
    </w:p>
    <w:p w:rsidR="00341240" w:rsidRPr="00341240" w:rsidRDefault="00341240" w:rsidP="00341240">
      <w:pPr>
        <w:pageBreakBefore/>
        <w:spacing w:before="120" w:after="0"/>
        <w:jc w:val="center"/>
        <w:rPr>
          <w:rFonts w:ascii="Times New Roman" w:eastAsia="Calibri" w:hAnsi="Times New Roman" w:cs="Times New Roman"/>
          <w:i/>
          <w:sz w:val="24"/>
          <w:szCs w:val="24"/>
        </w:rPr>
      </w:pPr>
      <w:r w:rsidRPr="00341240">
        <w:rPr>
          <w:rFonts w:ascii="Times New Roman" w:eastAsia="Calibri" w:hAnsi="Times New Roman" w:cs="Times New Roman"/>
          <w:b/>
          <w:i/>
          <w:sz w:val="24"/>
          <w:szCs w:val="24"/>
        </w:rPr>
        <w:t>Управление риском ликвидности</w:t>
      </w:r>
    </w:p>
    <w:p w:rsidR="00341240" w:rsidRPr="00341240" w:rsidRDefault="00341240" w:rsidP="00341240">
      <w:pPr>
        <w:spacing w:before="120" w:after="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Консервативная политика по размещению средств способствовала поддержанию уровня ликвидности, достаточного для выполнения платежных обязательств НКЦ, в первую очередь, как центрального контрагента. Управление ликвидностью направлено на обеспечение способности НКЦ своевременно и в полном объеме выполнять свои обязательства как в нормальных рыночных условиях, так и в непредвиденных чрезвычайных ситуациях без возникновения неприемлемых убытков и риска нанесения ущерба деловой репутации. </w:t>
      </w:r>
    </w:p>
    <w:p w:rsidR="00341240" w:rsidRPr="00341240" w:rsidRDefault="00341240" w:rsidP="00341240">
      <w:pPr>
        <w:spacing w:after="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В течение 2015 года обязательные для кредитных организаций нормативы ликвидности выполнялись НКЦ с существенным запасом, как это показано в таблице:</w:t>
      </w:r>
    </w:p>
    <w:p w:rsidR="00341240" w:rsidRPr="00341240" w:rsidRDefault="00341240" w:rsidP="00341240">
      <w:pPr>
        <w:widowControl w:val="0"/>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Calibri" w:eastAsia="Calibri" w:hAnsi="Calibri" w:cs="Times New Roman"/>
          <w:noProof/>
          <w:lang w:eastAsia="ru-RU"/>
        </w:rPr>
        <w:drawing>
          <wp:inline distT="0" distB="0" distL="0" distR="0" wp14:anchorId="6388ECFA" wp14:editId="16F822C4">
            <wp:extent cx="6210935" cy="1915160"/>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10935" cy="1915160"/>
                    </a:xfrm>
                    <a:prstGeom prst="rect">
                      <a:avLst/>
                    </a:prstGeom>
                    <a:noFill/>
                    <a:ln>
                      <a:noFill/>
                    </a:ln>
                  </pic:spPr>
                </pic:pic>
              </a:graphicData>
            </a:graphic>
          </wp:inline>
        </w:drawing>
      </w:r>
      <w:r w:rsidRPr="00341240">
        <w:rPr>
          <w:rFonts w:ascii="Times New Roman" w:eastAsia="Calibri" w:hAnsi="Times New Roman" w:cs="Times New Roman"/>
          <w:sz w:val="24"/>
          <w:szCs w:val="24"/>
        </w:rPr>
        <w:t xml:space="preserve">   </w:t>
      </w:r>
    </w:p>
    <w:p w:rsidR="00341240" w:rsidRPr="00341240" w:rsidRDefault="00341240" w:rsidP="00341240">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p>
    <w:p w:rsidR="00341240" w:rsidRPr="00341240" w:rsidRDefault="00341240" w:rsidP="00341240">
      <w:pPr>
        <w:widowControl w:val="0"/>
        <w:autoSpaceDE w:val="0"/>
        <w:autoSpaceDN w:val="0"/>
        <w:adjustRightInd w:val="0"/>
        <w:spacing w:after="0" w:line="240" w:lineRule="auto"/>
        <w:ind w:firstLine="567"/>
        <w:jc w:val="both"/>
        <w:rPr>
          <w:rFonts w:ascii="Times New Roman" w:eastAsia="Calibri" w:hAnsi="Times New Roman" w:cs="Times New Roman"/>
          <w:i/>
          <w:sz w:val="24"/>
          <w:szCs w:val="24"/>
        </w:rPr>
      </w:pPr>
      <w:r w:rsidRPr="00341240">
        <w:rPr>
          <w:rFonts w:ascii="Times New Roman" w:eastAsia="Calibri" w:hAnsi="Times New Roman" w:cs="Times New Roman"/>
          <w:i/>
          <w:sz w:val="24"/>
          <w:szCs w:val="24"/>
        </w:rPr>
        <w:t>Управление риском ликвидности включает следующие процедуры:</w:t>
      </w:r>
    </w:p>
    <w:p w:rsidR="00341240" w:rsidRPr="00341240" w:rsidRDefault="00341240" w:rsidP="00AB0ACF">
      <w:pPr>
        <w:widowControl w:val="0"/>
        <w:numPr>
          <w:ilvl w:val="0"/>
          <w:numId w:val="18"/>
        </w:numPr>
        <w:tabs>
          <w:tab w:val="left" w:pos="737"/>
        </w:tabs>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прогнозирование потоков платежей в разрезе основных видов валют и определение необходимого объема ликвидных активов;</w:t>
      </w:r>
    </w:p>
    <w:p w:rsidR="00341240" w:rsidRPr="00341240" w:rsidRDefault="00341240" w:rsidP="00AB0ACF">
      <w:pPr>
        <w:widowControl w:val="0"/>
        <w:numPr>
          <w:ilvl w:val="0"/>
          <w:numId w:val="18"/>
        </w:numPr>
        <w:tabs>
          <w:tab w:val="left" w:pos="737"/>
        </w:tabs>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мониторинг коэффициентов ликвидности и их прогноз;</w:t>
      </w:r>
    </w:p>
    <w:p w:rsidR="00341240" w:rsidRPr="00341240" w:rsidRDefault="00341240" w:rsidP="00AB0ACF">
      <w:pPr>
        <w:numPr>
          <w:ilvl w:val="0"/>
          <w:numId w:val="18"/>
        </w:numPr>
        <w:tabs>
          <w:tab w:val="left" w:pos="737"/>
        </w:tabs>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поддержание мгновенной, текущей и долгосрочной ликвидности на уровне нормативных значений;</w:t>
      </w:r>
    </w:p>
    <w:p w:rsidR="00341240" w:rsidRPr="00341240" w:rsidRDefault="00341240" w:rsidP="00AB0ACF">
      <w:pPr>
        <w:widowControl w:val="0"/>
        <w:numPr>
          <w:ilvl w:val="0"/>
          <w:numId w:val="18"/>
        </w:numPr>
        <w:tabs>
          <w:tab w:val="left" w:pos="737"/>
        </w:tabs>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планирование действий по восстановлению необходимого уровня ликвидности в неблагоприятных и кризисных условиях;</w:t>
      </w:r>
    </w:p>
    <w:p w:rsidR="00341240" w:rsidRPr="00341240" w:rsidRDefault="00341240" w:rsidP="00AB0ACF">
      <w:pPr>
        <w:widowControl w:val="0"/>
        <w:numPr>
          <w:ilvl w:val="0"/>
          <w:numId w:val="18"/>
        </w:numPr>
        <w:tabs>
          <w:tab w:val="left" w:pos="737"/>
        </w:tabs>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установление лимитов и ограничений на трансформацию денежных ресурсов в другие виды активов: на операции с ценными бумагами в зависимости от вида и срока ценных бумаг, лимит открытой валютной позиции (ОВП);</w:t>
      </w:r>
    </w:p>
    <w:p w:rsidR="00341240" w:rsidRPr="00341240" w:rsidRDefault="00341240" w:rsidP="00AB0ACF">
      <w:pPr>
        <w:numPr>
          <w:ilvl w:val="0"/>
          <w:numId w:val="18"/>
        </w:numPr>
        <w:tabs>
          <w:tab w:val="left" w:pos="737"/>
        </w:tabs>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формирование оптимальной структуры активов в соответствии с ресурсной базой;</w:t>
      </w:r>
    </w:p>
    <w:p w:rsidR="00341240" w:rsidRPr="00341240" w:rsidRDefault="00341240" w:rsidP="00AB0ACF">
      <w:pPr>
        <w:numPr>
          <w:ilvl w:val="0"/>
          <w:numId w:val="18"/>
        </w:numPr>
        <w:tabs>
          <w:tab w:val="left" w:pos="737"/>
        </w:tabs>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учет срочности источников ресурсов и их объемов при размещении активов в финансовые инструменты;</w:t>
      </w:r>
    </w:p>
    <w:p w:rsidR="00341240" w:rsidRPr="00341240" w:rsidRDefault="00341240" w:rsidP="00AB0ACF">
      <w:pPr>
        <w:numPr>
          <w:ilvl w:val="0"/>
          <w:numId w:val="18"/>
        </w:numPr>
        <w:tabs>
          <w:tab w:val="left" w:pos="737"/>
        </w:tabs>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анализ негативных вариантов наступления дефицита ликвидности, оценка системы реагирования на данный риск, совершенствование механизмов и методов управления ликвидностью.</w:t>
      </w:r>
    </w:p>
    <w:p w:rsidR="00341240" w:rsidRPr="00341240" w:rsidRDefault="00341240" w:rsidP="00341240">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p>
    <w:p w:rsidR="00341240" w:rsidRPr="00341240" w:rsidRDefault="00341240" w:rsidP="00341240">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Управление ликвидностью осуществляется НКЦ в режиме реального времени на базе платежного календаря с использованием мер по оптимизации денежных потоков, совершенствования операционных регламентов активных операций, расчетов и корреспондентских отношений.</w:t>
      </w:r>
    </w:p>
    <w:p w:rsidR="00341240" w:rsidRPr="00341240" w:rsidRDefault="00341240" w:rsidP="00341240">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Ежемесячно проводится оценка состояния ликвидности на основе анализа разрывов ликвидности в сроках погашения требований и обязательств (анализ активов и пассивов по срокам погашения) и расчета дефицита (избытка) ликвидности и коэффициента дефицита (избытка) ликвидности нарастающим итогом по срокам погашения с учетом инструментов рефинансирования. Детализированный анализ ликвидности на основе внутренних моделей НКЦ выполняется с применением уточняющих корректировок данных бухгалтерской отчетности по составу, суммам, срочности активов и пассивов. </w:t>
      </w:r>
    </w:p>
    <w:p w:rsidR="00341240" w:rsidRPr="00341240" w:rsidRDefault="00341240" w:rsidP="00341240">
      <w:pPr>
        <w:spacing w:after="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Ежемесячный мониторинг показателей ликвидности свидетельствует об отсутствии дефицита ликвидности в 2015 году на всех сроках, минимальный коэффициент ликвидности не снижался ниже уровня 5% на временном интервале до 1-го года, как это показано на приведенном графике:</w:t>
      </w:r>
    </w:p>
    <w:p w:rsidR="00341240" w:rsidRPr="00341240" w:rsidRDefault="00341240" w:rsidP="00341240">
      <w:pPr>
        <w:spacing w:after="0"/>
        <w:rPr>
          <w:rFonts w:ascii="Times New Roman" w:eastAsia="Calibri" w:hAnsi="Times New Roman" w:cs="Times New Roman"/>
          <w:b/>
          <w:sz w:val="24"/>
          <w:szCs w:val="24"/>
        </w:rPr>
      </w:pPr>
    </w:p>
    <w:p w:rsidR="00341240" w:rsidRPr="00341240" w:rsidRDefault="00341240" w:rsidP="00341240">
      <w:pPr>
        <w:spacing w:after="0"/>
        <w:jc w:val="center"/>
        <w:rPr>
          <w:rFonts w:ascii="Times New Roman" w:eastAsia="Calibri" w:hAnsi="Times New Roman" w:cs="Times New Roman"/>
          <w:b/>
          <w:sz w:val="24"/>
          <w:szCs w:val="24"/>
        </w:rPr>
      </w:pPr>
      <w:r w:rsidRPr="00341240">
        <w:rPr>
          <w:rFonts w:ascii="Times New Roman" w:eastAsia="Calibri" w:hAnsi="Times New Roman" w:cs="Times New Roman"/>
          <w:b/>
          <w:sz w:val="24"/>
          <w:szCs w:val="24"/>
        </w:rPr>
        <w:t>Показатели риска ликвидности на 01.01.2016</w:t>
      </w:r>
    </w:p>
    <w:p w:rsidR="00341240" w:rsidRPr="00341240" w:rsidRDefault="00341240" w:rsidP="00341240">
      <w:pPr>
        <w:spacing w:after="0"/>
        <w:jc w:val="center"/>
        <w:rPr>
          <w:rFonts w:ascii="Times New Roman" w:eastAsia="Calibri" w:hAnsi="Times New Roman" w:cs="Times New Roman"/>
          <w:b/>
          <w:sz w:val="24"/>
          <w:szCs w:val="24"/>
        </w:rPr>
      </w:pPr>
      <w:r w:rsidRPr="00341240">
        <w:rPr>
          <w:rFonts w:ascii="Times New Roman" w:eastAsia="Calibri" w:hAnsi="Times New Roman" w:cs="Times New Roman"/>
        </w:rPr>
        <w:t>(оценка на основе внутренних моделей Банка)</w:t>
      </w:r>
    </w:p>
    <w:p w:rsidR="00341240" w:rsidRPr="00341240" w:rsidRDefault="00341240" w:rsidP="00341240">
      <w:pPr>
        <w:spacing w:before="120" w:after="0"/>
        <w:jc w:val="center"/>
        <w:rPr>
          <w:rFonts w:ascii="Times New Roman" w:eastAsia="Calibri" w:hAnsi="Times New Roman" w:cs="Times New Roman"/>
        </w:rPr>
      </w:pPr>
      <w:r w:rsidRPr="00341240">
        <w:rPr>
          <w:rFonts w:ascii="Times New Roman" w:eastAsia="Calibri" w:hAnsi="Times New Roman" w:cs="Times New Roman"/>
          <w:noProof/>
          <w:lang w:eastAsia="ru-RU"/>
        </w:rPr>
        <w:drawing>
          <wp:inline distT="0" distB="0" distL="0" distR="0" wp14:anchorId="6F780B7A" wp14:editId="6B5D3C5B">
            <wp:extent cx="6301105" cy="2441575"/>
            <wp:effectExtent l="0" t="0" r="444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01105" cy="2441575"/>
                    </a:xfrm>
                    <a:prstGeom prst="rect">
                      <a:avLst/>
                    </a:prstGeom>
                    <a:noFill/>
                  </pic:spPr>
                </pic:pic>
              </a:graphicData>
            </a:graphic>
          </wp:inline>
        </w:drawing>
      </w:r>
    </w:p>
    <w:p w:rsidR="00341240" w:rsidRPr="00341240" w:rsidRDefault="00341240" w:rsidP="00341240">
      <w:pPr>
        <w:spacing w:before="120" w:after="0"/>
        <w:jc w:val="center"/>
        <w:rPr>
          <w:rFonts w:ascii="Times New Roman" w:eastAsia="Calibri" w:hAnsi="Times New Roman" w:cs="Times New Roman"/>
          <w:b/>
          <w:i/>
          <w:sz w:val="24"/>
          <w:szCs w:val="24"/>
        </w:rPr>
      </w:pPr>
    </w:p>
    <w:p w:rsidR="00341240" w:rsidRPr="00341240" w:rsidRDefault="00341240" w:rsidP="00341240">
      <w:pPr>
        <w:spacing w:before="120" w:after="0"/>
        <w:jc w:val="center"/>
        <w:rPr>
          <w:rFonts w:ascii="Times New Roman" w:eastAsia="Calibri" w:hAnsi="Times New Roman" w:cs="Times New Roman"/>
          <w:b/>
          <w:i/>
          <w:sz w:val="24"/>
          <w:szCs w:val="24"/>
        </w:rPr>
      </w:pPr>
      <w:r w:rsidRPr="00341240">
        <w:rPr>
          <w:rFonts w:ascii="Times New Roman" w:eastAsia="Calibri" w:hAnsi="Times New Roman" w:cs="Times New Roman"/>
          <w:b/>
          <w:i/>
          <w:sz w:val="24"/>
          <w:szCs w:val="24"/>
        </w:rPr>
        <w:t>Управление рыночным риском</w:t>
      </w:r>
    </w:p>
    <w:p w:rsidR="00341240" w:rsidRPr="00341240" w:rsidRDefault="00341240" w:rsidP="00341240">
      <w:pPr>
        <w:spacing w:before="120" w:after="0"/>
        <w:jc w:val="center"/>
        <w:rPr>
          <w:rFonts w:ascii="Times New Roman" w:eastAsia="Calibri" w:hAnsi="Times New Roman" w:cs="Times New Roman"/>
          <w:b/>
          <w:sz w:val="24"/>
          <w:szCs w:val="24"/>
        </w:rPr>
      </w:pPr>
    </w:p>
    <w:p w:rsidR="00341240" w:rsidRPr="00341240" w:rsidRDefault="00341240" w:rsidP="00341240">
      <w:pPr>
        <w:tabs>
          <w:tab w:val="num" w:pos="567"/>
          <w:tab w:val="left" w:pos="600"/>
        </w:tabs>
        <w:spacing w:after="0" w:line="240" w:lineRule="auto"/>
        <w:ind w:firstLine="567"/>
        <w:jc w:val="both"/>
        <w:rPr>
          <w:rFonts w:ascii="Times New Roman" w:eastAsia="MS Mincho" w:hAnsi="Times New Roman" w:cs="Times New Roman"/>
          <w:sz w:val="24"/>
          <w:szCs w:val="24"/>
          <w:lang w:eastAsia="ja-JP"/>
        </w:rPr>
      </w:pPr>
      <w:r w:rsidRPr="00341240">
        <w:rPr>
          <w:rFonts w:ascii="Times New Roman" w:eastAsia="Calibri" w:hAnsi="Times New Roman" w:cs="Times New Roman"/>
          <w:sz w:val="24"/>
          <w:szCs w:val="24"/>
        </w:rPr>
        <w:t>Применительно к деятельности ЦК рыночный риск возникает только в случае реализации кредитного риска. Таким образом, управление рыночным риском осуществляется в комплексе мероприятий по управлению кредитным риском.</w:t>
      </w:r>
      <w:r w:rsidRPr="00341240">
        <w:rPr>
          <w:rFonts w:ascii="Times New Roman" w:eastAsia="MS Mincho" w:hAnsi="Times New Roman" w:cs="Times New Roman"/>
          <w:sz w:val="24"/>
          <w:szCs w:val="24"/>
          <w:lang w:eastAsia="ja-JP"/>
        </w:rPr>
        <w:t xml:space="preserve"> </w:t>
      </w:r>
    </w:p>
    <w:p w:rsidR="00341240" w:rsidRPr="00341240" w:rsidRDefault="00341240" w:rsidP="00341240">
      <w:pPr>
        <w:tabs>
          <w:tab w:val="num" w:pos="567"/>
          <w:tab w:val="left" w:pos="600"/>
        </w:tabs>
        <w:spacing w:after="0" w:line="240" w:lineRule="auto"/>
        <w:ind w:firstLine="567"/>
        <w:jc w:val="both"/>
        <w:rPr>
          <w:rFonts w:ascii="Times New Roman" w:eastAsia="MS Mincho" w:hAnsi="Times New Roman" w:cs="Times New Roman"/>
          <w:sz w:val="24"/>
          <w:szCs w:val="24"/>
          <w:lang w:eastAsia="ja-JP"/>
        </w:rPr>
      </w:pPr>
      <w:r w:rsidRPr="00341240">
        <w:rPr>
          <w:rFonts w:ascii="Times New Roman" w:eastAsia="MS Mincho" w:hAnsi="Times New Roman" w:cs="Times New Roman"/>
          <w:sz w:val="24"/>
          <w:szCs w:val="24"/>
          <w:lang w:eastAsia="ja-JP"/>
        </w:rPr>
        <w:t xml:space="preserve">С целью количественной оценки рыночного риска для различных рынков, на которых НКЦ осуществляет функции центрального контрагента, разработаны методики, используемые, в частности, для определения объема требований к размеру обеспечения, вносимого участниками клиринга. </w:t>
      </w:r>
    </w:p>
    <w:p w:rsidR="00341240" w:rsidRPr="00341240" w:rsidRDefault="00341240" w:rsidP="00341240">
      <w:pPr>
        <w:tabs>
          <w:tab w:val="num" w:pos="567"/>
          <w:tab w:val="left" w:pos="600"/>
        </w:tabs>
        <w:spacing w:after="0" w:line="240" w:lineRule="auto"/>
        <w:ind w:firstLine="567"/>
        <w:jc w:val="both"/>
        <w:rPr>
          <w:rFonts w:ascii="Times New Roman" w:eastAsia="MS Mincho" w:hAnsi="Times New Roman" w:cs="Times New Roman"/>
          <w:sz w:val="24"/>
          <w:szCs w:val="24"/>
          <w:lang w:eastAsia="ja-JP"/>
        </w:rPr>
      </w:pPr>
      <w:r w:rsidRPr="00341240">
        <w:rPr>
          <w:rFonts w:ascii="Times New Roman" w:eastAsia="MS Mincho" w:hAnsi="Times New Roman" w:cs="Times New Roman"/>
          <w:sz w:val="24"/>
          <w:szCs w:val="24"/>
          <w:lang w:eastAsia="ja-JP"/>
        </w:rPr>
        <w:t>Основной целью управления рыночным риском при размещении временно свободных денежных средств является оптимизация соотношения риск/доходность, минимизация потерь при реализации неблагоприятных событий. С этой целью НКЦ:</w:t>
      </w:r>
    </w:p>
    <w:p w:rsidR="00341240" w:rsidRPr="00341240" w:rsidRDefault="00341240" w:rsidP="00AB0ACF">
      <w:pPr>
        <w:widowControl w:val="0"/>
        <w:numPr>
          <w:ilvl w:val="0"/>
          <w:numId w:val="18"/>
        </w:numPr>
        <w:tabs>
          <w:tab w:val="left" w:pos="737"/>
        </w:tabs>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осуществляет диверсификацию портфеля ценных бумаг (по срокам их погашения, отраслевой принадлежности эмитентов);</w:t>
      </w:r>
    </w:p>
    <w:p w:rsidR="00341240" w:rsidRPr="00341240" w:rsidRDefault="00341240" w:rsidP="00AB0ACF">
      <w:pPr>
        <w:widowControl w:val="0"/>
        <w:numPr>
          <w:ilvl w:val="0"/>
          <w:numId w:val="18"/>
        </w:numPr>
        <w:tabs>
          <w:tab w:val="left" w:pos="737"/>
        </w:tabs>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устанавливает максимальные сроки экспираций для вложений в ценные бумаги;</w:t>
      </w:r>
    </w:p>
    <w:p w:rsidR="00341240" w:rsidRPr="00341240" w:rsidRDefault="00341240" w:rsidP="00AB0ACF">
      <w:pPr>
        <w:widowControl w:val="0"/>
        <w:numPr>
          <w:ilvl w:val="0"/>
          <w:numId w:val="18"/>
        </w:numPr>
        <w:tabs>
          <w:tab w:val="left" w:pos="737"/>
        </w:tabs>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устанавливает предельные объемы вложений в ценные бумаги (по всему объему вложений, видам вложений, эмитентам);</w:t>
      </w:r>
    </w:p>
    <w:p w:rsidR="00341240" w:rsidRPr="00341240" w:rsidRDefault="00341240" w:rsidP="00AB0ACF">
      <w:pPr>
        <w:widowControl w:val="0"/>
        <w:numPr>
          <w:ilvl w:val="0"/>
          <w:numId w:val="18"/>
        </w:numPr>
        <w:tabs>
          <w:tab w:val="left" w:pos="737"/>
        </w:tabs>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проводит классификацию долговых обязательств и ценных бумаг по группам риска;</w:t>
      </w:r>
    </w:p>
    <w:p w:rsidR="00341240" w:rsidRPr="00341240" w:rsidRDefault="00341240" w:rsidP="00AB0ACF">
      <w:pPr>
        <w:widowControl w:val="0"/>
        <w:numPr>
          <w:ilvl w:val="0"/>
          <w:numId w:val="18"/>
        </w:numPr>
        <w:tabs>
          <w:tab w:val="left" w:pos="737"/>
        </w:tabs>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формирует резервы на возможные потери по ценным бумагам, если они не переоцениваются по текущей цене.</w:t>
      </w:r>
    </w:p>
    <w:p w:rsidR="00341240" w:rsidRPr="00341240" w:rsidRDefault="00341240" w:rsidP="00341240">
      <w:pPr>
        <w:spacing w:after="0" w:line="240" w:lineRule="auto"/>
        <w:ind w:firstLine="567"/>
        <w:jc w:val="both"/>
        <w:rPr>
          <w:rFonts w:ascii="Times New Roman" w:eastAsia="Calibri" w:hAnsi="Times New Roman" w:cs="Times New Roman"/>
          <w:sz w:val="24"/>
          <w:szCs w:val="24"/>
        </w:rPr>
      </w:pPr>
    </w:p>
    <w:p w:rsidR="00341240" w:rsidRPr="00341240" w:rsidRDefault="00341240" w:rsidP="00341240">
      <w:pPr>
        <w:spacing w:after="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НКЦ подвержен процентному риску по ценным бумагам и производным финансовым инструментам, чувствительным к изменениям процентных ставок, а также срочным сделкам с ценными бумагами, чувствительными к изменению процентных ставок, как это показано в приведенной ниже таблице:</w:t>
      </w:r>
    </w:p>
    <w:p w:rsidR="00341240" w:rsidRPr="00341240" w:rsidRDefault="00341240" w:rsidP="00341240">
      <w:pPr>
        <w:spacing w:after="0" w:line="240" w:lineRule="auto"/>
        <w:ind w:firstLine="567"/>
        <w:jc w:val="both"/>
        <w:rPr>
          <w:rFonts w:ascii="Times New Roman" w:eastAsia="Calibri" w:hAnsi="Times New Roman" w:cs="Times New Roman"/>
          <w:sz w:val="24"/>
          <w:szCs w:val="24"/>
        </w:rPr>
      </w:pPr>
    </w:p>
    <w:p w:rsidR="00341240" w:rsidRPr="00341240" w:rsidRDefault="00341240" w:rsidP="00341240">
      <w:pPr>
        <w:widowControl w:val="0"/>
        <w:autoSpaceDE w:val="0"/>
        <w:autoSpaceDN w:val="0"/>
        <w:adjustRightInd w:val="0"/>
        <w:spacing w:after="0"/>
        <w:jc w:val="both"/>
        <w:rPr>
          <w:rFonts w:ascii="Times New Roman" w:eastAsia="Calibri" w:hAnsi="Times New Roman" w:cs="Times New Roman"/>
          <w:sz w:val="24"/>
          <w:szCs w:val="24"/>
        </w:rPr>
      </w:pPr>
      <w:r w:rsidRPr="00341240">
        <w:rPr>
          <w:rFonts w:ascii="Calibri" w:eastAsia="Calibri" w:hAnsi="Calibri" w:cs="Times New Roman"/>
          <w:noProof/>
          <w:lang w:eastAsia="ru-RU"/>
        </w:rPr>
        <w:drawing>
          <wp:inline distT="0" distB="0" distL="0" distR="0" wp14:anchorId="6A3588AF" wp14:editId="22C988C1">
            <wp:extent cx="6210935" cy="2415540"/>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10935" cy="2415540"/>
                    </a:xfrm>
                    <a:prstGeom prst="rect">
                      <a:avLst/>
                    </a:prstGeom>
                    <a:noFill/>
                    <a:ln>
                      <a:noFill/>
                    </a:ln>
                  </pic:spPr>
                </pic:pic>
              </a:graphicData>
            </a:graphic>
          </wp:inline>
        </w:drawing>
      </w:r>
    </w:p>
    <w:p w:rsidR="00341240" w:rsidRPr="00341240" w:rsidRDefault="00341240" w:rsidP="00341240">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341240" w:rsidRPr="00341240" w:rsidRDefault="00341240" w:rsidP="00341240">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По состоянию на 01.01.2016 величина процентного риска составила 10,8% капитала (собственных средств) Банка (8,5% на 01.01.2015 г.).</w:t>
      </w:r>
    </w:p>
    <w:p w:rsidR="00341240" w:rsidRPr="00341240" w:rsidRDefault="00341240" w:rsidP="00341240">
      <w:pPr>
        <w:widowControl w:val="0"/>
        <w:autoSpaceDE w:val="0"/>
        <w:autoSpaceDN w:val="0"/>
        <w:adjustRightInd w:val="0"/>
        <w:spacing w:after="0" w:line="240" w:lineRule="auto"/>
        <w:ind w:firstLine="540"/>
        <w:jc w:val="both"/>
        <w:rPr>
          <w:rFonts w:ascii="Times New Roman" w:eastAsia="Calibri" w:hAnsi="Times New Roman" w:cs="Times New Roman"/>
          <w:b/>
          <w:sz w:val="24"/>
          <w:szCs w:val="24"/>
        </w:rPr>
      </w:pPr>
      <w:r w:rsidRPr="00341240">
        <w:rPr>
          <w:rFonts w:ascii="Times New Roman" w:eastAsia="Calibri" w:hAnsi="Times New Roman" w:cs="Times New Roman"/>
          <w:sz w:val="24"/>
          <w:szCs w:val="24"/>
        </w:rPr>
        <w:t xml:space="preserve">Процентный риск рассчитывается как сумма общего процентного риска неблагоприятного изменения текущей (справедливой) стоимости ценных бумаг и производных финансовых инструментов, связанного с рыночными колебаниями процентных ставок, и специального процентного риска под влиянием факторов, связанных с эмитентом ценных бумаг, а также сроков, оставшихся до погашения ценных бумаг, и валюты, в которой номинированы ценные бумаги. </w:t>
      </w:r>
    </w:p>
    <w:p w:rsidR="00341240" w:rsidRPr="00341240" w:rsidRDefault="00341240" w:rsidP="00341240">
      <w:pPr>
        <w:spacing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Фондовый риск не возникает ввиду отсутствия в портфеле Банка долевых ценных бумаг. Валютный риск реализуется вследствие неблагоприятного изменения курсов валют. Открытые позиции в иностранных валютах и драгоценных металлах по состоянию на 01.01.2015 и 01.01.2016 составили менее 1% капитала (собственных средств), в этой связи НКЦ к валютному риску не чувствителен. Величина рыночного риска в течение 2015 года оценивалась как не создающая потенциальных потерь, угрожающих финансовой устойчивости НКЦ. </w:t>
      </w:r>
    </w:p>
    <w:p w:rsidR="00341240" w:rsidRPr="00341240" w:rsidRDefault="00341240" w:rsidP="00341240">
      <w:pPr>
        <w:spacing w:before="120" w:after="0"/>
        <w:jc w:val="center"/>
        <w:rPr>
          <w:rFonts w:ascii="Times New Roman" w:eastAsia="Calibri" w:hAnsi="Times New Roman" w:cs="Times New Roman"/>
          <w:b/>
          <w:sz w:val="24"/>
          <w:szCs w:val="24"/>
        </w:rPr>
      </w:pPr>
    </w:p>
    <w:p w:rsidR="00341240" w:rsidRPr="00341240" w:rsidRDefault="00341240" w:rsidP="00341240">
      <w:pPr>
        <w:spacing w:before="120" w:after="0"/>
        <w:jc w:val="center"/>
        <w:rPr>
          <w:rFonts w:ascii="Times New Roman" w:eastAsia="Calibri" w:hAnsi="Times New Roman" w:cs="Times New Roman"/>
          <w:b/>
          <w:sz w:val="24"/>
          <w:szCs w:val="24"/>
        </w:rPr>
      </w:pPr>
      <w:r w:rsidRPr="00341240">
        <w:rPr>
          <w:rFonts w:ascii="Times New Roman" w:eastAsia="Calibri" w:hAnsi="Times New Roman" w:cs="Times New Roman"/>
          <w:b/>
          <w:sz w:val="24"/>
          <w:szCs w:val="24"/>
          <w:lang w:val="en-US"/>
        </w:rPr>
        <w:t>IV</w:t>
      </w:r>
      <w:r w:rsidRPr="00341240">
        <w:rPr>
          <w:rFonts w:ascii="Times New Roman" w:eastAsia="Calibri" w:hAnsi="Times New Roman" w:cs="Times New Roman"/>
          <w:b/>
          <w:sz w:val="24"/>
          <w:szCs w:val="24"/>
        </w:rPr>
        <w:t>. Стресс-тестирование финансовой устойчивости</w:t>
      </w:r>
    </w:p>
    <w:p w:rsidR="00341240" w:rsidRPr="00341240" w:rsidRDefault="00341240" w:rsidP="00341240">
      <w:pPr>
        <w:spacing w:before="120" w:after="0" w:line="240" w:lineRule="auto"/>
        <w:jc w:val="center"/>
        <w:rPr>
          <w:rFonts w:ascii="Times New Roman" w:eastAsia="Calibri" w:hAnsi="Times New Roman" w:cs="Times New Roman"/>
          <w:b/>
          <w:sz w:val="24"/>
          <w:szCs w:val="24"/>
        </w:rPr>
      </w:pPr>
    </w:p>
    <w:p w:rsidR="00341240" w:rsidRPr="00341240" w:rsidRDefault="00341240" w:rsidP="00341240">
      <w:pPr>
        <w:spacing w:after="0" w:line="240" w:lineRule="auto"/>
        <w:ind w:firstLine="567"/>
        <w:jc w:val="both"/>
        <w:rPr>
          <w:rFonts w:ascii="Times New Roman" w:eastAsia="Times New Roman" w:hAnsi="Times New Roman" w:cs="Times New Roman"/>
          <w:color w:val="000000"/>
          <w:sz w:val="18"/>
          <w:szCs w:val="18"/>
          <w:lang w:eastAsia="ru-RU"/>
        </w:rPr>
      </w:pPr>
      <w:r w:rsidRPr="00341240">
        <w:rPr>
          <w:rFonts w:ascii="Times New Roman" w:eastAsia="Times New Roman" w:hAnsi="Times New Roman" w:cs="Times New Roman"/>
          <w:color w:val="000000"/>
          <w:sz w:val="24"/>
          <w:szCs w:val="24"/>
          <w:lang w:eastAsia="ru-RU"/>
        </w:rPr>
        <w:t>Стресс-тестирование финансовой устойчивости НКЦ направлено на снижение рисков до приемлемого уровня, определяемого обязательностью выполнения функций инфраструктурной организации финансового рынка Российской Федерации – поддержание стабильности на обслуживаемых сегментах финансового рынка, предоставление участникам клиринговых услуг, позволяющих эффективно использовать направляемые на рынок средства.</w:t>
      </w:r>
    </w:p>
    <w:p w:rsidR="00341240" w:rsidRPr="00341240" w:rsidRDefault="00341240" w:rsidP="00341240">
      <w:pPr>
        <w:spacing w:after="0" w:line="240" w:lineRule="auto"/>
        <w:ind w:firstLine="567"/>
        <w:jc w:val="both"/>
        <w:rPr>
          <w:rFonts w:ascii="Times New Roman" w:eastAsia="Times New Roman" w:hAnsi="Times New Roman" w:cs="Times New Roman"/>
          <w:color w:val="000000"/>
          <w:sz w:val="18"/>
          <w:szCs w:val="18"/>
          <w:lang w:eastAsia="ru-RU"/>
        </w:rPr>
      </w:pPr>
      <w:r w:rsidRPr="00341240">
        <w:rPr>
          <w:rFonts w:ascii="Times New Roman" w:eastAsia="Calibri" w:hAnsi="Times New Roman" w:cs="Times New Roman"/>
          <w:sz w:val="24"/>
          <w:szCs w:val="24"/>
          <w:lang w:eastAsia="ru-RU"/>
        </w:rPr>
        <w:t xml:space="preserve">В 2015 году комплексное стресс-тестирование финансовой устойчивости НКЦ проводилось по модернизированной методологии, что способствовало повышению надежности в обосновании принимаемых стратегических и оперативных бизнес-решений в нестандартных рыночных условиях. </w:t>
      </w:r>
      <w:r w:rsidRPr="00341240">
        <w:rPr>
          <w:rFonts w:ascii="Times New Roman" w:eastAsia="Times New Roman" w:hAnsi="Times New Roman" w:cs="Times New Roman"/>
          <w:color w:val="000000"/>
          <w:sz w:val="24"/>
          <w:szCs w:val="24"/>
          <w:lang w:val="x-none" w:eastAsia="ru-RU"/>
        </w:rPr>
        <w:t xml:space="preserve">При стресс-тестировании </w:t>
      </w:r>
      <w:r w:rsidRPr="00341240">
        <w:rPr>
          <w:rFonts w:ascii="Times New Roman" w:eastAsia="Times New Roman" w:hAnsi="Times New Roman" w:cs="Times New Roman"/>
          <w:color w:val="000000"/>
          <w:sz w:val="24"/>
          <w:szCs w:val="24"/>
          <w:lang w:eastAsia="ru-RU"/>
        </w:rPr>
        <w:t xml:space="preserve">НКЦ </w:t>
      </w:r>
      <w:r w:rsidRPr="00341240">
        <w:rPr>
          <w:rFonts w:ascii="Times New Roman" w:eastAsia="Times New Roman" w:hAnsi="Times New Roman" w:cs="Times New Roman"/>
          <w:color w:val="000000"/>
          <w:sz w:val="24"/>
          <w:szCs w:val="24"/>
          <w:lang w:val="x-none" w:eastAsia="ru-RU"/>
        </w:rPr>
        <w:t>оценке подлежат риски</w:t>
      </w:r>
      <w:r w:rsidRPr="00341240">
        <w:rPr>
          <w:rFonts w:ascii="Times New Roman" w:eastAsia="Times New Roman" w:hAnsi="Times New Roman" w:cs="Times New Roman"/>
          <w:color w:val="000000"/>
          <w:sz w:val="24"/>
          <w:szCs w:val="24"/>
          <w:lang w:eastAsia="ru-RU"/>
        </w:rPr>
        <w:t xml:space="preserve">, </w:t>
      </w:r>
      <w:r w:rsidRPr="00341240">
        <w:rPr>
          <w:rFonts w:ascii="Times New Roman" w:eastAsia="Times New Roman" w:hAnsi="Times New Roman" w:cs="Times New Roman"/>
          <w:color w:val="000000"/>
          <w:sz w:val="24"/>
          <w:szCs w:val="24"/>
          <w:lang w:val="x-none" w:eastAsia="ru-RU"/>
        </w:rPr>
        <w:t xml:space="preserve">присущие деятельности </w:t>
      </w:r>
      <w:r w:rsidRPr="00341240">
        <w:rPr>
          <w:rFonts w:ascii="Times New Roman" w:eastAsia="Times New Roman" w:hAnsi="Times New Roman" w:cs="Times New Roman"/>
          <w:color w:val="000000"/>
          <w:sz w:val="24"/>
          <w:szCs w:val="24"/>
          <w:lang w:eastAsia="ru-RU"/>
        </w:rPr>
        <w:t>ЦК</w:t>
      </w:r>
      <w:r w:rsidRPr="00341240">
        <w:rPr>
          <w:rFonts w:ascii="Times New Roman" w:eastAsia="Times New Roman" w:hAnsi="Times New Roman" w:cs="Times New Roman"/>
          <w:color w:val="000000"/>
          <w:sz w:val="24"/>
          <w:szCs w:val="24"/>
          <w:lang w:val="x-none" w:eastAsia="ru-RU"/>
        </w:rPr>
        <w:t xml:space="preserve">, </w:t>
      </w:r>
      <w:r w:rsidRPr="00341240">
        <w:rPr>
          <w:rFonts w:ascii="Times New Roman" w:eastAsia="Times New Roman" w:hAnsi="Times New Roman" w:cs="Times New Roman"/>
          <w:color w:val="000000"/>
          <w:sz w:val="24"/>
          <w:szCs w:val="24"/>
          <w:lang w:eastAsia="ru-RU"/>
        </w:rPr>
        <w:t xml:space="preserve">включая </w:t>
      </w:r>
      <w:r w:rsidRPr="00341240">
        <w:rPr>
          <w:rFonts w:ascii="Times New Roman" w:eastAsia="Times New Roman" w:hAnsi="Times New Roman" w:cs="Times New Roman"/>
          <w:color w:val="000000"/>
          <w:sz w:val="24"/>
          <w:szCs w:val="24"/>
          <w:lang w:val="x-none" w:eastAsia="ru-RU"/>
        </w:rPr>
        <w:t>кредитный, рыночный риски и</w:t>
      </w:r>
      <w:r w:rsidRPr="00341240">
        <w:rPr>
          <w:rFonts w:ascii="Times New Roman" w:eastAsia="Times New Roman" w:hAnsi="Times New Roman" w:cs="Times New Roman"/>
          <w:color w:val="000000"/>
          <w:sz w:val="24"/>
          <w:szCs w:val="24"/>
          <w:lang w:eastAsia="ru-RU"/>
        </w:rPr>
        <w:t xml:space="preserve"> </w:t>
      </w:r>
      <w:r w:rsidRPr="00341240">
        <w:rPr>
          <w:rFonts w:ascii="Times New Roman" w:eastAsia="Times New Roman" w:hAnsi="Times New Roman" w:cs="Times New Roman"/>
          <w:color w:val="000000"/>
          <w:sz w:val="24"/>
          <w:szCs w:val="24"/>
          <w:lang w:val="x-none" w:eastAsia="ru-RU"/>
        </w:rPr>
        <w:t>риск ликвидности, а также риски</w:t>
      </w:r>
      <w:r w:rsidRPr="00341240">
        <w:rPr>
          <w:rFonts w:ascii="Times New Roman" w:eastAsia="Times New Roman" w:hAnsi="Times New Roman" w:cs="Times New Roman"/>
          <w:color w:val="000000"/>
          <w:sz w:val="24"/>
          <w:szCs w:val="24"/>
          <w:lang w:eastAsia="ru-RU"/>
        </w:rPr>
        <w:t xml:space="preserve"> традиционной банковской деятельности</w:t>
      </w:r>
      <w:r w:rsidRPr="00341240">
        <w:rPr>
          <w:rFonts w:ascii="Times New Roman" w:eastAsia="Times New Roman" w:hAnsi="Times New Roman" w:cs="Times New Roman"/>
          <w:color w:val="000000"/>
          <w:sz w:val="24"/>
          <w:szCs w:val="24"/>
          <w:lang w:val="x-none" w:eastAsia="ru-RU"/>
        </w:rPr>
        <w:t>.</w:t>
      </w:r>
    </w:p>
    <w:p w:rsidR="00341240" w:rsidRPr="00341240" w:rsidRDefault="00341240" w:rsidP="00341240">
      <w:pPr>
        <w:tabs>
          <w:tab w:val="left" w:pos="708"/>
        </w:tabs>
        <w:spacing w:after="0" w:line="240" w:lineRule="auto"/>
        <w:ind w:firstLine="567"/>
        <w:jc w:val="both"/>
        <w:textAlignment w:val="top"/>
        <w:rPr>
          <w:rFonts w:ascii="Times New Roman" w:eastAsia="Times New Roman" w:hAnsi="Times New Roman" w:cs="Times New Roman"/>
          <w:color w:val="000000"/>
          <w:sz w:val="18"/>
          <w:szCs w:val="18"/>
          <w:lang w:eastAsia="ru-RU"/>
        </w:rPr>
      </w:pPr>
      <w:r w:rsidRPr="00341240">
        <w:rPr>
          <w:rFonts w:ascii="Times New Roman" w:eastAsia="Times New Roman" w:hAnsi="Times New Roman" w:cs="Times New Roman"/>
          <w:color w:val="000000"/>
          <w:sz w:val="24"/>
          <w:szCs w:val="24"/>
          <w:lang w:eastAsia="ru-RU"/>
        </w:rPr>
        <w:t>Риск</w:t>
      </w:r>
      <w:r w:rsidRPr="00341240">
        <w:rPr>
          <w:rFonts w:ascii="Times New Roman" w:eastAsia="Times New Roman" w:hAnsi="Times New Roman" w:cs="Times New Roman"/>
          <w:color w:val="000000"/>
          <w:sz w:val="24"/>
          <w:szCs w:val="24"/>
          <w:lang w:val="x-none" w:eastAsia="ru-RU"/>
        </w:rPr>
        <w:t xml:space="preserve"> </w:t>
      </w:r>
      <w:r w:rsidRPr="00341240">
        <w:rPr>
          <w:rFonts w:ascii="Times New Roman" w:eastAsia="Times New Roman" w:hAnsi="Times New Roman" w:cs="Times New Roman"/>
          <w:color w:val="000000"/>
          <w:sz w:val="24"/>
          <w:szCs w:val="24"/>
          <w:lang w:eastAsia="ru-RU"/>
        </w:rPr>
        <w:t>ц</w:t>
      </w:r>
      <w:r w:rsidRPr="00341240">
        <w:rPr>
          <w:rFonts w:ascii="Times New Roman" w:eastAsia="Times New Roman" w:hAnsi="Times New Roman" w:cs="Times New Roman"/>
          <w:color w:val="000000"/>
          <w:sz w:val="24"/>
          <w:szCs w:val="24"/>
          <w:lang w:val="x-none" w:eastAsia="ru-RU"/>
        </w:rPr>
        <w:t xml:space="preserve">ентрального </w:t>
      </w:r>
      <w:r w:rsidRPr="00341240">
        <w:rPr>
          <w:rFonts w:ascii="Times New Roman" w:eastAsia="Times New Roman" w:hAnsi="Times New Roman" w:cs="Times New Roman"/>
          <w:color w:val="000000"/>
          <w:sz w:val="24"/>
          <w:szCs w:val="24"/>
          <w:lang w:eastAsia="ru-RU"/>
        </w:rPr>
        <w:t>к</w:t>
      </w:r>
      <w:r w:rsidRPr="00341240">
        <w:rPr>
          <w:rFonts w:ascii="Times New Roman" w:eastAsia="Times New Roman" w:hAnsi="Times New Roman" w:cs="Times New Roman"/>
          <w:color w:val="000000"/>
          <w:sz w:val="24"/>
          <w:szCs w:val="24"/>
          <w:lang w:val="x-none" w:eastAsia="ru-RU"/>
        </w:rPr>
        <w:t>онтрагента определяет величину потерь вследствие неисполнения, несвоевременного либо неполного исполнения недобросовестными участниками клиринга на рынках Московской Биржи своих финансовых обязательств перед ЦК.</w:t>
      </w:r>
    </w:p>
    <w:p w:rsidR="00341240" w:rsidRPr="00341240" w:rsidRDefault="00341240" w:rsidP="00341240">
      <w:pPr>
        <w:tabs>
          <w:tab w:val="left" w:pos="708"/>
        </w:tabs>
        <w:spacing w:after="0" w:line="240" w:lineRule="auto"/>
        <w:ind w:firstLine="567"/>
        <w:jc w:val="both"/>
        <w:textAlignment w:val="top"/>
        <w:rPr>
          <w:rFonts w:ascii="Times New Roman" w:eastAsia="Times New Roman" w:hAnsi="Times New Roman" w:cs="Times New Roman"/>
          <w:color w:val="000000"/>
          <w:sz w:val="24"/>
          <w:szCs w:val="24"/>
          <w:lang w:eastAsia="ru-RU"/>
        </w:rPr>
      </w:pPr>
      <w:r w:rsidRPr="00341240">
        <w:rPr>
          <w:rFonts w:ascii="Times New Roman" w:eastAsia="Times New Roman" w:hAnsi="Times New Roman" w:cs="Times New Roman"/>
          <w:color w:val="000000"/>
          <w:sz w:val="24"/>
          <w:szCs w:val="24"/>
          <w:lang w:eastAsia="ru-RU"/>
        </w:rPr>
        <w:t xml:space="preserve">Банк </w:t>
      </w:r>
      <w:r w:rsidRPr="00341240">
        <w:rPr>
          <w:rFonts w:ascii="Times New Roman" w:eastAsia="Times New Roman" w:hAnsi="Times New Roman" w:cs="Times New Roman"/>
          <w:color w:val="000000"/>
          <w:sz w:val="24"/>
          <w:szCs w:val="24"/>
          <w:lang w:val="x-none" w:eastAsia="ru-RU"/>
        </w:rPr>
        <w:t xml:space="preserve">использует модель одновременного урегулирования крупнейших дефолтных нетто-позиций контрагентов. При определении количества используемых дефолтов участников клиринга </w:t>
      </w:r>
      <w:r w:rsidRPr="00341240">
        <w:rPr>
          <w:rFonts w:ascii="Times New Roman" w:eastAsia="Times New Roman" w:hAnsi="Times New Roman" w:cs="Times New Roman"/>
          <w:color w:val="000000"/>
          <w:sz w:val="24"/>
          <w:szCs w:val="24"/>
          <w:lang w:eastAsia="ru-RU"/>
        </w:rPr>
        <w:t>НКЦ учитывает</w:t>
      </w:r>
      <w:r w:rsidRPr="00341240">
        <w:rPr>
          <w:rFonts w:ascii="Times New Roman" w:eastAsia="Times New Roman" w:hAnsi="Times New Roman" w:cs="Times New Roman"/>
          <w:color w:val="000000"/>
          <w:sz w:val="24"/>
          <w:szCs w:val="24"/>
          <w:lang w:val="x-none" w:eastAsia="ru-RU"/>
        </w:rPr>
        <w:t xml:space="preserve"> рекомендации CP</w:t>
      </w:r>
      <w:r w:rsidRPr="00341240">
        <w:rPr>
          <w:rFonts w:ascii="Times New Roman" w:eastAsia="Times New Roman" w:hAnsi="Times New Roman" w:cs="Times New Roman"/>
          <w:color w:val="000000"/>
          <w:sz w:val="24"/>
          <w:szCs w:val="24"/>
          <w:lang w:val="en-US" w:eastAsia="ru-RU"/>
        </w:rPr>
        <w:t>MI</w:t>
      </w:r>
      <w:r w:rsidRPr="00341240">
        <w:rPr>
          <w:rFonts w:ascii="Times New Roman" w:eastAsia="Times New Roman" w:hAnsi="Times New Roman" w:cs="Times New Roman"/>
          <w:color w:val="000000"/>
          <w:sz w:val="24"/>
          <w:szCs w:val="24"/>
          <w:lang w:eastAsia="ru-RU"/>
        </w:rPr>
        <w:t>-</w:t>
      </w:r>
      <w:r w:rsidRPr="00341240">
        <w:rPr>
          <w:rFonts w:ascii="Times New Roman" w:eastAsia="Times New Roman" w:hAnsi="Times New Roman" w:cs="Times New Roman"/>
          <w:color w:val="000000"/>
          <w:sz w:val="24"/>
          <w:szCs w:val="24"/>
          <w:lang w:val="x-none" w:eastAsia="ru-RU"/>
        </w:rPr>
        <w:t>IOSCO</w:t>
      </w:r>
      <w:r w:rsidRPr="00341240">
        <w:rPr>
          <w:rFonts w:ascii="Times New Roman" w:eastAsia="Times New Roman" w:hAnsi="Times New Roman" w:cs="Times New Roman"/>
          <w:color w:val="000000"/>
          <w:sz w:val="24"/>
          <w:szCs w:val="24"/>
          <w:lang w:eastAsia="ru-RU"/>
        </w:rPr>
        <w:t xml:space="preserve"> </w:t>
      </w:r>
      <w:r w:rsidRPr="00341240">
        <w:rPr>
          <w:rFonts w:ascii="Times New Roman" w:eastAsia="Times New Roman" w:hAnsi="Times New Roman" w:cs="Times New Roman"/>
          <w:color w:val="000000"/>
          <w:sz w:val="24"/>
          <w:szCs w:val="24"/>
          <w:lang w:val="x-none" w:eastAsia="ru-RU"/>
        </w:rPr>
        <w:t>для центральных контрагентов.</w:t>
      </w:r>
      <w:r w:rsidRPr="00341240">
        <w:rPr>
          <w:rFonts w:ascii="Times New Roman" w:eastAsia="Calibri" w:hAnsi="Times New Roman" w:cs="Times New Roman"/>
        </w:rPr>
        <w:t xml:space="preserve"> </w:t>
      </w:r>
    </w:p>
    <w:p w:rsidR="00341240" w:rsidRPr="00341240" w:rsidRDefault="00341240" w:rsidP="00341240">
      <w:pPr>
        <w:tabs>
          <w:tab w:val="left" w:pos="708"/>
        </w:tabs>
        <w:spacing w:after="0" w:line="240" w:lineRule="auto"/>
        <w:ind w:firstLine="567"/>
        <w:jc w:val="both"/>
        <w:textAlignment w:val="top"/>
        <w:rPr>
          <w:rFonts w:ascii="Times New Roman" w:eastAsia="Times New Roman" w:hAnsi="Times New Roman" w:cs="Times New Roman"/>
          <w:color w:val="000000"/>
          <w:sz w:val="18"/>
          <w:szCs w:val="18"/>
          <w:lang w:eastAsia="ru-RU"/>
        </w:rPr>
      </w:pPr>
      <w:r w:rsidRPr="00341240">
        <w:rPr>
          <w:rFonts w:ascii="Times New Roman" w:eastAsia="Symbol" w:hAnsi="Times New Roman" w:cs="Times New Roman"/>
          <w:color w:val="000000"/>
          <w:sz w:val="14"/>
          <w:szCs w:val="14"/>
          <w:lang w:eastAsia="ru-RU"/>
        </w:rPr>
        <w:t xml:space="preserve"> </w:t>
      </w:r>
      <w:r w:rsidRPr="00341240">
        <w:rPr>
          <w:rFonts w:ascii="Times New Roman" w:eastAsia="Times New Roman" w:hAnsi="Times New Roman" w:cs="Times New Roman"/>
          <w:color w:val="000000"/>
          <w:sz w:val="24"/>
          <w:szCs w:val="24"/>
          <w:lang w:val="x-none" w:eastAsia="ru-RU"/>
        </w:rPr>
        <w:t xml:space="preserve">Обратное стресс-тестирование </w:t>
      </w:r>
      <w:r w:rsidRPr="00341240">
        <w:rPr>
          <w:rFonts w:ascii="Times New Roman" w:eastAsia="Times New Roman" w:hAnsi="Times New Roman" w:cs="Times New Roman"/>
          <w:color w:val="000000"/>
          <w:sz w:val="24"/>
          <w:szCs w:val="24"/>
          <w:lang w:eastAsia="ru-RU"/>
        </w:rPr>
        <w:t>НКЦ</w:t>
      </w:r>
      <w:r w:rsidRPr="00341240">
        <w:rPr>
          <w:rFonts w:ascii="Times New Roman" w:eastAsia="Times New Roman" w:hAnsi="Times New Roman" w:cs="Times New Roman"/>
          <w:color w:val="000000"/>
          <w:sz w:val="24"/>
          <w:szCs w:val="24"/>
          <w:lang w:val="x-none" w:eastAsia="ru-RU"/>
        </w:rPr>
        <w:t xml:space="preserve"> проводится</w:t>
      </w:r>
      <w:r w:rsidRPr="00341240">
        <w:rPr>
          <w:rFonts w:ascii="Times New Roman" w:eastAsia="Times New Roman" w:hAnsi="Times New Roman" w:cs="Times New Roman"/>
          <w:color w:val="000000"/>
          <w:sz w:val="24"/>
          <w:szCs w:val="24"/>
          <w:lang w:eastAsia="ru-RU"/>
        </w:rPr>
        <w:t xml:space="preserve"> с </w:t>
      </w:r>
      <w:r w:rsidRPr="00341240">
        <w:rPr>
          <w:rFonts w:ascii="Times New Roman" w:eastAsia="Times New Roman" w:hAnsi="Times New Roman" w:cs="Times New Roman"/>
          <w:color w:val="000000"/>
          <w:sz w:val="24"/>
          <w:szCs w:val="24"/>
          <w:lang w:val="x-none" w:eastAsia="ru-RU"/>
        </w:rPr>
        <w:t xml:space="preserve">целью определения значений риск-факторов, при </w:t>
      </w:r>
      <w:r w:rsidRPr="00341240">
        <w:rPr>
          <w:rFonts w:ascii="Times New Roman" w:eastAsia="Times New Roman" w:hAnsi="Times New Roman" w:cs="Times New Roman"/>
          <w:color w:val="000000"/>
          <w:sz w:val="24"/>
          <w:szCs w:val="24"/>
          <w:lang w:eastAsia="ru-RU"/>
        </w:rPr>
        <w:t>которых показатели финансовой устойчивости</w:t>
      </w:r>
      <w:r w:rsidRPr="00341240">
        <w:rPr>
          <w:rFonts w:ascii="Times New Roman" w:eastAsia="Times New Roman" w:hAnsi="Times New Roman" w:cs="Times New Roman"/>
          <w:color w:val="000000"/>
          <w:sz w:val="24"/>
          <w:szCs w:val="24"/>
          <w:lang w:val="x-none" w:eastAsia="ru-RU"/>
        </w:rPr>
        <w:t xml:space="preserve"> принимают критические (минимально/максимально</w:t>
      </w:r>
      <w:r w:rsidRPr="00341240">
        <w:rPr>
          <w:rFonts w:ascii="Times New Roman" w:eastAsia="Times New Roman" w:hAnsi="Times New Roman" w:cs="Times New Roman"/>
          <w:color w:val="000000"/>
          <w:sz w:val="24"/>
          <w:szCs w:val="24"/>
          <w:lang w:eastAsia="ru-RU"/>
        </w:rPr>
        <w:t xml:space="preserve"> допустимые</w:t>
      </w:r>
      <w:r w:rsidRPr="00341240">
        <w:rPr>
          <w:rFonts w:ascii="Times New Roman" w:eastAsia="Times New Roman" w:hAnsi="Times New Roman" w:cs="Times New Roman"/>
          <w:color w:val="000000"/>
          <w:sz w:val="24"/>
          <w:szCs w:val="24"/>
          <w:lang w:val="x-none" w:eastAsia="ru-RU"/>
        </w:rPr>
        <w:t>)</w:t>
      </w:r>
      <w:r w:rsidRPr="00341240">
        <w:rPr>
          <w:rFonts w:ascii="Times New Roman" w:eastAsia="Times New Roman" w:hAnsi="Times New Roman" w:cs="Times New Roman"/>
          <w:color w:val="000000"/>
          <w:sz w:val="24"/>
          <w:szCs w:val="24"/>
          <w:lang w:eastAsia="ru-RU"/>
        </w:rPr>
        <w:t xml:space="preserve"> </w:t>
      </w:r>
      <w:r w:rsidRPr="00341240">
        <w:rPr>
          <w:rFonts w:ascii="Times New Roman" w:eastAsia="Times New Roman" w:hAnsi="Times New Roman" w:cs="Times New Roman"/>
          <w:color w:val="000000"/>
          <w:sz w:val="24"/>
          <w:szCs w:val="24"/>
          <w:lang w:val="x-none" w:eastAsia="ru-RU"/>
        </w:rPr>
        <w:t xml:space="preserve">значения, с учетом необходимости соблюдения пруденциальных требований </w:t>
      </w:r>
      <w:r w:rsidRPr="00341240">
        <w:rPr>
          <w:rFonts w:ascii="Times New Roman" w:eastAsia="Times New Roman" w:hAnsi="Times New Roman" w:cs="Times New Roman"/>
          <w:color w:val="000000"/>
          <w:sz w:val="24"/>
          <w:szCs w:val="24"/>
          <w:lang w:eastAsia="ru-RU"/>
        </w:rPr>
        <w:t>Банка России.</w:t>
      </w:r>
    </w:p>
    <w:p w:rsidR="00341240" w:rsidRPr="00341240" w:rsidRDefault="00341240" w:rsidP="00341240">
      <w:pPr>
        <w:tabs>
          <w:tab w:val="left" w:pos="708"/>
        </w:tabs>
        <w:spacing w:after="0" w:line="240" w:lineRule="auto"/>
        <w:ind w:firstLine="567"/>
        <w:jc w:val="both"/>
        <w:textAlignment w:val="top"/>
        <w:rPr>
          <w:rFonts w:ascii="Times New Roman" w:eastAsia="Times New Roman" w:hAnsi="Times New Roman" w:cs="Times New Roman"/>
          <w:color w:val="000000"/>
          <w:sz w:val="18"/>
          <w:szCs w:val="18"/>
          <w:lang w:eastAsia="ru-RU"/>
        </w:rPr>
      </w:pPr>
      <w:r w:rsidRPr="00341240">
        <w:rPr>
          <w:rFonts w:ascii="Times New Roman" w:eastAsia="Times New Roman" w:hAnsi="Times New Roman" w:cs="Times New Roman"/>
          <w:color w:val="000000"/>
          <w:sz w:val="24"/>
          <w:szCs w:val="24"/>
          <w:lang w:eastAsia="ru-RU"/>
        </w:rPr>
        <w:t>Стресс-тестирование</w:t>
      </w:r>
      <w:r w:rsidRPr="00341240">
        <w:rPr>
          <w:rFonts w:ascii="Times New Roman" w:eastAsia="Calibri" w:hAnsi="Times New Roman" w:cs="Times New Roman"/>
        </w:rPr>
        <w:t xml:space="preserve"> </w:t>
      </w:r>
      <w:r w:rsidRPr="00341240">
        <w:rPr>
          <w:rFonts w:ascii="Times New Roman" w:eastAsia="Times New Roman" w:hAnsi="Times New Roman" w:cs="Times New Roman"/>
          <w:color w:val="000000"/>
          <w:sz w:val="24"/>
          <w:szCs w:val="24"/>
          <w:lang w:eastAsia="ru-RU"/>
        </w:rPr>
        <w:t>финансовой устойчивости проводится как в направлении анализа чувствительности</w:t>
      </w:r>
      <w:r w:rsidRPr="00341240">
        <w:rPr>
          <w:rFonts w:ascii="Times New Roman" w:eastAsia="Calibri" w:hAnsi="Times New Roman" w:cs="Times New Roman"/>
        </w:rPr>
        <w:t xml:space="preserve"> </w:t>
      </w:r>
      <w:r w:rsidRPr="00341240">
        <w:rPr>
          <w:rFonts w:ascii="Times New Roman" w:eastAsia="Times New Roman" w:hAnsi="Times New Roman" w:cs="Times New Roman"/>
          <w:color w:val="000000"/>
          <w:sz w:val="24"/>
          <w:szCs w:val="24"/>
          <w:lang w:eastAsia="ru-RU"/>
        </w:rPr>
        <w:t>к действию отдельных риск-факторов, способных привести к возникновению возможных потерь ЦК, так и одновременного действия заданного набора факторов риска,</w:t>
      </w:r>
      <w:r w:rsidRPr="00341240">
        <w:rPr>
          <w:rFonts w:ascii="Times New Roman" w:eastAsia="Times New Roman" w:hAnsi="Times New Roman" w:cs="Times New Roman"/>
          <w:color w:val="000000"/>
          <w:sz w:val="24"/>
          <w:szCs w:val="24"/>
          <w:lang w:val="x-none" w:eastAsia="ru-RU"/>
        </w:rPr>
        <w:t xml:space="preserve"> </w:t>
      </w:r>
      <w:r w:rsidRPr="00341240">
        <w:rPr>
          <w:rFonts w:ascii="Times New Roman" w:eastAsia="Times New Roman" w:hAnsi="Times New Roman" w:cs="Times New Roman"/>
          <w:color w:val="000000"/>
          <w:sz w:val="24"/>
          <w:szCs w:val="24"/>
          <w:lang w:eastAsia="ru-RU"/>
        </w:rPr>
        <w:t xml:space="preserve">что </w:t>
      </w:r>
      <w:r w:rsidRPr="00341240">
        <w:rPr>
          <w:rFonts w:ascii="Times New Roman" w:eastAsia="Times New Roman" w:hAnsi="Times New Roman" w:cs="Times New Roman"/>
          <w:color w:val="000000"/>
          <w:sz w:val="24"/>
          <w:szCs w:val="24"/>
          <w:lang w:val="x-none" w:eastAsia="ru-RU"/>
        </w:rPr>
        <w:t xml:space="preserve">позволяет оценить достаточность финансовых ресурсов </w:t>
      </w:r>
      <w:r w:rsidRPr="00341240">
        <w:rPr>
          <w:rFonts w:ascii="Times New Roman" w:eastAsia="Times New Roman" w:hAnsi="Times New Roman" w:cs="Times New Roman"/>
          <w:color w:val="000000"/>
          <w:sz w:val="24"/>
          <w:szCs w:val="24"/>
          <w:lang w:eastAsia="ru-RU"/>
        </w:rPr>
        <w:t>ЦК</w:t>
      </w:r>
      <w:r w:rsidRPr="00341240">
        <w:rPr>
          <w:rFonts w:ascii="Times New Roman" w:eastAsia="Times New Roman" w:hAnsi="Times New Roman" w:cs="Times New Roman"/>
          <w:color w:val="000000"/>
          <w:sz w:val="24"/>
          <w:szCs w:val="24"/>
          <w:lang w:val="x-none" w:eastAsia="ru-RU"/>
        </w:rPr>
        <w:t xml:space="preserve"> в условиях</w:t>
      </w:r>
      <w:r w:rsidRPr="00341240">
        <w:rPr>
          <w:rFonts w:ascii="Times New Roman" w:eastAsia="Times New Roman" w:hAnsi="Times New Roman" w:cs="Times New Roman"/>
          <w:color w:val="000000"/>
          <w:sz w:val="24"/>
          <w:szCs w:val="24"/>
          <w:lang w:eastAsia="ru-RU"/>
        </w:rPr>
        <w:t xml:space="preserve"> кризиса</w:t>
      </w:r>
      <w:r w:rsidRPr="00341240">
        <w:rPr>
          <w:rFonts w:ascii="Times New Roman" w:eastAsia="Times New Roman" w:hAnsi="Times New Roman" w:cs="Times New Roman"/>
          <w:color w:val="000000"/>
          <w:sz w:val="24"/>
          <w:szCs w:val="24"/>
          <w:lang w:val="x-none" w:eastAsia="ru-RU"/>
        </w:rPr>
        <w:t>.</w:t>
      </w:r>
    </w:p>
    <w:p w:rsidR="00341240" w:rsidRPr="00341240" w:rsidRDefault="00341240" w:rsidP="00341240">
      <w:pPr>
        <w:tabs>
          <w:tab w:val="left" w:pos="708"/>
        </w:tabs>
        <w:spacing w:after="120" w:line="240" w:lineRule="auto"/>
        <w:ind w:firstLine="567"/>
        <w:jc w:val="both"/>
        <w:textAlignment w:val="top"/>
        <w:rPr>
          <w:rFonts w:ascii="Times New Roman" w:eastAsia="Times New Roman" w:hAnsi="Times New Roman" w:cs="Times New Roman"/>
          <w:color w:val="000000"/>
          <w:sz w:val="18"/>
          <w:szCs w:val="18"/>
          <w:lang w:eastAsia="ru-RU"/>
        </w:rPr>
      </w:pPr>
      <w:r w:rsidRPr="00341240">
        <w:rPr>
          <w:rFonts w:ascii="Times New Roman" w:eastAsia="Times New Roman" w:hAnsi="Times New Roman" w:cs="Times New Roman"/>
          <w:color w:val="000000"/>
          <w:sz w:val="24"/>
          <w:szCs w:val="24"/>
          <w:lang w:eastAsia="ru-RU"/>
        </w:rPr>
        <w:t>НКЦ проводит валидацию моделей стресс-тестирования ЦК. При значительном изменении рыночной конъюнктуры стресс-параметры оперативно пересматриваются.</w:t>
      </w:r>
    </w:p>
    <w:p w:rsidR="00341240" w:rsidRPr="00341240" w:rsidRDefault="00341240" w:rsidP="00341240">
      <w:pPr>
        <w:spacing w:after="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Итоги стресс-тестирования, проводимого в 2015 году, свидетельствуют о способности НКЦ сохранить общую финансовую устойчивость без возникновения угрозы непрерывности деятельности, определяемую через достаточность источников покрытия рисков, в условиях смоделированных шоков и их сочетания.</w:t>
      </w:r>
    </w:p>
    <w:p w:rsidR="00341240" w:rsidRPr="00341240" w:rsidRDefault="00341240" w:rsidP="00341240">
      <w:pPr>
        <w:autoSpaceDE w:val="0"/>
        <w:autoSpaceDN w:val="0"/>
        <w:adjustRightInd w:val="0"/>
        <w:spacing w:after="0" w:line="240" w:lineRule="auto"/>
        <w:jc w:val="center"/>
        <w:rPr>
          <w:rFonts w:ascii="Times New Roman" w:eastAsia="Calibri" w:hAnsi="Times New Roman" w:cs="Times New Roman"/>
          <w:b/>
          <w:color w:val="000000"/>
          <w:sz w:val="24"/>
          <w:szCs w:val="24"/>
        </w:rPr>
      </w:pPr>
    </w:p>
    <w:p w:rsidR="00341240" w:rsidRPr="00341240" w:rsidRDefault="00341240" w:rsidP="00341240">
      <w:pPr>
        <w:autoSpaceDE w:val="0"/>
        <w:autoSpaceDN w:val="0"/>
        <w:adjustRightInd w:val="0"/>
        <w:spacing w:after="0"/>
        <w:jc w:val="center"/>
        <w:rPr>
          <w:rFonts w:ascii="Times New Roman" w:eastAsia="Calibri" w:hAnsi="Times New Roman" w:cs="Times New Roman"/>
          <w:b/>
          <w:i/>
          <w:color w:val="000000"/>
          <w:sz w:val="24"/>
          <w:szCs w:val="24"/>
        </w:rPr>
      </w:pPr>
      <w:r w:rsidRPr="00341240">
        <w:rPr>
          <w:rFonts w:ascii="Times New Roman" w:eastAsia="Calibri" w:hAnsi="Times New Roman" w:cs="Times New Roman"/>
          <w:b/>
          <w:i/>
          <w:color w:val="000000"/>
          <w:sz w:val="24"/>
          <w:szCs w:val="24"/>
        </w:rPr>
        <w:t>Управление операционным риском</w:t>
      </w:r>
    </w:p>
    <w:p w:rsidR="00341240" w:rsidRPr="00341240" w:rsidRDefault="00341240" w:rsidP="00341240">
      <w:pPr>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w:t>
      </w:r>
    </w:p>
    <w:p w:rsidR="00341240" w:rsidRPr="00341240" w:rsidRDefault="00341240" w:rsidP="00341240">
      <w:pPr>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Обеспечение непрерывности деятельности НКЦ, в том числе бесперебойности функционирования его собственных систем и процессов, являлось одним из основных приоритетов в деятельности Банка, как инфраструктурного института, играющего важную стабилизирующую роль на финансовом рынке.  Эта задача во многом решалась путем эффективного осуществления системы управления операционными рисками Банка, которая обеспечивается ее многоуровневой структурой, прозрачностью функций и органов управления, профильных подразделений, что в полной мере соответствует лучшим мировым практикам управления. </w:t>
      </w:r>
    </w:p>
    <w:p w:rsidR="00341240" w:rsidRPr="00341240" w:rsidRDefault="00341240" w:rsidP="00341240">
      <w:pPr>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Операционный риск является одним из наиболее значимых рисков для НКЦ вследствие специфики деятельности в качестве клирингового центра и центрального контрагента на финансовых рынках ПАО «Московская Биржа». Система управления операционным риском выстроена с учетом рекомендаций Банка России, Базельского комитета по банковскому надзору, а также </w:t>
      </w:r>
      <w:r w:rsidRPr="00341240">
        <w:rPr>
          <w:rFonts w:ascii="Times New Roman" w:eastAsia="Calibri" w:hAnsi="Times New Roman" w:cs="Times New Roman"/>
          <w:sz w:val="24"/>
          <w:szCs w:val="24"/>
          <w:lang w:val="en-US"/>
        </w:rPr>
        <w:t>CPMI</w:t>
      </w:r>
      <w:r w:rsidRPr="00341240">
        <w:rPr>
          <w:rFonts w:ascii="Times New Roman" w:eastAsia="Calibri" w:hAnsi="Times New Roman" w:cs="Times New Roman"/>
          <w:sz w:val="24"/>
          <w:szCs w:val="24"/>
        </w:rPr>
        <w:t>-</w:t>
      </w:r>
      <w:r w:rsidRPr="00341240">
        <w:rPr>
          <w:rFonts w:ascii="Times New Roman" w:eastAsia="Calibri" w:hAnsi="Times New Roman" w:cs="Times New Roman"/>
          <w:sz w:val="24"/>
          <w:szCs w:val="24"/>
          <w:lang w:val="en-US"/>
        </w:rPr>
        <w:t>IOSCO</w:t>
      </w:r>
      <w:r w:rsidRPr="00341240">
        <w:rPr>
          <w:rFonts w:ascii="Times New Roman" w:eastAsia="Calibri" w:hAnsi="Times New Roman" w:cs="Times New Roman"/>
          <w:sz w:val="24"/>
          <w:szCs w:val="24"/>
        </w:rPr>
        <w:t>.</w:t>
      </w:r>
    </w:p>
    <w:p w:rsidR="00341240" w:rsidRPr="00341240" w:rsidRDefault="00341240" w:rsidP="00341240">
      <w:pPr>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Процесс управления операционным риском включает следующие этапы:</w:t>
      </w:r>
    </w:p>
    <w:p w:rsidR="00341240" w:rsidRPr="00341240" w:rsidRDefault="00341240" w:rsidP="00AB0ACF">
      <w:pPr>
        <w:widowControl w:val="0"/>
        <w:numPr>
          <w:ilvl w:val="0"/>
          <w:numId w:val="18"/>
        </w:numPr>
        <w:tabs>
          <w:tab w:val="left" w:pos="737"/>
        </w:tabs>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сбор данных о событиях операционного и правового риска, произошедших в подразделениях Банка;</w:t>
      </w:r>
    </w:p>
    <w:p w:rsidR="00341240" w:rsidRPr="00341240" w:rsidRDefault="00341240" w:rsidP="00AB0ACF">
      <w:pPr>
        <w:widowControl w:val="0"/>
        <w:numPr>
          <w:ilvl w:val="0"/>
          <w:numId w:val="18"/>
        </w:numPr>
        <w:tabs>
          <w:tab w:val="left" w:pos="737"/>
        </w:tabs>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сбор и анализ данных о событиях операционного риска, произошедших в других организациях, схожих с Банком по профилю деятельности;</w:t>
      </w:r>
    </w:p>
    <w:p w:rsidR="00341240" w:rsidRPr="00341240" w:rsidRDefault="00341240" w:rsidP="00AB0ACF">
      <w:pPr>
        <w:widowControl w:val="0"/>
        <w:numPr>
          <w:ilvl w:val="0"/>
          <w:numId w:val="18"/>
        </w:numPr>
        <w:tabs>
          <w:tab w:val="left" w:pos="737"/>
        </w:tabs>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выявление операционных рисков по новым продуктам и процессам;</w:t>
      </w:r>
    </w:p>
    <w:p w:rsidR="00341240" w:rsidRPr="00341240" w:rsidRDefault="00341240" w:rsidP="00AB0ACF">
      <w:pPr>
        <w:widowControl w:val="0"/>
        <w:numPr>
          <w:ilvl w:val="0"/>
          <w:numId w:val="18"/>
        </w:numPr>
        <w:tabs>
          <w:tab w:val="left" w:pos="737"/>
        </w:tabs>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выявление потенциальных операционных рисков с помощью процедур самооценки;</w:t>
      </w:r>
    </w:p>
    <w:p w:rsidR="00341240" w:rsidRPr="00341240" w:rsidRDefault="00341240" w:rsidP="00AB0ACF">
      <w:pPr>
        <w:widowControl w:val="0"/>
        <w:numPr>
          <w:ilvl w:val="0"/>
          <w:numId w:val="18"/>
        </w:numPr>
        <w:tabs>
          <w:tab w:val="left" w:pos="737"/>
        </w:tabs>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анализ и оценка выявленных операционных рисков;</w:t>
      </w:r>
    </w:p>
    <w:p w:rsidR="00341240" w:rsidRPr="00341240" w:rsidRDefault="00341240" w:rsidP="00AB0ACF">
      <w:pPr>
        <w:widowControl w:val="0"/>
        <w:numPr>
          <w:ilvl w:val="0"/>
          <w:numId w:val="18"/>
        </w:numPr>
        <w:tabs>
          <w:tab w:val="left" w:pos="737"/>
        </w:tabs>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мониторинг операционного риска с использованием системы индикаторов операционного риска;</w:t>
      </w:r>
    </w:p>
    <w:p w:rsidR="00341240" w:rsidRPr="00341240" w:rsidRDefault="00341240" w:rsidP="00AB0ACF">
      <w:pPr>
        <w:widowControl w:val="0"/>
        <w:numPr>
          <w:ilvl w:val="0"/>
          <w:numId w:val="18"/>
        </w:numPr>
        <w:tabs>
          <w:tab w:val="left" w:pos="737"/>
        </w:tabs>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разработка мер реагирования на операционный риск и контроль за исполнением мероприятий по снижению операционных рисков;</w:t>
      </w:r>
    </w:p>
    <w:p w:rsidR="00341240" w:rsidRPr="00341240" w:rsidRDefault="00341240" w:rsidP="00AB0ACF">
      <w:pPr>
        <w:widowControl w:val="0"/>
        <w:numPr>
          <w:ilvl w:val="0"/>
          <w:numId w:val="18"/>
        </w:numPr>
        <w:tabs>
          <w:tab w:val="left" w:pos="737"/>
        </w:tabs>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проверка устойчивости НКЦ к сбоям операционно-информационных систем не реже одного раза в год;</w:t>
      </w:r>
    </w:p>
    <w:p w:rsidR="00341240" w:rsidRPr="00341240" w:rsidRDefault="00341240" w:rsidP="00AB0ACF">
      <w:pPr>
        <w:widowControl w:val="0"/>
        <w:numPr>
          <w:ilvl w:val="0"/>
          <w:numId w:val="18"/>
        </w:numPr>
        <w:tabs>
          <w:tab w:val="left" w:pos="737"/>
        </w:tabs>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повышение квалификации сотрудников по вопросам управления операционным риском;</w:t>
      </w:r>
    </w:p>
    <w:p w:rsidR="00341240" w:rsidRPr="00341240" w:rsidRDefault="00341240" w:rsidP="00AB0ACF">
      <w:pPr>
        <w:widowControl w:val="0"/>
        <w:numPr>
          <w:ilvl w:val="0"/>
          <w:numId w:val="18"/>
        </w:numPr>
        <w:tabs>
          <w:tab w:val="left" w:pos="737"/>
        </w:tabs>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политика разграничения прав доступа при вводе и обработке данных, снижающая риск несанкционированных либо ошибочных действий сотрудников соответствующих подразделений НКЦ.</w:t>
      </w:r>
    </w:p>
    <w:p w:rsidR="00341240" w:rsidRPr="00341240" w:rsidRDefault="00341240" w:rsidP="00341240">
      <w:pPr>
        <w:autoSpaceDE w:val="0"/>
        <w:autoSpaceDN w:val="0"/>
        <w:adjustRightInd w:val="0"/>
        <w:spacing w:after="0" w:line="240" w:lineRule="auto"/>
        <w:jc w:val="both"/>
        <w:rPr>
          <w:rFonts w:ascii="Times New Roman" w:eastAsia="Calibri" w:hAnsi="Times New Roman" w:cs="Times New Roman"/>
          <w:sz w:val="24"/>
          <w:szCs w:val="24"/>
        </w:rPr>
      </w:pPr>
    </w:p>
    <w:p w:rsidR="00341240" w:rsidRPr="00341240" w:rsidRDefault="00341240" w:rsidP="00341240">
      <w:pPr>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Операционный риск ограничивается, прежде всего, за счет использования надежных технических средств биржевой инфраструктуры, информационных и технологических систем, многоуровневого контроля процедур проведения операций, высокой квалификации сотрудников. </w:t>
      </w:r>
    </w:p>
    <w:p w:rsidR="00341240" w:rsidRPr="00341240" w:rsidRDefault="00341240" w:rsidP="00341240">
      <w:pPr>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В структуру системы управления рисками включены Наблюдательный совет, единоличный и коллегиальный исполнительные органы, ответственный сотрудник по управлению операционным и стратегическим риском, а также остальные сотрудники организации.  Наблюдательный совет определяет ключевые принципы управления операционными рисками, в числе которых - интеграция системы управления рисками в процесс принятия управленческих решений и вовлеченность всех сотрудников компании в процесс управления рисками.  Исполнительные органы обеспечивают управленческую структуру с непротиворечивыми сферами ответственности, применение на всех уровнях организации установленных принципов.</w:t>
      </w:r>
    </w:p>
    <w:p w:rsidR="00341240" w:rsidRPr="00341240" w:rsidRDefault="00341240" w:rsidP="00341240">
      <w:pPr>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Как квалифицированный центральный контрагент, НКЦ ежемесячно предоставляет отчетность Банку России о перечне зарегистрированных инцидентах и выявленных операционных рисках.</w:t>
      </w:r>
    </w:p>
    <w:p w:rsidR="00341240" w:rsidRPr="00341240" w:rsidRDefault="00341240" w:rsidP="00341240">
      <w:pPr>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Система управления операционным риском НКЦ предусматривает сбор и регистрацию информации о событиях операционного риска и связанных с ними реальных и возможных убытках. Оценка операционного риска проводится в процессе сбора данных по случаям реализации операционного риска, а также в процессе проведения процедур самооценки операционного риска. Результаты оценки рассматриваются Правлением Банка.</w:t>
      </w:r>
    </w:p>
    <w:p w:rsidR="00341240" w:rsidRPr="00341240" w:rsidRDefault="00341240" w:rsidP="00341240">
      <w:pPr>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Одновременно, во взаимодействии с Ответственными сотрудниками по управлению правовым и репутационным рисками производится оценка событий операционного риска с точки зрения их влияния на уровень этих видов рисков. Одной из важных задач операционного риск-менеджмента является также максимально возможно широкая вовлеченности сотрудников Банка в процесс управления операционными рисками.</w:t>
      </w:r>
    </w:p>
    <w:p w:rsidR="00341240" w:rsidRPr="00341240" w:rsidRDefault="00341240" w:rsidP="00341240">
      <w:pPr>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Реализуемый в НКЦ комплексный подход к снижению операционных рисков (персонала, процессов, систем) предполагает, в частности, внедрение системы определения приоритетности автоматизации процессов (с учётом рисков), проведение регулярного риск-аудита бизнес-процессов, поддержание оперативного учёта информационных активов (информационные системы, оборудование, каналы связи), резервирование каналов связи, а также внедрение проектного и сервисного подхода в работе подразделений.</w:t>
      </w:r>
    </w:p>
    <w:p w:rsidR="00341240" w:rsidRPr="00341240" w:rsidRDefault="00341240" w:rsidP="00341240">
      <w:pPr>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w:t>
      </w:r>
      <w:r w:rsidRPr="00341240">
        <w:rPr>
          <w:rFonts w:ascii="Times New Roman" w:eastAsia="Calibri" w:hAnsi="Times New Roman" w:cs="Times New Roman"/>
          <w:color w:val="000000"/>
          <w:sz w:val="24"/>
          <w:szCs w:val="24"/>
        </w:rPr>
        <w:t xml:space="preserve">   Минимизация операционного риска в Банке осуществляется путем проведения превентивных и корректирующих внутренних и внешних контрольных мероприятий, в число которых, в частности, входят: внедрение новых процедур и программно-технических средств контроля доступа, разграничение прав пользователей/администраторов информационных систем, резервное копирование информации,</w:t>
      </w:r>
      <w:r w:rsidRPr="00341240">
        <w:rPr>
          <w:rFonts w:ascii="Times New Roman" w:eastAsia="Calibri" w:hAnsi="Times New Roman" w:cs="Times New Roman"/>
          <w:sz w:val="24"/>
          <w:szCs w:val="24"/>
        </w:rPr>
        <w:t xml:space="preserve"> анализ эффективности существующих, а также разработка и внедрение новых контрольных мероприятий.  </w:t>
      </w:r>
    </w:p>
    <w:p w:rsidR="00341240" w:rsidRPr="00341240" w:rsidRDefault="00341240" w:rsidP="00341240">
      <w:pPr>
        <w:autoSpaceDE w:val="0"/>
        <w:autoSpaceDN w:val="0"/>
        <w:adjustRightInd w:val="0"/>
        <w:spacing w:after="0" w:line="240" w:lineRule="auto"/>
        <w:jc w:val="both"/>
        <w:rPr>
          <w:rFonts w:ascii="Times New Roman" w:eastAsia="Calibri" w:hAnsi="Times New Roman" w:cs="Times New Roman"/>
          <w:color w:val="000000"/>
          <w:sz w:val="24"/>
          <w:szCs w:val="24"/>
        </w:rPr>
      </w:pPr>
      <w:r w:rsidRPr="00341240">
        <w:rPr>
          <w:rFonts w:ascii="Times New Roman" w:eastAsia="Calibri" w:hAnsi="Times New Roman" w:cs="Times New Roman"/>
          <w:color w:val="000000"/>
          <w:sz w:val="24"/>
          <w:szCs w:val="24"/>
        </w:rPr>
        <w:t xml:space="preserve">          В Банке осуществлялся регулярный анализ ключевых процессов, по результатам которого внедряются новые технологии, снижающие уровень операционного риска. При внедрении новых продуктов и услуг проводится комплексный многофакторный анализ проекта, включая оценку операционных рисков.</w:t>
      </w:r>
    </w:p>
    <w:p w:rsidR="00341240" w:rsidRPr="00341240" w:rsidRDefault="00341240" w:rsidP="00341240">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341240">
        <w:rPr>
          <w:rFonts w:ascii="Times New Roman" w:eastAsia="Calibri" w:hAnsi="Times New Roman" w:cs="Times New Roman"/>
          <w:sz w:val="24"/>
          <w:szCs w:val="24"/>
        </w:rPr>
        <w:t>В целях совершенствования механизма управления операционным риском в Банке в 2015 году Наблюдательным советом НКЦ была принята обновленная политика управления операционным риском. В этом документе более детально прописаны подходы в части выявления, анализа и контроля операционного риска.</w:t>
      </w:r>
    </w:p>
    <w:p w:rsidR="00341240" w:rsidRPr="00341240" w:rsidRDefault="00341240" w:rsidP="00341240">
      <w:pPr>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Особое внимание уделяется обеспечению непрерывности деятельности Банка - ключевые информационные системы обеспечены резервными каналами и мощностями, организовано надлежащее хранение информации в электронных архивах.</w:t>
      </w:r>
    </w:p>
    <w:p w:rsidR="00341240" w:rsidRPr="00341240" w:rsidRDefault="00341240" w:rsidP="00341240">
      <w:pPr>
        <w:autoSpaceDE w:val="0"/>
        <w:autoSpaceDN w:val="0"/>
        <w:spacing w:after="0" w:line="240" w:lineRule="auto"/>
        <w:jc w:val="both"/>
        <w:rPr>
          <w:rFonts w:ascii="Times New Roman" w:eastAsia="Calibri" w:hAnsi="Times New Roman" w:cs="Times New Roman"/>
          <w:sz w:val="24"/>
          <w:szCs w:val="24"/>
          <w:lang w:eastAsia="ru-RU"/>
        </w:rPr>
      </w:pPr>
      <w:r w:rsidRPr="00341240">
        <w:rPr>
          <w:rFonts w:ascii="Times New Roman" w:eastAsia="Calibri" w:hAnsi="Times New Roman" w:cs="Times New Roman"/>
          <w:sz w:val="24"/>
          <w:szCs w:val="24"/>
        </w:rPr>
        <w:t xml:space="preserve">        Выполняя функции клиринговой организацией и центрального контрагента, НКЦ исходит из необходимости быть готовым к возникновению событий, которые могут привести к приостановке обычных операционных процедур.    Положение Банка России от 16.12.2003г. № 242-П «Об организации внутреннего контроля в кредитных организациях и банковских группах» обязывает кредитные организации разрабатывать планы обеспечения непрерывности и восстановления деятельности при возникновении непредвиденных обстоятельств.  Следуя требованиям регулятора, в НКЦ разработана и внедрена современная модель системы менеджмента непрерывности бизнеса. </w:t>
      </w:r>
    </w:p>
    <w:p w:rsidR="00341240" w:rsidRPr="00341240" w:rsidRDefault="00341240" w:rsidP="00341240">
      <w:pPr>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При реализации процессов обеспечения непрерывности бизнеса НКЦ использует методику международного стандарта </w:t>
      </w:r>
      <w:r w:rsidRPr="00341240">
        <w:rPr>
          <w:rFonts w:ascii="Times New Roman" w:eastAsia="Calibri" w:hAnsi="Times New Roman" w:cs="Times New Roman"/>
          <w:sz w:val="24"/>
          <w:szCs w:val="24"/>
          <w:lang w:val="en-US"/>
        </w:rPr>
        <w:t>ISO</w:t>
      </w:r>
      <w:r w:rsidRPr="00341240">
        <w:rPr>
          <w:rFonts w:ascii="Times New Roman" w:eastAsia="Calibri" w:hAnsi="Times New Roman" w:cs="Times New Roman"/>
          <w:sz w:val="24"/>
          <w:szCs w:val="24"/>
        </w:rPr>
        <w:t xml:space="preserve"> 22301 (Социальная безопасность-Системы управления непрерывностью бизнеса-Требования). Основными элементами этого подхода являются:</w:t>
      </w:r>
    </w:p>
    <w:p w:rsidR="00341240" w:rsidRPr="00341240" w:rsidRDefault="00341240" w:rsidP="00AB0ACF">
      <w:pPr>
        <w:widowControl w:val="0"/>
        <w:numPr>
          <w:ilvl w:val="0"/>
          <w:numId w:val="18"/>
        </w:numPr>
        <w:tabs>
          <w:tab w:val="left" w:pos="737"/>
        </w:tabs>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политика обеспечения непрерывности бизнеса – согласованный Наблюдательным советом НКЦ документ, который регламентирует работу в области обеспечения непрерывности бизнеса в НКЦ;</w:t>
      </w:r>
    </w:p>
    <w:p w:rsidR="00341240" w:rsidRPr="00341240" w:rsidRDefault="00341240" w:rsidP="00AB0ACF">
      <w:pPr>
        <w:widowControl w:val="0"/>
        <w:numPr>
          <w:ilvl w:val="0"/>
          <w:numId w:val="18"/>
        </w:numPr>
        <w:tabs>
          <w:tab w:val="left" w:pos="737"/>
        </w:tabs>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оценка рисков непрерывности бизнеса – процесс по выявлению рисков, их анализ, и оценка их влияния на бизнес НКЦ;</w:t>
      </w:r>
    </w:p>
    <w:p w:rsidR="00341240" w:rsidRPr="00341240" w:rsidRDefault="00341240" w:rsidP="00AB0ACF">
      <w:pPr>
        <w:widowControl w:val="0"/>
        <w:numPr>
          <w:ilvl w:val="0"/>
          <w:numId w:val="18"/>
        </w:numPr>
        <w:tabs>
          <w:tab w:val="left" w:pos="737"/>
        </w:tabs>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анализ влияния на бизнес – это анализ всех процессов НКЦ с точки зрения оценки возможного влияние на них различных видов инцидентов с течением времени. Анализ проводится, как минимум, ежегодно и охватывает все структурные подразделения Банка;</w:t>
      </w:r>
    </w:p>
    <w:p w:rsidR="00341240" w:rsidRPr="00341240" w:rsidRDefault="00341240" w:rsidP="00AB0ACF">
      <w:pPr>
        <w:widowControl w:val="0"/>
        <w:numPr>
          <w:ilvl w:val="0"/>
          <w:numId w:val="18"/>
        </w:numPr>
        <w:tabs>
          <w:tab w:val="left" w:pos="737"/>
        </w:tabs>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кризисное управление – это определение высокоуровневой стратегии обеспечения непрерывности бизнеса НКЦ, которая включает в себя заранее разработанные механизмы выхода из различных кризисных ситуаций;</w:t>
      </w:r>
    </w:p>
    <w:p w:rsidR="00341240" w:rsidRPr="00341240" w:rsidRDefault="00341240" w:rsidP="00AB0ACF">
      <w:pPr>
        <w:widowControl w:val="0"/>
        <w:numPr>
          <w:ilvl w:val="0"/>
          <w:numId w:val="18"/>
        </w:numPr>
        <w:tabs>
          <w:tab w:val="left" w:pos="737"/>
        </w:tabs>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стратегия обеспечения непрерывности бизнеса – разработанная стратегия, в которой описаны принципы построения системы менеджмента непрерывности бизнеса на краткосрочную, среднесрочную и долгосрочную перспективы; </w:t>
      </w:r>
    </w:p>
    <w:p w:rsidR="00341240" w:rsidRPr="00341240" w:rsidRDefault="00341240" w:rsidP="00AB0ACF">
      <w:pPr>
        <w:widowControl w:val="0"/>
        <w:numPr>
          <w:ilvl w:val="0"/>
          <w:numId w:val="18"/>
        </w:numPr>
        <w:tabs>
          <w:tab w:val="left" w:pos="737"/>
        </w:tabs>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план обеспечения непрерывности и восстановления деятельности – задокументированная процедура для использования при объявлении чрезвычайной ситуации. В плане перечислены меры для поддержания критичных бизнес функций на заранее определенном и согласованном уровне;</w:t>
      </w:r>
    </w:p>
    <w:p w:rsidR="00341240" w:rsidRPr="00341240" w:rsidRDefault="00341240" w:rsidP="00AB0ACF">
      <w:pPr>
        <w:widowControl w:val="0"/>
        <w:numPr>
          <w:ilvl w:val="0"/>
          <w:numId w:val="18"/>
        </w:numPr>
        <w:tabs>
          <w:tab w:val="left" w:pos="737"/>
        </w:tabs>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план восстановления – задокументированный процесс восстановления и защиты ИТ- инфраструктуры и систем, в случае возникновения чрезвычайной ситуации;  </w:t>
      </w:r>
    </w:p>
    <w:p w:rsidR="00341240" w:rsidRPr="00341240" w:rsidRDefault="00341240" w:rsidP="00AB0ACF">
      <w:pPr>
        <w:widowControl w:val="0"/>
        <w:numPr>
          <w:ilvl w:val="0"/>
          <w:numId w:val="18"/>
        </w:numPr>
        <w:tabs>
          <w:tab w:val="left" w:pos="737"/>
        </w:tabs>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управление инцидентами – четко определенный и задокументированный план действий, который подлежит использованию во время чрезвычайной ситуации для минимизации влияния на персонал и критичные бизнес процессы;</w:t>
      </w:r>
    </w:p>
    <w:p w:rsidR="00341240" w:rsidRPr="00341240" w:rsidRDefault="00341240" w:rsidP="00AB0ACF">
      <w:pPr>
        <w:widowControl w:val="0"/>
        <w:numPr>
          <w:ilvl w:val="0"/>
          <w:numId w:val="18"/>
        </w:numPr>
        <w:tabs>
          <w:tab w:val="left" w:pos="737"/>
        </w:tabs>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кризисные коммуникации – задокументированные приоритеты в коммуникациях при возникновении чрезвычайной ситуации, которые содержат заранее разработанные образцы для оповещения во внешнюю и внутреннюю среды;</w:t>
      </w:r>
    </w:p>
    <w:p w:rsidR="00341240" w:rsidRPr="00341240" w:rsidRDefault="00341240" w:rsidP="00AB0ACF">
      <w:pPr>
        <w:widowControl w:val="0"/>
        <w:numPr>
          <w:ilvl w:val="0"/>
          <w:numId w:val="18"/>
        </w:numPr>
        <w:tabs>
          <w:tab w:val="left" w:pos="737"/>
        </w:tabs>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тестирование и проведение упражнений - важный процесс, разработанный для определения: адекватности, качества планирования, эффективности организационной подготовленности процесса обеспечения непрерывности бизнеса. </w:t>
      </w:r>
    </w:p>
    <w:p w:rsidR="00341240" w:rsidRPr="00341240" w:rsidRDefault="00341240" w:rsidP="00341240">
      <w:pPr>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Согласно стратегии обеспечения непрерывности бизнеса и основываясь на требованиях бизнеса, в НКЦ созданы альтернативные площадки (географически разнесенные резервные офисы), которые активируются при реализации сценария недоступности основных офисов. Для оценки уровня зрелости НКЦ в области обеспечения непрерывности бизнеса регулярно готовится отчетность по ключевым показателям системы менеджмента непрерывности бизнеса и передается органам управления НКЦ.</w:t>
      </w:r>
    </w:p>
    <w:p w:rsidR="00341240" w:rsidRPr="00341240" w:rsidRDefault="00341240" w:rsidP="00341240">
      <w:pPr>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w:t>
      </w:r>
    </w:p>
    <w:p w:rsidR="00341240" w:rsidRPr="00341240" w:rsidRDefault="00341240" w:rsidP="00341240">
      <w:pPr>
        <w:tabs>
          <w:tab w:val="num" w:pos="567"/>
          <w:tab w:val="left" w:pos="600"/>
        </w:tabs>
        <w:spacing w:before="120" w:line="288" w:lineRule="auto"/>
        <w:ind w:firstLine="709"/>
        <w:jc w:val="center"/>
        <w:rPr>
          <w:rFonts w:ascii="Times New Roman" w:eastAsia="Calibri" w:hAnsi="Times New Roman" w:cs="Times New Roman"/>
          <w:b/>
          <w:i/>
          <w:color w:val="000000"/>
          <w:sz w:val="24"/>
        </w:rPr>
      </w:pPr>
    </w:p>
    <w:p w:rsidR="00341240" w:rsidRPr="00341240" w:rsidRDefault="00341240" w:rsidP="00341240">
      <w:pPr>
        <w:tabs>
          <w:tab w:val="num" w:pos="567"/>
          <w:tab w:val="left" w:pos="600"/>
        </w:tabs>
        <w:spacing w:before="120" w:line="288" w:lineRule="auto"/>
        <w:ind w:firstLine="709"/>
        <w:jc w:val="center"/>
        <w:rPr>
          <w:rFonts w:ascii="Times New Roman" w:eastAsia="Calibri" w:hAnsi="Times New Roman" w:cs="Times New Roman"/>
          <w:b/>
          <w:i/>
          <w:color w:val="000000"/>
          <w:sz w:val="24"/>
        </w:rPr>
      </w:pPr>
    </w:p>
    <w:p w:rsidR="00341240" w:rsidRPr="00341240" w:rsidRDefault="00341240" w:rsidP="00341240">
      <w:pPr>
        <w:tabs>
          <w:tab w:val="num" w:pos="567"/>
          <w:tab w:val="left" w:pos="600"/>
        </w:tabs>
        <w:spacing w:before="120" w:line="288" w:lineRule="auto"/>
        <w:ind w:firstLine="709"/>
        <w:jc w:val="center"/>
        <w:rPr>
          <w:rFonts w:ascii="Times New Roman" w:eastAsia="Calibri" w:hAnsi="Times New Roman" w:cs="Times New Roman"/>
          <w:b/>
          <w:i/>
          <w:color w:val="000000"/>
          <w:sz w:val="24"/>
        </w:rPr>
      </w:pPr>
    </w:p>
    <w:p w:rsidR="00341240" w:rsidRPr="00341240" w:rsidRDefault="00341240" w:rsidP="00341240">
      <w:pPr>
        <w:tabs>
          <w:tab w:val="num" w:pos="567"/>
          <w:tab w:val="left" w:pos="600"/>
        </w:tabs>
        <w:spacing w:before="120" w:line="288" w:lineRule="auto"/>
        <w:ind w:firstLine="709"/>
        <w:jc w:val="center"/>
        <w:rPr>
          <w:rFonts w:ascii="Times New Roman" w:eastAsia="Calibri" w:hAnsi="Times New Roman" w:cs="Times New Roman"/>
          <w:b/>
          <w:i/>
          <w:color w:val="000000"/>
          <w:sz w:val="24"/>
        </w:rPr>
      </w:pPr>
    </w:p>
    <w:p w:rsidR="00341240" w:rsidRPr="00341240" w:rsidRDefault="00341240" w:rsidP="00341240">
      <w:pPr>
        <w:tabs>
          <w:tab w:val="num" w:pos="567"/>
          <w:tab w:val="left" w:pos="600"/>
        </w:tabs>
        <w:spacing w:before="120" w:line="288" w:lineRule="auto"/>
        <w:ind w:firstLine="709"/>
        <w:jc w:val="center"/>
        <w:rPr>
          <w:rFonts w:ascii="Times New Roman" w:eastAsia="Calibri" w:hAnsi="Times New Roman" w:cs="Times New Roman"/>
          <w:b/>
          <w:i/>
          <w:color w:val="000000"/>
          <w:sz w:val="24"/>
        </w:rPr>
      </w:pPr>
      <w:r w:rsidRPr="00341240">
        <w:rPr>
          <w:rFonts w:ascii="Times New Roman" w:eastAsia="Calibri" w:hAnsi="Times New Roman" w:cs="Times New Roman"/>
          <w:b/>
          <w:i/>
          <w:color w:val="000000"/>
          <w:sz w:val="24"/>
        </w:rPr>
        <w:t>Управление стратегическим риском</w:t>
      </w:r>
    </w:p>
    <w:p w:rsidR="00341240" w:rsidRPr="00341240" w:rsidRDefault="00341240" w:rsidP="00341240">
      <w:pPr>
        <w:spacing w:after="0" w:line="240" w:lineRule="auto"/>
        <w:ind w:firstLine="708"/>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Определение стратегических целей НКЦ осуществляется в рамках Стратегии Группы «Московская Биржа» и связано с решением конкретных задач по достижению поставленных перед Банком стратегических целей.</w:t>
      </w:r>
    </w:p>
    <w:p w:rsidR="00341240" w:rsidRPr="00341240" w:rsidRDefault="00341240" w:rsidP="00341240">
      <w:pPr>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Стратегический риск – риск неблагоприятного изменения результатов деятельности вследствие принятия ошибочных решений в процессе управления НКЦ, в том числе при разработке, утверждении и реализации стратегии развития НКЦ, ненадлежащем исполнении принятых решений, а также неспособности органов управления НКЦ учитывать изменения внешних факторов.</w:t>
      </w:r>
    </w:p>
    <w:p w:rsidR="00341240" w:rsidRPr="00341240" w:rsidRDefault="00341240" w:rsidP="00341240">
      <w:pPr>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Стратегические цели НКЦ формируются на основе Стратегии Группы «Московская Биржа» и утверждаются Наблюдательным советом НКЦ. </w:t>
      </w:r>
    </w:p>
    <w:p w:rsidR="00341240" w:rsidRPr="00341240" w:rsidRDefault="00341240" w:rsidP="00341240">
      <w:pPr>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Система управления стратегическим риском учитывает риски НКЦ при совмещении банковской, клиринговой деятельности с иными видами деятельности. </w:t>
      </w:r>
    </w:p>
    <w:p w:rsidR="00341240" w:rsidRPr="00341240" w:rsidRDefault="00341240" w:rsidP="00341240">
      <w:pPr>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В процессе управления стратегическим риском НКЦ руководствуется следующими принципами:</w:t>
      </w:r>
    </w:p>
    <w:p w:rsidR="00341240" w:rsidRPr="00341240" w:rsidRDefault="00341240" w:rsidP="00AB0ACF">
      <w:pPr>
        <w:numPr>
          <w:ilvl w:val="0"/>
          <w:numId w:val="72"/>
        </w:numPr>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соответствие стратегии характеру, возможностям и масштабам деятельности НКЦ;</w:t>
      </w:r>
    </w:p>
    <w:p w:rsidR="00341240" w:rsidRPr="00341240" w:rsidRDefault="00341240" w:rsidP="00AB0ACF">
      <w:pPr>
        <w:numPr>
          <w:ilvl w:val="0"/>
          <w:numId w:val="72"/>
        </w:numPr>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внесение оперативных изменений в стратегические задачи НКЦ в случае изменения внешних и внутренних факторов;</w:t>
      </w:r>
    </w:p>
    <w:p w:rsidR="00341240" w:rsidRPr="00341240" w:rsidRDefault="00341240" w:rsidP="00AB0ACF">
      <w:pPr>
        <w:numPr>
          <w:ilvl w:val="0"/>
          <w:numId w:val="72"/>
        </w:numPr>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возможность количественной оценки соответствующих параметров стратегического риска;</w:t>
      </w:r>
    </w:p>
    <w:p w:rsidR="00341240" w:rsidRPr="00341240" w:rsidRDefault="00341240" w:rsidP="00AB0ACF">
      <w:pPr>
        <w:numPr>
          <w:ilvl w:val="0"/>
          <w:numId w:val="72"/>
        </w:numPr>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регулярное проведения мониторинга размеров параметров стратегического риска;</w:t>
      </w:r>
    </w:p>
    <w:p w:rsidR="00341240" w:rsidRPr="00341240" w:rsidRDefault="00341240" w:rsidP="00AB0ACF">
      <w:pPr>
        <w:numPr>
          <w:ilvl w:val="0"/>
          <w:numId w:val="72"/>
        </w:numPr>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осуществление оценки риска и подготовка информации для принятия надлежащих управленческих решений;</w:t>
      </w:r>
    </w:p>
    <w:p w:rsidR="00341240" w:rsidRPr="00341240" w:rsidRDefault="00341240" w:rsidP="00AB0ACF">
      <w:pPr>
        <w:numPr>
          <w:ilvl w:val="0"/>
          <w:numId w:val="72"/>
        </w:numPr>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наличие самостоятельных и независимых информационных подходов по всем значимым рискам.</w:t>
      </w:r>
    </w:p>
    <w:p w:rsidR="00341240" w:rsidRPr="00341240" w:rsidRDefault="00341240" w:rsidP="00341240">
      <w:pPr>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w:t>
      </w:r>
    </w:p>
    <w:p w:rsidR="00341240" w:rsidRPr="00341240" w:rsidRDefault="00341240" w:rsidP="00341240">
      <w:pPr>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Для целей мониторинга стратегического риска установлены критерии мониторинга:</w:t>
      </w:r>
    </w:p>
    <w:p w:rsidR="00341240" w:rsidRPr="00341240" w:rsidRDefault="00341240" w:rsidP="00AB0ACF">
      <w:pPr>
        <w:numPr>
          <w:ilvl w:val="0"/>
          <w:numId w:val="73"/>
        </w:numPr>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критерий мониторинга, связанный с невозможностью достичь установленные стратегические цели;</w:t>
      </w:r>
    </w:p>
    <w:p w:rsidR="00341240" w:rsidRPr="00341240" w:rsidRDefault="00341240" w:rsidP="00AB0ACF">
      <w:pPr>
        <w:numPr>
          <w:ilvl w:val="0"/>
          <w:numId w:val="73"/>
        </w:numPr>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критерий мониторинга, связанный с изменением стратегических целей.</w:t>
      </w:r>
    </w:p>
    <w:p w:rsidR="00341240" w:rsidRPr="00341240" w:rsidRDefault="00341240" w:rsidP="00341240">
      <w:pPr>
        <w:tabs>
          <w:tab w:val="left" w:pos="804"/>
        </w:tabs>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w:t>
      </w:r>
      <w:r w:rsidRPr="00341240">
        <w:rPr>
          <w:rFonts w:ascii="Times New Roman" w:eastAsia="Calibri" w:hAnsi="Times New Roman" w:cs="Times New Roman"/>
          <w:sz w:val="24"/>
          <w:szCs w:val="24"/>
        </w:rPr>
        <w:tab/>
      </w:r>
    </w:p>
    <w:p w:rsidR="00341240" w:rsidRPr="00341240" w:rsidRDefault="00341240" w:rsidP="00341240">
      <w:pPr>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Мониторинг стратегического риска осуществляется в соответствии с установленными критериями посредством набора качественных показателей, в том числе:</w:t>
      </w:r>
    </w:p>
    <w:p w:rsidR="00341240" w:rsidRPr="00341240" w:rsidRDefault="00341240" w:rsidP="00AB0ACF">
      <w:pPr>
        <w:widowControl w:val="0"/>
        <w:numPr>
          <w:ilvl w:val="0"/>
          <w:numId w:val="18"/>
        </w:numPr>
        <w:tabs>
          <w:tab w:val="left" w:pos="737"/>
        </w:tabs>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выявление случаев несоблюдения одобренной Стратегии развития;</w:t>
      </w:r>
    </w:p>
    <w:p w:rsidR="00341240" w:rsidRPr="00341240" w:rsidRDefault="00341240" w:rsidP="00AB0ACF">
      <w:pPr>
        <w:widowControl w:val="0"/>
        <w:numPr>
          <w:ilvl w:val="0"/>
          <w:numId w:val="18"/>
        </w:numPr>
        <w:tabs>
          <w:tab w:val="left" w:pos="737"/>
        </w:tabs>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выявление значительных отклонений в сроках и/или бюджете реализации стратегических проектов;</w:t>
      </w:r>
    </w:p>
    <w:p w:rsidR="00341240" w:rsidRPr="00341240" w:rsidRDefault="00341240" w:rsidP="00AB0ACF">
      <w:pPr>
        <w:widowControl w:val="0"/>
        <w:numPr>
          <w:ilvl w:val="0"/>
          <w:numId w:val="18"/>
        </w:numPr>
        <w:tabs>
          <w:tab w:val="left" w:pos="737"/>
        </w:tabs>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выявление рисков, препятствующих достижению стратегических целей.</w:t>
      </w:r>
    </w:p>
    <w:p w:rsidR="00341240" w:rsidRPr="00341240" w:rsidRDefault="00341240" w:rsidP="00341240">
      <w:pPr>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Дополнительным инструментом управления стратегическим риском на этапе реализации стратегии является мониторинг хода реализации Стратегических инициатив.</w:t>
      </w:r>
    </w:p>
    <w:p w:rsidR="00341240" w:rsidRPr="00341240" w:rsidRDefault="00341240" w:rsidP="00341240">
      <w:pPr>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По результатам мониторинга стратегического риска предоставляется отчетность на регулярной основе  уполномоченным коллегиальным органам НКЦ, которая включает в себя:</w:t>
      </w:r>
    </w:p>
    <w:p w:rsidR="00341240" w:rsidRPr="00341240" w:rsidRDefault="00341240" w:rsidP="00AB0ACF">
      <w:pPr>
        <w:widowControl w:val="0"/>
        <w:numPr>
          <w:ilvl w:val="0"/>
          <w:numId w:val="18"/>
        </w:numPr>
        <w:tabs>
          <w:tab w:val="left" w:pos="737"/>
        </w:tabs>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данные об уровне и динамике стратегического риска;</w:t>
      </w:r>
    </w:p>
    <w:p w:rsidR="00341240" w:rsidRPr="00341240" w:rsidRDefault="00341240" w:rsidP="00AB0ACF">
      <w:pPr>
        <w:widowControl w:val="0"/>
        <w:numPr>
          <w:ilvl w:val="0"/>
          <w:numId w:val="18"/>
        </w:numPr>
        <w:tabs>
          <w:tab w:val="left" w:pos="737"/>
        </w:tabs>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статистические данные по ключевым индикаторам риска;</w:t>
      </w:r>
    </w:p>
    <w:p w:rsidR="00341240" w:rsidRPr="00341240" w:rsidRDefault="00341240" w:rsidP="00AB0ACF">
      <w:pPr>
        <w:widowControl w:val="0"/>
        <w:numPr>
          <w:ilvl w:val="0"/>
          <w:numId w:val="18"/>
        </w:numPr>
        <w:tabs>
          <w:tab w:val="left" w:pos="737"/>
        </w:tabs>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результаты программ выявления и оценки стратегического риска;</w:t>
      </w:r>
    </w:p>
    <w:p w:rsidR="00341240" w:rsidRPr="00341240" w:rsidRDefault="00341240" w:rsidP="00AB0ACF">
      <w:pPr>
        <w:widowControl w:val="0"/>
        <w:numPr>
          <w:ilvl w:val="0"/>
          <w:numId w:val="18"/>
        </w:numPr>
        <w:tabs>
          <w:tab w:val="left" w:pos="737"/>
        </w:tabs>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отчет по статусам выполнения мероприятий по снижению риска;</w:t>
      </w:r>
    </w:p>
    <w:p w:rsidR="00341240" w:rsidRPr="00341240" w:rsidRDefault="00341240" w:rsidP="00AB0ACF">
      <w:pPr>
        <w:widowControl w:val="0"/>
        <w:numPr>
          <w:ilvl w:val="0"/>
          <w:numId w:val="18"/>
        </w:numPr>
        <w:tabs>
          <w:tab w:val="left" w:pos="737"/>
        </w:tabs>
        <w:autoSpaceDE w:val="0"/>
        <w:autoSpaceDN w:val="0"/>
        <w:adjustRightInd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другую информацию, касающуюся управления стратегическими рисками.</w:t>
      </w:r>
    </w:p>
    <w:p w:rsidR="00341240" w:rsidRPr="00341240" w:rsidRDefault="00341240" w:rsidP="00341240">
      <w:pPr>
        <w:spacing w:after="0" w:line="240" w:lineRule="auto"/>
        <w:ind w:firstLine="708"/>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Результаты управления стратегическим риском учитываются в процессе стратегического планирования в соответствии со стратегическими целями НКЦ и Стратегией Группы. На основании установленных текущих и плановых (целевых) показателей риск-аппетита НКЦ участвует в разработке стратегических целей.</w:t>
      </w:r>
    </w:p>
    <w:p w:rsidR="00341240" w:rsidRPr="00341240" w:rsidRDefault="00341240" w:rsidP="00341240">
      <w:pPr>
        <w:spacing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В целях совершенствования механизма управления стратегическим риском в НКЦ в 2015 году Наблюдательным советом НКЦ была принята политика управления стратегическим риском.</w:t>
      </w:r>
    </w:p>
    <w:p w:rsidR="00341240" w:rsidRPr="00341240" w:rsidRDefault="00341240" w:rsidP="00341240">
      <w:pPr>
        <w:tabs>
          <w:tab w:val="num" w:pos="567"/>
          <w:tab w:val="left" w:pos="600"/>
        </w:tabs>
        <w:spacing w:before="120" w:line="288" w:lineRule="auto"/>
        <w:ind w:firstLine="709"/>
        <w:jc w:val="center"/>
        <w:rPr>
          <w:rFonts w:ascii="Times New Roman" w:eastAsia="Calibri" w:hAnsi="Times New Roman" w:cs="Times New Roman"/>
          <w:b/>
          <w:color w:val="000000"/>
          <w:sz w:val="24"/>
        </w:rPr>
      </w:pPr>
    </w:p>
    <w:p w:rsidR="00341240" w:rsidRPr="00341240" w:rsidRDefault="00341240" w:rsidP="00341240">
      <w:pPr>
        <w:tabs>
          <w:tab w:val="num" w:pos="567"/>
          <w:tab w:val="left" w:pos="600"/>
        </w:tabs>
        <w:spacing w:before="120" w:line="288" w:lineRule="auto"/>
        <w:ind w:firstLine="709"/>
        <w:jc w:val="center"/>
        <w:rPr>
          <w:rFonts w:ascii="Times New Roman" w:eastAsia="Calibri" w:hAnsi="Times New Roman" w:cs="Times New Roman"/>
          <w:b/>
          <w:i/>
          <w:color w:val="000000"/>
          <w:sz w:val="24"/>
        </w:rPr>
      </w:pPr>
      <w:r w:rsidRPr="00341240">
        <w:rPr>
          <w:rFonts w:ascii="Times New Roman" w:eastAsia="Calibri" w:hAnsi="Times New Roman" w:cs="Times New Roman"/>
          <w:b/>
          <w:i/>
          <w:color w:val="000000"/>
          <w:sz w:val="24"/>
        </w:rPr>
        <w:t>Управление правовым риском</w:t>
      </w:r>
    </w:p>
    <w:p w:rsidR="00341240" w:rsidRPr="00341240" w:rsidRDefault="00341240" w:rsidP="00341240">
      <w:pPr>
        <w:tabs>
          <w:tab w:val="num" w:pos="567"/>
          <w:tab w:val="left" w:pos="600"/>
        </w:tabs>
        <w:spacing w:before="120" w:line="288" w:lineRule="auto"/>
        <w:ind w:firstLine="709"/>
        <w:jc w:val="center"/>
        <w:rPr>
          <w:rFonts w:ascii="Times New Roman" w:eastAsia="Calibri" w:hAnsi="Times New Roman" w:cs="Times New Roman"/>
          <w:b/>
          <w:color w:val="000000"/>
          <w:sz w:val="24"/>
        </w:rPr>
      </w:pPr>
    </w:p>
    <w:p w:rsidR="00341240" w:rsidRPr="00341240" w:rsidRDefault="00341240" w:rsidP="00341240">
      <w:pPr>
        <w:tabs>
          <w:tab w:val="num" w:pos="567"/>
          <w:tab w:val="left" w:pos="600"/>
        </w:tabs>
        <w:spacing w:before="120" w:line="240" w:lineRule="auto"/>
        <w:ind w:firstLine="709"/>
        <w:jc w:val="both"/>
        <w:rPr>
          <w:rFonts w:ascii="Times New Roman" w:hAnsi="Times New Roman"/>
          <w:color w:val="000000"/>
          <w:sz w:val="24"/>
        </w:rPr>
      </w:pPr>
      <w:r w:rsidRPr="00341240">
        <w:rPr>
          <w:rFonts w:ascii="Times New Roman" w:hAnsi="Times New Roman"/>
          <w:color w:val="000000"/>
          <w:sz w:val="24"/>
        </w:rPr>
        <w:t>Организация управления правовым риском в НКЦ осуществляется с учетом специфики деятельности Банка, совмещающего функции центрального контрагента и клиринговой организации на финансовых рынках Группы «Московская Биржа» с банковской деятельностью, также деятельностью оператора товарных поставок. При этом особое внимание уделяется мерам по минимизации правового риска при осуществлении НКЦ функций центрального контрагента. Факторы правового риска в НКЦ являются общими для всех видов деятельности, поэтому в целях организации процесса управления правовым риском в НКЦ построена комплексная система управления правовым риском по всем направлениям деятельности НКЦ.</w:t>
      </w:r>
    </w:p>
    <w:p w:rsidR="00341240" w:rsidRPr="00341240" w:rsidRDefault="00341240" w:rsidP="00341240">
      <w:pPr>
        <w:tabs>
          <w:tab w:val="num" w:pos="567"/>
          <w:tab w:val="left" w:pos="600"/>
        </w:tabs>
        <w:spacing w:before="120" w:line="240" w:lineRule="auto"/>
        <w:ind w:firstLine="709"/>
        <w:jc w:val="both"/>
        <w:rPr>
          <w:rFonts w:ascii="Times New Roman" w:hAnsi="Times New Roman"/>
          <w:color w:val="000000"/>
          <w:sz w:val="24"/>
          <w:szCs w:val="24"/>
        </w:rPr>
      </w:pPr>
      <w:r w:rsidRPr="00341240">
        <w:rPr>
          <w:rFonts w:ascii="Times New Roman" w:hAnsi="Times New Roman"/>
          <w:color w:val="000000"/>
          <w:sz w:val="24"/>
          <w:szCs w:val="24"/>
        </w:rPr>
        <w:t xml:space="preserve">В целях управления правовым риском и организации работы по минимизации правового риска в НКЦ решением Наблюдательного совета НКЦ утверждена новая редакция Положения «Об организации управления правовым риском в Банке «Национальный Клиринговый Центр» (Акционерное общество)» (протокол № 8 от 24.12.2015), которая учитывает новые требования Банка России к управлению правовым риском, изложенные в </w:t>
      </w:r>
      <w:r w:rsidRPr="00341240">
        <w:rPr>
          <w:rFonts w:ascii="Times New Roman" w:hAnsi="Times New Roman"/>
          <w:sz w:val="24"/>
          <w:szCs w:val="24"/>
        </w:rPr>
        <w:t xml:space="preserve">Положении от 12.03.2015 № 463-П «О требованиях, направленных на снижение рисков осуществления клиринговой деятельности, и требованиях к документу (документам), определяющему (определяющим) меры, направленные на снижение кредитных, операционных и иных рисков, в том числе рисков, связанных с совмещением клиринговой деятельности с иными видами деятельности» и Указании от 15.04.2015 № 3624-У «О требованиях к системе управления рисками и капиталом кредитной организации и банковской группы», а также требования </w:t>
      </w:r>
      <w:r w:rsidRPr="00341240">
        <w:rPr>
          <w:rFonts w:ascii="Times New Roman" w:hAnsi="Times New Roman"/>
          <w:color w:val="000000"/>
          <w:sz w:val="24"/>
          <w:szCs w:val="24"/>
        </w:rPr>
        <w:t xml:space="preserve">Банка России о необходимости разграничения факторов возникновения правового и регуляторного рисков в деятельности кредитной организации. </w:t>
      </w:r>
    </w:p>
    <w:p w:rsidR="00341240" w:rsidRPr="00341240" w:rsidRDefault="00341240" w:rsidP="00341240">
      <w:pPr>
        <w:tabs>
          <w:tab w:val="num" w:pos="567"/>
          <w:tab w:val="left" w:pos="600"/>
        </w:tabs>
        <w:spacing w:before="120" w:line="240" w:lineRule="auto"/>
        <w:ind w:firstLine="709"/>
        <w:jc w:val="both"/>
        <w:rPr>
          <w:rFonts w:ascii="Times New Roman" w:hAnsi="Times New Roman"/>
          <w:color w:val="000000"/>
          <w:sz w:val="24"/>
        </w:rPr>
      </w:pPr>
      <w:r w:rsidRPr="00341240">
        <w:rPr>
          <w:rFonts w:ascii="Times New Roman" w:hAnsi="Times New Roman"/>
          <w:color w:val="000000"/>
          <w:sz w:val="24"/>
        </w:rPr>
        <w:t>Процесс управления правовым риском предполагает распределение полномочий между различными уровнями органов управления НКЦ, а также структурными подразделениями и работниками Банка. Система полномочий по принятию решений в процессе управления правовым риском и контроля за эффективностью  управления правовым риском включает в себя несколько уровней: первый уровень – Наблюдательный совет НКЦ и Комитет по рискам Наблюдательного совета; второй уровень – Правление НКЦ, Председатель Правления, Служба внутреннего аудита; третий уровень -  Ответственный сотрудник по правовым вопросам, Юридическое управление, Служба внутреннего контроля, Департамент анализа и контроля рисков, Сотрудник, ответственный за управление операционным риском; четвертый уровень – другие подразделения.</w:t>
      </w:r>
    </w:p>
    <w:p w:rsidR="00341240" w:rsidRPr="00341240" w:rsidRDefault="00341240" w:rsidP="00341240">
      <w:pPr>
        <w:tabs>
          <w:tab w:val="num" w:pos="567"/>
          <w:tab w:val="left" w:pos="600"/>
        </w:tabs>
        <w:spacing w:before="120" w:line="240" w:lineRule="auto"/>
        <w:ind w:firstLine="709"/>
        <w:jc w:val="both"/>
        <w:rPr>
          <w:rFonts w:ascii="Times New Roman" w:hAnsi="Times New Roman"/>
          <w:color w:val="000000"/>
          <w:sz w:val="24"/>
        </w:rPr>
      </w:pPr>
      <w:r w:rsidRPr="00341240">
        <w:rPr>
          <w:rFonts w:ascii="Times New Roman" w:hAnsi="Times New Roman"/>
          <w:color w:val="000000"/>
          <w:sz w:val="24"/>
        </w:rPr>
        <w:t xml:space="preserve">В соответствии с внутренним распорядительным документом в Банке назначен Ответственный сотрудник по правовым вопросам, осуществляющий управление правовым риском и организацию работы по минимизации правового риска. Ответственный сотрудник по правовым вопросам находится в непосредственном подчинении Председателя Правления НКЦ и в своей деятельности независим от деятельности юридического управления и подразделений, осуществляющих операции (сделки), связанные с принятием правового риска. </w:t>
      </w:r>
    </w:p>
    <w:p w:rsidR="00341240" w:rsidRPr="00341240" w:rsidRDefault="00341240" w:rsidP="00341240">
      <w:pPr>
        <w:tabs>
          <w:tab w:val="num" w:pos="567"/>
          <w:tab w:val="left" w:pos="600"/>
        </w:tabs>
        <w:spacing w:before="120" w:line="240" w:lineRule="auto"/>
        <w:ind w:firstLine="709"/>
        <w:jc w:val="both"/>
        <w:rPr>
          <w:rFonts w:ascii="Times New Roman" w:hAnsi="Times New Roman"/>
          <w:color w:val="000000"/>
          <w:sz w:val="24"/>
        </w:rPr>
      </w:pPr>
      <w:r w:rsidRPr="00341240">
        <w:rPr>
          <w:rFonts w:ascii="Times New Roman" w:hAnsi="Times New Roman"/>
          <w:color w:val="000000"/>
          <w:sz w:val="24"/>
        </w:rPr>
        <w:t xml:space="preserve">На постоянной основе Ответственным сотрудником по правовым вопросам организуется мониторинг законодательства Российской Федерации, подготавливаются обзоры по изменениям законодательства Российской Федерации, нормативных правовых актов Российской Федерации, судебной практики, а также проектов нормативных правовых актов Российской Федерации, по вопросам, имеющим отношение к деятельности НКЦ. Такие обзоры направляются всем заинтересованным структурным подразделениям НКЦ. Руководители заинтересованных структурных подразделений обеспечивают своевременное внесение изменений во внутренние документы НКЦ, учитывающие изменения законодательства Российской Федерации. </w:t>
      </w:r>
    </w:p>
    <w:p w:rsidR="00341240" w:rsidRPr="00341240" w:rsidRDefault="00341240" w:rsidP="00341240">
      <w:pPr>
        <w:tabs>
          <w:tab w:val="num" w:pos="567"/>
          <w:tab w:val="left" w:pos="600"/>
        </w:tabs>
        <w:spacing w:before="120" w:line="240" w:lineRule="auto"/>
        <w:ind w:firstLine="709"/>
        <w:jc w:val="both"/>
        <w:rPr>
          <w:rFonts w:ascii="Times New Roman" w:hAnsi="Times New Roman"/>
          <w:color w:val="000000"/>
          <w:sz w:val="24"/>
        </w:rPr>
      </w:pPr>
      <w:r w:rsidRPr="00341240">
        <w:rPr>
          <w:rFonts w:ascii="Times New Roman" w:hAnsi="Times New Roman"/>
          <w:color w:val="000000"/>
          <w:sz w:val="24"/>
        </w:rPr>
        <w:t>В соответствии с внутренними документами НКЦ осуществляются сбор и анализ информации о событиях правового риска и мониторинг правового риска. Ответственным сотрудником по правовым вопросам ежеквартально подготавливается и выносится на рассмотрение и утверждение Правления НКЦ отчетность по правовому риску.  Отчетность по правовому риску формируется на основании показателей оценки уровня правового риска, установленных Положением «Об организации управления правовым риском в Банке «Национальный Клиринговый Центр» (Акционерное общество)».</w:t>
      </w:r>
    </w:p>
    <w:p w:rsidR="00341240" w:rsidRPr="00341240" w:rsidRDefault="00341240" w:rsidP="00341240">
      <w:pPr>
        <w:tabs>
          <w:tab w:val="num" w:pos="567"/>
          <w:tab w:val="left" w:pos="600"/>
        </w:tabs>
        <w:spacing w:before="120" w:line="240" w:lineRule="auto"/>
        <w:ind w:firstLine="709"/>
        <w:jc w:val="both"/>
        <w:rPr>
          <w:rFonts w:ascii="Times New Roman" w:hAnsi="Times New Roman"/>
          <w:color w:val="000000"/>
          <w:sz w:val="24"/>
        </w:rPr>
      </w:pPr>
      <w:r w:rsidRPr="00341240">
        <w:rPr>
          <w:rFonts w:ascii="Times New Roman" w:hAnsi="Times New Roman"/>
          <w:color w:val="000000"/>
          <w:sz w:val="24"/>
        </w:rPr>
        <w:t>В целях минимизации правового риска разработаны типовые формы договоров и иных внутренних документов, установлен порядок согласования юридическим управлением заключаемых Банком договоров, проводимых операций и других сделок, отличных от типовых.</w:t>
      </w:r>
    </w:p>
    <w:p w:rsidR="00341240" w:rsidRPr="00341240" w:rsidRDefault="00341240" w:rsidP="00341240">
      <w:pPr>
        <w:tabs>
          <w:tab w:val="num" w:pos="567"/>
          <w:tab w:val="left" w:pos="600"/>
        </w:tabs>
        <w:spacing w:before="120" w:line="240" w:lineRule="auto"/>
        <w:ind w:firstLine="709"/>
        <w:jc w:val="both"/>
        <w:rPr>
          <w:rFonts w:ascii="Times New Roman" w:hAnsi="Times New Roman"/>
          <w:color w:val="000000"/>
          <w:sz w:val="24"/>
        </w:rPr>
      </w:pPr>
      <w:r w:rsidRPr="00341240">
        <w:rPr>
          <w:rFonts w:ascii="Times New Roman" w:hAnsi="Times New Roman"/>
          <w:color w:val="000000"/>
          <w:sz w:val="24"/>
        </w:rPr>
        <w:t>Повышенное внимание уделяется анализу претензий участников клиринга и контрагентов, а также мероприятиям, направленным на предотвращение возникновения ситуаций, способных повлечь за собой применение к НКЦ мер воздействия со стороны органов регулирования и надзора, возникновение к НКЦ судебных исков.</w:t>
      </w:r>
    </w:p>
    <w:p w:rsidR="00341240" w:rsidRPr="00341240" w:rsidRDefault="00341240" w:rsidP="00341240">
      <w:pPr>
        <w:spacing w:before="120" w:after="120"/>
        <w:ind w:right="-2"/>
        <w:contextualSpacing/>
        <w:jc w:val="center"/>
        <w:rPr>
          <w:rFonts w:ascii="Times New Roman" w:eastAsia="Times New Roman" w:hAnsi="Times New Roman" w:cs="Times New Roman"/>
          <w:b/>
          <w:sz w:val="24"/>
          <w:szCs w:val="24"/>
          <w:highlight w:val="lightGray"/>
          <w:lang w:eastAsia="ru-RU"/>
        </w:rPr>
      </w:pPr>
    </w:p>
    <w:p w:rsidR="00341240" w:rsidRPr="00341240" w:rsidRDefault="00341240" w:rsidP="00341240">
      <w:pPr>
        <w:spacing w:before="120" w:after="120"/>
        <w:ind w:right="-2"/>
        <w:contextualSpacing/>
        <w:jc w:val="center"/>
        <w:rPr>
          <w:rFonts w:ascii="Times New Roman" w:eastAsia="Times New Roman" w:hAnsi="Times New Roman" w:cs="Times New Roman"/>
          <w:b/>
          <w:i/>
          <w:sz w:val="24"/>
          <w:szCs w:val="24"/>
          <w:lang w:eastAsia="ru-RU"/>
        </w:rPr>
      </w:pPr>
      <w:r w:rsidRPr="00341240">
        <w:rPr>
          <w:rFonts w:ascii="Times New Roman" w:eastAsia="Times New Roman" w:hAnsi="Times New Roman" w:cs="Times New Roman"/>
          <w:b/>
          <w:i/>
          <w:sz w:val="24"/>
          <w:szCs w:val="24"/>
          <w:lang w:eastAsia="ru-RU"/>
        </w:rPr>
        <w:t>Управление риском потери деловой репутации</w:t>
      </w:r>
    </w:p>
    <w:p w:rsidR="00341240" w:rsidRPr="00341240" w:rsidRDefault="00341240" w:rsidP="00341240">
      <w:pPr>
        <w:spacing w:before="120" w:after="120"/>
        <w:ind w:right="-2"/>
        <w:contextualSpacing/>
        <w:jc w:val="center"/>
        <w:rPr>
          <w:rFonts w:ascii="Times New Roman" w:eastAsia="Times New Roman" w:hAnsi="Times New Roman" w:cs="Times New Roman"/>
          <w:b/>
          <w:i/>
          <w:sz w:val="24"/>
          <w:szCs w:val="24"/>
          <w:lang w:eastAsia="ru-RU"/>
        </w:rPr>
      </w:pPr>
    </w:p>
    <w:p w:rsidR="00341240" w:rsidRPr="00341240" w:rsidRDefault="00341240" w:rsidP="00341240">
      <w:pPr>
        <w:spacing w:after="0" w:line="240" w:lineRule="auto"/>
        <w:ind w:firstLine="709"/>
        <w:jc w:val="both"/>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В 2015 году НКЦ осуществлял деятельность по управлению р</w:t>
      </w:r>
      <w:r w:rsidRPr="00341240">
        <w:rPr>
          <w:rFonts w:ascii="Times New Roman" w:eastAsia="Calibri" w:hAnsi="Times New Roman" w:cs="Times New Roman"/>
          <w:color w:val="000000"/>
          <w:sz w:val="24"/>
          <w:szCs w:val="24"/>
        </w:rPr>
        <w:t>иском потери деловой репутации (далее – РПДР), руководствуясь утвержденным Наблюдательным советом  п</w:t>
      </w:r>
      <w:r w:rsidRPr="00341240">
        <w:rPr>
          <w:rFonts w:ascii="Times New Roman" w:eastAsia="Times New Roman" w:hAnsi="Times New Roman" w:cs="Times New Roman"/>
          <w:sz w:val="24"/>
          <w:szCs w:val="24"/>
          <w:lang w:eastAsia="ru-RU"/>
        </w:rPr>
        <w:t>оложением об организации управления этим видом риска,  разработанным в соответствии с Положением Банка России от  16 декабря 2003 года N 242-П «Об организации  внутреннего контроля в кредитных организациях и банковских группах» и письмом Банка России от 30 июня 2005г. № 92-Т «Об организации управления правовым риском и риском потери деловой репутации в кредитных организациях и банковских группах».</w:t>
      </w:r>
    </w:p>
    <w:p w:rsidR="00341240" w:rsidRPr="00341240" w:rsidRDefault="00341240" w:rsidP="00341240">
      <w:pPr>
        <w:autoSpaceDE w:val="0"/>
        <w:autoSpaceDN w:val="0"/>
        <w:adjustRightInd w:val="0"/>
        <w:spacing w:after="0" w:line="240" w:lineRule="auto"/>
        <w:jc w:val="both"/>
        <w:outlineLvl w:val="1"/>
        <w:rPr>
          <w:rFonts w:ascii="Times New Roman" w:hAnsi="Times New Roman" w:cs="Times New Roman"/>
          <w:bCs/>
          <w:sz w:val="24"/>
          <w:szCs w:val="24"/>
        </w:rPr>
      </w:pPr>
      <w:r w:rsidRPr="00341240">
        <w:rPr>
          <w:rFonts w:ascii="Times New Roman" w:eastAsia="Calibri" w:hAnsi="Times New Roman" w:cs="Times New Roman"/>
          <w:color w:val="000000"/>
          <w:sz w:val="24"/>
          <w:szCs w:val="24"/>
        </w:rPr>
        <w:t xml:space="preserve">      Риск потери деловой репутации – </w:t>
      </w:r>
      <w:r w:rsidRPr="00341240">
        <w:rPr>
          <w:rFonts w:ascii="Times New Roman" w:eastAsia="Times New Roman" w:hAnsi="Times New Roman" w:cs="Times New Roman"/>
          <w:sz w:val="24"/>
          <w:szCs w:val="24"/>
        </w:rPr>
        <w:t>это риск возникновения у Банка убытков вследствие негативного влияния на деловую репутацию внешних и внутренних факторов, перечень которых определен в упомянутом выше письме Банка России.  В соответствии с а</w:t>
      </w:r>
      <w:r w:rsidRPr="00341240">
        <w:rPr>
          <w:rFonts w:ascii="Times New Roman" w:hAnsi="Times New Roman" w:cs="Times New Roman"/>
          <w:bCs/>
          <w:sz w:val="24"/>
          <w:szCs w:val="24"/>
        </w:rPr>
        <w:t>даптированной под бизнес-процессы НКЦ  классификацией все факторы РПДР  разбиты на четыре вида:</w:t>
      </w:r>
    </w:p>
    <w:p w:rsidR="00341240" w:rsidRPr="00341240" w:rsidRDefault="00341240" w:rsidP="00341240">
      <w:pPr>
        <w:spacing w:after="0" w:line="240" w:lineRule="auto"/>
        <w:ind w:firstLine="284"/>
        <w:jc w:val="both"/>
        <w:rPr>
          <w:rFonts w:ascii="Times New Roman" w:eastAsia="Times New Roman" w:hAnsi="Times New Roman" w:cs="Times New Roman"/>
          <w:sz w:val="24"/>
          <w:szCs w:val="24"/>
        </w:rPr>
      </w:pPr>
    </w:p>
    <w:p w:rsidR="00341240" w:rsidRPr="00341240" w:rsidRDefault="00341240" w:rsidP="00AB0ACF">
      <w:pPr>
        <w:numPr>
          <w:ilvl w:val="0"/>
          <w:numId w:val="74"/>
        </w:numPr>
        <w:autoSpaceDE w:val="0"/>
        <w:autoSpaceDN w:val="0"/>
        <w:adjustRightInd w:val="0"/>
        <w:spacing w:after="0" w:line="240" w:lineRule="auto"/>
        <w:contextualSpacing/>
        <w:jc w:val="both"/>
        <w:outlineLvl w:val="1"/>
        <w:rPr>
          <w:rFonts w:ascii="Times New Roman" w:eastAsia="Calibri" w:hAnsi="Times New Roman" w:cs="Times New Roman"/>
          <w:bCs/>
          <w:sz w:val="24"/>
          <w:szCs w:val="24"/>
        </w:rPr>
      </w:pPr>
      <w:r w:rsidRPr="00341240">
        <w:rPr>
          <w:rFonts w:ascii="Times New Roman" w:eastAsia="Calibri" w:hAnsi="Times New Roman" w:cs="Times New Roman"/>
          <w:bCs/>
          <w:sz w:val="24"/>
          <w:szCs w:val="24"/>
        </w:rPr>
        <w:t>несоблюдение федеральных законов, нормативных правовых актов, стандартов деятельности, нормативов и предписаний регулятора, а также нарушение договорных обязательств;</w:t>
      </w:r>
    </w:p>
    <w:p w:rsidR="00341240" w:rsidRPr="00341240" w:rsidRDefault="00341240" w:rsidP="00AB0ACF">
      <w:pPr>
        <w:numPr>
          <w:ilvl w:val="0"/>
          <w:numId w:val="74"/>
        </w:numPr>
        <w:autoSpaceDE w:val="0"/>
        <w:autoSpaceDN w:val="0"/>
        <w:adjustRightInd w:val="0"/>
        <w:spacing w:after="0" w:line="240" w:lineRule="auto"/>
        <w:contextualSpacing/>
        <w:jc w:val="both"/>
        <w:outlineLvl w:val="1"/>
        <w:rPr>
          <w:rFonts w:ascii="Times New Roman" w:eastAsia="Calibri" w:hAnsi="Times New Roman" w:cs="Times New Roman"/>
          <w:bCs/>
          <w:sz w:val="24"/>
          <w:szCs w:val="24"/>
        </w:rPr>
      </w:pPr>
      <w:r w:rsidRPr="00341240">
        <w:rPr>
          <w:rFonts w:ascii="Times New Roman" w:eastAsia="Calibri" w:hAnsi="Times New Roman" w:cs="Times New Roman"/>
          <w:bCs/>
          <w:sz w:val="24"/>
          <w:szCs w:val="24"/>
        </w:rPr>
        <w:t>сбой в работе IT-систем;</w:t>
      </w:r>
    </w:p>
    <w:p w:rsidR="00341240" w:rsidRPr="00341240" w:rsidRDefault="00341240" w:rsidP="00AB0ACF">
      <w:pPr>
        <w:numPr>
          <w:ilvl w:val="0"/>
          <w:numId w:val="74"/>
        </w:numPr>
        <w:autoSpaceDE w:val="0"/>
        <w:autoSpaceDN w:val="0"/>
        <w:adjustRightInd w:val="0"/>
        <w:spacing w:after="0" w:line="240" w:lineRule="auto"/>
        <w:contextualSpacing/>
        <w:jc w:val="both"/>
        <w:outlineLvl w:val="1"/>
        <w:rPr>
          <w:rFonts w:ascii="Times New Roman" w:eastAsia="Calibri" w:hAnsi="Times New Roman" w:cs="Times New Roman"/>
          <w:bCs/>
          <w:sz w:val="24"/>
          <w:szCs w:val="24"/>
        </w:rPr>
      </w:pPr>
      <w:r w:rsidRPr="00341240">
        <w:rPr>
          <w:rFonts w:ascii="Times New Roman" w:eastAsia="Calibri" w:hAnsi="Times New Roman" w:cs="Times New Roman"/>
          <w:bCs/>
          <w:sz w:val="24"/>
          <w:szCs w:val="24"/>
        </w:rPr>
        <w:t>ошибочные действия сотрудников;</w:t>
      </w:r>
    </w:p>
    <w:p w:rsidR="00341240" w:rsidRPr="00341240" w:rsidRDefault="00341240" w:rsidP="00AB0ACF">
      <w:pPr>
        <w:numPr>
          <w:ilvl w:val="0"/>
          <w:numId w:val="74"/>
        </w:numPr>
        <w:autoSpaceDE w:val="0"/>
        <w:autoSpaceDN w:val="0"/>
        <w:adjustRightInd w:val="0"/>
        <w:spacing w:after="0" w:line="240" w:lineRule="auto"/>
        <w:contextualSpacing/>
        <w:jc w:val="both"/>
        <w:outlineLvl w:val="1"/>
        <w:rPr>
          <w:rFonts w:ascii="Times New Roman" w:eastAsia="Calibri" w:hAnsi="Times New Roman" w:cs="Times New Roman"/>
          <w:bCs/>
          <w:sz w:val="24"/>
          <w:szCs w:val="24"/>
        </w:rPr>
      </w:pPr>
      <w:r w:rsidRPr="00341240">
        <w:rPr>
          <w:rFonts w:ascii="Times New Roman" w:eastAsia="Calibri" w:hAnsi="Times New Roman" w:cs="Times New Roman"/>
          <w:bCs/>
          <w:sz w:val="24"/>
          <w:szCs w:val="24"/>
        </w:rPr>
        <w:t>негативная информация во внешней среде.</w:t>
      </w:r>
    </w:p>
    <w:p w:rsidR="00341240" w:rsidRPr="00341240" w:rsidRDefault="00341240" w:rsidP="00341240">
      <w:pPr>
        <w:spacing w:after="0" w:line="240" w:lineRule="auto"/>
        <w:ind w:firstLine="709"/>
        <w:jc w:val="both"/>
        <w:rPr>
          <w:rFonts w:ascii="Times New Roman" w:eastAsia="Times New Roman" w:hAnsi="Times New Roman" w:cs="Times New Roman"/>
          <w:sz w:val="24"/>
          <w:szCs w:val="24"/>
          <w:lang w:eastAsia="ru-RU"/>
        </w:rPr>
      </w:pPr>
    </w:p>
    <w:p w:rsidR="00341240" w:rsidRPr="00341240" w:rsidRDefault="00341240" w:rsidP="00341240">
      <w:pPr>
        <w:spacing w:line="240" w:lineRule="atLeast"/>
        <w:jc w:val="both"/>
        <w:outlineLvl w:val="0"/>
        <w:rPr>
          <w:rFonts w:ascii="Times New Roman" w:hAnsi="Times New Roman" w:cs="Times New Roman"/>
          <w:sz w:val="24"/>
          <w:szCs w:val="24"/>
        </w:rPr>
      </w:pPr>
      <w:r w:rsidRPr="00341240">
        <w:rPr>
          <w:rFonts w:ascii="Times New Roman" w:eastAsia="Times New Roman" w:hAnsi="Times New Roman" w:cs="Times New Roman"/>
          <w:color w:val="000000"/>
          <w:kern w:val="36"/>
          <w:sz w:val="24"/>
          <w:szCs w:val="24"/>
          <w:lang w:eastAsia="ru-RU"/>
        </w:rPr>
        <w:t xml:space="preserve">      В отчетный период управление РПДР осуществлялось на основе  системы информационно-аналитического обеспечения процесса управления этим видом риска, центральное место в которой играет разработанная методика и рубрикатор идентификации  происходивших событий в деятельности НКЦ, как событий репутационного  риска  и  расчета  его  уровня.  В соответствии с методикой, утвержденной Правлением Банка в 2015 году, д</w:t>
      </w:r>
      <w:r w:rsidRPr="00341240">
        <w:rPr>
          <w:rFonts w:ascii="Times New Roman" w:hAnsi="Times New Roman" w:cs="Times New Roman"/>
          <w:sz w:val="24"/>
          <w:szCs w:val="24"/>
        </w:rPr>
        <w:t>ля оценки динамики изменения  РПДР создана шкала, приведенная ниже, в которой диапазоны уровней представляют собой максимально функциональную форму градации с делением на шесть уровней по мере возрастания репутационной угрозы:</w:t>
      </w:r>
    </w:p>
    <w:p w:rsidR="00341240" w:rsidRPr="00341240" w:rsidRDefault="00341240" w:rsidP="00AB0ACF">
      <w:pPr>
        <w:numPr>
          <w:ilvl w:val="0"/>
          <w:numId w:val="75"/>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341240">
        <w:rPr>
          <w:rFonts w:ascii="Times New Roman" w:eastAsia="Calibri" w:hAnsi="Times New Roman" w:cs="Times New Roman"/>
          <w:bCs/>
          <w:sz w:val="24"/>
          <w:szCs w:val="24"/>
        </w:rPr>
        <w:t xml:space="preserve">низкий приемлемый от 0 до 50 баллов; </w:t>
      </w:r>
    </w:p>
    <w:p w:rsidR="00341240" w:rsidRPr="00341240" w:rsidRDefault="00341240" w:rsidP="00AB0ACF">
      <w:pPr>
        <w:numPr>
          <w:ilvl w:val="0"/>
          <w:numId w:val="75"/>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341240">
        <w:rPr>
          <w:rFonts w:ascii="Times New Roman" w:eastAsia="Calibri" w:hAnsi="Times New Roman" w:cs="Times New Roman"/>
          <w:bCs/>
          <w:sz w:val="24"/>
          <w:szCs w:val="24"/>
        </w:rPr>
        <w:t xml:space="preserve">средний приемлемый от 51 до 150 баллов; </w:t>
      </w:r>
    </w:p>
    <w:p w:rsidR="00341240" w:rsidRPr="00341240" w:rsidRDefault="00341240" w:rsidP="00AB0ACF">
      <w:pPr>
        <w:numPr>
          <w:ilvl w:val="0"/>
          <w:numId w:val="75"/>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341240">
        <w:rPr>
          <w:rFonts w:ascii="Times New Roman" w:eastAsia="Calibri" w:hAnsi="Times New Roman" w:cs="Times New Roman"/>
          <w:bCs/>
          <w:sz w:val="24"/>
          <w:szCs w:val="24"/>
        </w:rPr>
        <w:t xml:space="preserve">высокий приемлемый от 151 до 300 баллов; </w:t>
      </w:r>
    </w:p>
    <w:p w:rsidR="00341240" w:rsidRPr="00341240" w:rsidRDefault="00341240" w:rsidP="00AB0ACF">
      <w:pPr>
        <w:numPr>
          <w:ilvl w:val="0"/>
          <w:numId w:val="75"/>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341240">
        <w:rPr>
          <w:rFonts w:ascii="Times New Roman" w:eastAsia="Calibri" w:hAnsi="Times New Roman" w:cs="Times New Roman"/>
          <w:bCs/>
          <w:sz w:val="24"/>
          <w:szCs w:val="24"/>
        </w:rPr>
        <w:t>низкий неприемлемый от 301 до 500 баллов;</w:t>
      </w:r>
    </w:p>
    <w:p w:rsidR="00341240" w:rsidRPr="00341240" w:rsidRDefault="00341240" w:rsidP="00AB0ACF">
      <w:pPr>
        <w:numPr>
          <w:ilvl w:val="0"/>
          <w:numId w:val="75"/>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341240">
        <w:rPr>
          <w:rFonts w:ascii="Times New Roman" w:eastAsia="Calibri" w:hAnsi="Times New Roman" w:cs="Times New Roman"/>
          <w:bCs/>
          <w:sz w:val="24"/>
          <w:szCs w:val="24"/>
        </w:rPr>
        <w:t xml:space="preserve">средний неприемлемый от 501 до 700 баллов; </w:t>
      </w:r>
    </w:p>
    <w:p w:rsidR="00341240" w:rsidRPr="00341240" w:rsidRDefault="00341240" w:rsidP="00AB0ACF">
      <w:pPr>
        <w:numPr>
          <w:ilvl w:val="0"/>
          <w:numId w:val="75"/>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341240">
        <w:rPr>
          <w:rFonts w:ascii="Times New Roman" w:eastAsia="Calibri" w:hAnsi="Times New Roman" w:cs="Times New Roman"/>
          <w:bCs/>
          <w:sz w:val="24"/>
          <w:szCs w:val="24"/>
        </w:rPr>
        <w:t xml:space="preserve">высокий неприемлемый от 701 до 1000 баллов. </w:t>
      </w:r>
    </w:p>
    <w:p w:rsidR="00341240" w:rsidRPr="00341240" w:rsidRDefault="00341240" w:rsidP="00341240">
      <w:pPr>
        <w:autoSpaceDE w:val="0"/>
        <w:autoSpaceDN w:val="0"/>
        <w:adjustRightInd w:val="0"/>
        <w:spacing w:after="0" w:line="240" w:lineRule="auto"/>
        <w:ind w:left="720"/>
        <w:contextualSpacing/>
        <w:jc w:val="both"/>
        <w:rPr>
          <w:rFonts w:ascii="Times New Roman" w:eastAsia="Calibri" w:hAnsi="Times New Roman" w:cs="Times New Roman"/>
          <w:bCs/>
          <w:sz w:val="24"/>
          <w:szCs w:val="24"/>
        </w:rPr>
      </w:pPr>
    </w:p>
    <w:p w:rsidR="00341240" w:rsidRPr="00341240" w:rsidRDefault="00341240" w:rsidP="00341240">
      <w:pPr>
        <w:spacing w:line="240" w:lineRule="atLeast"/>
        <w:jc w:val="both"/>
        <w:outlineLvl w:val="0"/>
        <w:rPr>
          <w:rFonts w:ascii="Times New Roman" w:eastAsia="Times New Roman" w:hAnsi="Times New Roman" w:cs="Times New Roman"/>
          <w:color w:val="000000"/>
          <w:kern w:val="36"/>
          <w:sz w:val="24"/>
          <w:szCs w:val="24"/>
          <w:lang w:eastAsia="ru-RU"/>
        </w:rPr>
      </w:pPr>
    </w:p>
    <w:p w:rsidR="00341240" w:rsidRPr="00341240" w:rsidRDefault="00341240" w:rsidP="00341240">
      <w:pPr>
        <w:autoSpaceDE w:val="0"/>
        <w:autoSpaceDN w:val="0"/>
        <w:adjustRightInd w:val="0"/>
        <w:spacing w:after="0" w:line="240" w:lineRule="auto"/>
        <w:jc w:val="both"/>
        <w:rPr>
          <w:rFonts w:ascii="Times New Roman" w:hAnsi="Times New Roman" w:cs="Times New Roman"/>
          <w:bCs/>
          <w:sz w:val="24"/>
          <w:szCs w:val="24"/>
        </w:rPr>
      </w:pPr>
      <w:r w:rsidRPr="00341240">
        <w:rPr>
          <w:rFonts w:ascii="Times New Roman" w:hAnsi="Times New Roman" w:cs="Times New Roman"/>
          <w:bCs/>
          <w:noProof/>
          <w:sz w:val="24"/>
          <w:szCs w:val="24"/>
          <w:lang w:eastAsia="ru-RU"/>
        </w:rPr>
        <w:drawing>
          <wp:inline distT="0" distB="0" distL="0" distR="0" wp14:anchorId="4ED81C11" wp14:editId="53B98820">
            <wp:extent cx="5019114" cy="3132747"/>
            <wp:effectExtent l="19050" t="0" r="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l="27756" t="29623" r="15639" b="26215"/>
                    <a:stretch>
                      <a:fillRect/>
                    </a:stretch>
                  </pic:blipFill>
                  <pic:spPr bwMode="auto">
                    <a:xfrm>
                      <a:off x="0" y="0"/>
                      <a:ext cx="5023814" cy="3135681"/>
                    </a:xfrm>
                    <a:prstGeom prst="rect">
                      <a:avLst/>
                    </a:prstGeom>
                    <a:noFill/>
                    <a:ln w="9525">
                      <a:noFill/>
                      <a:miter lim="800000"/>
                      <a:headEnd/>
                      <a:tailEnd/>
                    </a:ln>
                  </pic:spPr>
                </pic:pic>
              </a:graphicData>
            </a:graphic>
          </wp:inline>
        </w:drawing>
      </w:r>
    </w:p>
    <w:p w:rsidR="00341240" w:rsidRPr="00341240" w:rsidRDefault="00341240" w:rsidP="00341240">
      <w:pPr>
        <w:spacing w:line="240" w:lineRule="atLeast"/>
        <w:jc w:val="both"/>
        <w:outlineLvl w:val="0"/>
        <w:rPr>
          <w:rFonts w:ascii="Times New Roman" w:eastAsia="Times New Roman" w:hAnsi="Times New Roman" w:cs="Times New Roman"/>
          <w:vanish/>
          <w:color w:val="000000"/>
          <w:kern w:val="36"/>
          <w:sz w:val="24"/>
          <w:szCs w:val="24"/>
          <w:lang w:eastAsia="ru-RU"/>
        </w:rPr>
      </w:pPr>
      <w:r w:rsidRPr="00341240">
        <w:rPr>
          <w:rFonts w:ascii="Times New Roman" w:eastAsia="Times New Roman" w:hAnsi="Times New Roman" w:cs="Times New Roman"/>
          <w:color w:val="000000"/>
          <w:kern w:val="36"/>
          <w:sz w:val="24"/>
          <w:szCs w:val="24"/>
          <w:lang w:eastAsia="ru-RU"/>
        </w:rPr>
        <w:t xml:space="preserve">       В 2015 году в процессе управления РПДР  основное внимание сосредотачивалось на мониторинге всей поступающей информации о деятельности Банка с целью выявления  событий риска, их анализа и оценки с точки зрения воздействия на  уровень РПДР и принятия, в случае необходимости, мер по предотвращению/снижению влияния возникающих событий на деловую репутацию организации.  </w:t>
      </w:r>
      <w:r w:rsidRPr="00341240">
        <w:rPr>
          <w:rFonts w:ascii="Times New Roman" w:eastAsia="Calibri" w:hAnsi="Times New Roman" w:cs="Times New Roman"/>
          <w:color w:val="000000"/>
          <w:sz w:val="24"/>
          <w:szCs w:val="24"/>
        </w:rPr>
        <w:t xml:space="preserve">Основным источником возникновения событий РПДР  в отчетном году являлись события операционного риска, особенно, когда  эти события вызывали негативную реакцию во внешней среде.  </w:t>
      </w:r>
      <w:r w:rsidRPr="00341240">
        <w:rPr>
          <w:rFonts w:ascii="Times New Roman" w:eastAsia="Times New Roman" w:hAnsi="Times New Roman" w:cs="Times New Roman"/>
          <w:color w:val="000000"/>
          <w:kern w:val="36"/>
          <w:sz w:val="24"/>
          <w:szCs w:val="24"/>
          <w:lang w:eastAsia="ru-RU"/>
        </w:rPr>
        <w:t xml:space="preserve">В целом, как показывает анализ мониторинга событий РПДР, их идентификации и оценки,   динамика изменения  уровня этого вида риска за отчетный период сохранялась в пределах показателей шкалы «приемлемый уровень». НКЦ ежеквартально отчитывался перед ДФС Банка России о результатах управления РПДР и о выполнении рекомендаций регулятора на этом направлении деятельности Банка.   </w:t>
      </w:r>
      <w:r w:rsidRPr="00341240">
        <w:rPr>
          <w:rFonts w:ascii="Times New Roman" w:eastAsia="Times New Roman" w:hAnsi="Times New Roman" w:cs="Times New Roman"/>
          <w:vanish/>
          <w:color w:val="000000"/>
          <w:kern w:val="36"/>
          <w:sz w:val="24"/>
          <w:szCs w:val="24"/>
          <w:lang w:eastAsia="ru-RU"/>
        </w:rPr>
        <w:t>оссии</w:t>
      </w:r>
    </w:p>
    <w:p w:rsidR="00341240" w:rsidRPr="00341240" w:rsidRDefault="00341240" w:rsidP="00341240">
      <w:pPr>
        <w:spacing w:line="240" w:lineRule="atLeast"/>
        <w:jc w:val="both"/>
        <w:outlineLvl w:val="0"/>
        <w:rPr>
          <w:rFonts w:ascii="Times New Roman" w:eastAsia="Times New Roman" w:hAnsi="Times New Roman" w:cs="Times New Roman"/>
          <w:color w:val="000000"/>
          <w:kern w:val="36"/>
          <w:sz w:val="24"/>
          <w:szCs w:val="24"/>
          <w:lang w:eastAsia="ru-RU"/>
        </w:rPr>
      </w:pPr>
      <w:r w:rsidRPr="00341240">
        <w:rPr>
          <w:rFonts w:ascii="Times New Roman" w:eastAsia="Times New Roman" w:hAnsi="Times New Roman" w:cs="Times New Roman"/>
          <w:color w:val="000000"/>
          <w:kern w:val="36"/>
          <w:sz w:val="24"/>
          <w:szCs w:val="24"/>
          <w:lang w:eastAsia="ru-RU"/>
        </w:rPr>
        <w:t xml:space="preserve">      </w:t>
      </w:r>
    </w:p>
    <w:p w:rsidR="00341240" w:rsidRPr="00341240" w:rsidRDefault="00341240" w:rsidP="00341240">
      <w:pPr>
        <w:spacing w:line="240" w:lineRule="atLeast"/>
        <w:jc w:val="both"/>
        <w:outlineLvl w:val="0"/>
        <w:rPr>
          <w:rFonts w:ascii="Times New Roman" w:eastAsia="Calibri" w:hAnsi="Times New Roman" w:cs="Times New Roman"/>
          <w:color w:val="000000"/>
          <w:sz w:val="24"/>
          <w:szCs w:val="24"/>
        </w:rPr>
      </w:pPr>
      <w:r w:rsidRPr="00341240">
        <w:rPr>
          <w:rFonts w:ascii="Times New Roman" w:eastAsia="Calibri" w:hAnsi="Times New Roman" w:cs="Times New Roman"/>
          <w:color w:val="000000"/>
          <w:sz w:val="24"/>
          <w:szCs w:val="24"/>
        </w:rPr>
        <w:t xml:space="preserve">      Во второй половине 2015 года НКЦ была проведена подготовка к реализации завершающей стадии создания автоматизированной системы информационно-аналитического обеспечения управления РПДР, которая должна обеспечить оперативность выявления репутационных угроз и реагирования на них с целью предотвращения/минимизации возможного ущерба кредитной организации. Данный процесс планируется автоматизировать в 2016 году.</w:t>
      </w:r>
    </w:p>
    <w:p w:rsidR="00341240" w:rsidRPr="00341240" w:rsidRDefault="00341240" w:rsidP="00341240">
      <w:pPr>
        <w:spacing w:after="0" w:line="240" w:lineRule="auto"/>
        <w:ind w:firstLine="709"/>
        <w:jc w:val="both"/>
        <w:rPr>
          <w:rFonts w:ascii="Times New Roman" w:eastAsia="Times New Roman" w:hAnsi="Times New Roman" w:cs="Times New Roman"/>
          <w:sz w:val="24"/>
          <w:szCs w:val="24"/>
          <w:lang w:eastAsia="ru-RU"/>
        </w:rPr>
      </w:pPr>
    </w:p>
    <w:p w:rsidR="00341240" w:rsidRPr="00341240" w:rsidRDefault="00341240" w:rsidP="00341240">
      <w:pPr>
        <w:tabs>
          <w:tab w:val="num" w:pos="567"/>
          <w:tab w:val="left" w:pos="600"/>
        </w:tabs>
        <w:spacing w:before="120" w:after="120"/>
        <w:ind w:firstLine="709"/>
        <w:contextualSpacing/>
        <w:jc w:val="center"/>
        <w:rPr>
          <w:rFonts w:ascii="Times New Roman" w:eastAsia="Calibri" w:hAnsi="Times New Roman" w:cs="Times New Roman"/>
          <w:b/>
          <w:i/>
          <w:color w:val="000000"/>
          <w:sz w:val="24"/>
        </w:rPr>
      </w:pPr>
      <w:r w:rsidRPr="00341240">
        <w:rPr>
          <w:rFonts w:ascii="Times New Roman" w:eastAsia="Calibri" w:hAnsi="Times New Roman" w:cs="Times New Roman"/>
          <w:b/>
          <w:i/>
          <w:color w:val="000000"/>
          <w:sz w:val="24"/>
        </w:rPr>
        <w:t>Управление регуляторным (комплаенс) риском</w:t>
      </w:r>
    </w:p>
    <w:p w:rsidR="00341240" w:rsidRPr="00341240" w:rsidRDefault="00341240" w:rsidP="00341240">
      <w:pPr>
        <w:tabs>
          <w:tab w:val="num" w:pos="567"/>
          <w:tab w:val="left" w:pos="600"/>
        </w:tabs>
        <w:spacing w:before="120" w:after="120"/>
        <w:ind w:firstLine="709"/>
        <w:contextualSpacing/>
        <w:jc w:val="center"/>
        <w:rPr>
          <w:rFonts w:ascii="Times New Roman" w:eastAsia="Calibri" w:hAnsi="Times New Roman" w:cs="Times New Roman"/>
          <w:b/>
          <w:i/>
          <w:color w:val="000000"/>
          <w:sz w:val="24"/>
        </w:rPr>
      </w:pPr>
    </w:p>
    <w:p w:rsidR="00341240" w:rsidRPr="00341240" w:rsidRDefault="00341240" w:rsidP="00341240">
      <w:pPr>
        <w:tabs>
          <w:tab w:val="num" w:pos="567"/>
          <w:tab w:val="left" w:pos="600"/>
        </w:tabs>
        <w:spacing w:before="120" w:after="120" w:line="240" w:lineRule="auto"/>
        <w:ind w:firstLine="709"/>
        <w:contextualSpacing/>
        <w:jc w:val="both"/>
        <w:rPr>
          <w:rFonts w:ascii="Times New Roman" w:eastAsia="Calibri" w:hAnsi="Times New Roman" w:cs="Times New Roman"/>
          <w:i/>
          <w:color w:val="000000"/>
          <w:sz w:val="24"/>
          <w:szCs w:val="24"/>
        </w:rPr>
      </w:pPr>
    </w:p>
    <w:p w:rsidR="00341240" w:rsidRPr="00341240" w:rsidRDefault="00341240" w:rsidP="00341240">
      <w:pPr>
        <w:tabs>
          <w:tab w:val="num" w:pos="567"/>
          <w:tab w:val="left" w:pos="600"/>
        </w:tabs>
        <w:spacing w:before="120" w:after="120" w:line="240" w:lineRule="auto"/>
        <w:ind w:firstLine="709"/>
        <w:contextualSpacing/>
        <w:jc w:val="both"/>
        <w:rPr>
          <w:rFonts w:ascii="Times New Roman" w:eastAsia="Calibri" w:hAnsi="Times New Roman" w:cs="Times New Roman"/>
          <w:color w:val="000000"/>
          <w:sz w:val="24"/>
          <w:szCs w:val="24"/>
        </w:rPr>
      </w:pPr>
      <w:r w:rsidRPr="00341240">
        <w:rPr>
          <w:rFonts w:ascii="Times New Roman" w:eastAsia="Calibri" w:hAnsi="Times New Roman" w:cs="Times New Roman"/>
          <w:color w:val="000000"/>
          <w:sz w:val="24"/>
          <w:szCs w:val="24"/>
        </w:rPr>
        <w:t>Регуляторный (комплаенс) риск – это риск убытков, возникающих в результате несоответствия деятельности НКЦ законодательству, Уставу и внутренним нормативным актам.</w:t>
      </w:r>
    </w:p>
    <w:p w:rsidR="00341240" w:rsidRPr="00341240" w:rsidRDefault="00341240" w:rsidP="00341240">
      <w:pPr>
        <w:tabs>
          <w:tab w:val="num" w:pos="567"/>
          <w:tab w:val="left" w:pos="600"/>
        </w:tabs>
        <w:spacing w:before="120" w:after="120"/>
        <w:ind w:firstLine="709"/>
        <w:contextualSpacing/>
        <w:jc w:val="both"/>
        <w:rPr>
          <w:rFonts w:ascii="Times New Roman" w:eastAsia="Calibri" w:hAnsi="Times New Roman" w:cs="Times New Roman"/>
          <w:color w:val="000000"/>
          <w:sz w:val="24"/>
          <w:szCs w:val="24"/>
        </w:rPr>
      </w:pPr>
      <w:r w:rsidRPr="00341240">
        <w:rPr>
          <w:rFonts w:ascii="Times New Roman" w:eastAsia="Calibri" w:hAnsi="Times New Roman" w:cs="Times New Roman"/>
          <w:color w:val="000000"/>
          <w:sz w:val="24"/>
          <w:szCs w:val="24"/>
        </w:rPr>
        <w:t>Специфика проявления регуляторного риска применительно к деятельности НКЦ в качестве клиринговой организации, центрального контрагента и оператора товарных поставок заключается в возможности возникновения расходов (убытков) НКЦ в результате несоответствия Банка, а также осуществляемой им деятельности требованиям Федерального закона от 07.02.2011 № 7-ФЗ «О клиринге и клиринговой деятельности и центральном контрагенте», федеральных законов, нормативных актов в сфере финансовых рынков, Устава и внутренних документов НКЦ, связанных с перечисленными выше видами его деятельности.</w:t>
      </w:r>
    </w:p>
    <w:p w:rsidR="00341240" w:rsidRPr="00341240" w:rsidRDefault="00341240" w:rsidP="00341240">
      <w:pPr>
        <w:tabs>
          <w:tab w:val="num" w:pos="567"/>
          <w:tab w:val="left" w:pos="600"/>
        </w:tabs>
        <w:spacing w:before="120" w:after="120" w:line="240" w:lineRule="auto"/>
        <w:contextualSpacing/>
        <w:jc w:val="both"/>
        <w:rPr>
          <w:rFonts w:ascii="Times New Roman" w:eastAsia="Calibri" w:hAnsi="Times New Roman" w:cs="Times New Roman"/>
          <w:color w:val="000000"/>
          <w:sz w:val="24"/>
          <w:szCs w:val="24"/>
        </w:rPr>
      </w:pPr>
      <w:r w:rsidRPr="00341240">
        <w:rPr>
          <w:rFonts w:ascii="Times New Roman" w:eastAsia="Calibri" w:hAnsi="Times New Roman" w:cs="Times New Roman"/>
          <w:color w:val="000000"/>
          <w:sz w:val="24"/>
          <w:szCs w:val="24"/>
        </w:rPr>
        <w:tab/>
        <w:t xml:space="preserve">В конце 2015 года </w:t>
      </w:r>
      <w:r w:rsidRPr="00341240">
        <w:rPr>
          <w:rFonts w:ascii="Times New Roman" w:eastAsia="Calibri" w:hAnsi="Times New Roman" w:cs="Times New Roman"/>
          <w:color w:val="FF0000"/>
          <w:sz w:val="24"/>
          <w:szCs w:val="24"/>
        </w:rPr>
        <w:t xml:space="preserve"> </w:t>
      </w:r>
      <w:r w:rsidRPr="00341240">
        <w:rPr>
          <w:rFonts w:ascii="Times New Roman" w:eastAsia="Calibri" w:hAnsi="Times New Roman" w:cs="Times New Roman"/>
          <w:sz w:val="24"/>
          <w:szCs w:val="24"/>
        </w:rPr>
        <w:t xml:space="preserve">во внутренние документы и в повседневную </w:t>
      </w:r>
      <w:r w:rsidRPr="00341240">
        <w:rPr>
          <w:rFonts w:ascii="Times New Roman" w:eastAsia="Calibri" w:hAnsi="Times New Roman" w:cs="Times New Roman"/>
          <w:color w:val="000000"/>
          <w:sz w:val="24"/>
          <w:szCs w:val="24"/>
        </w:rPr>
        <w:t>практику внедрено разграничение факторов возникновения правового и регуляторного рисков в деятельности Банка  в связи с внесением Указанием Банка России от 24.04.2014 № 3241-У изменений в Положение Банка России от 16.12.2003 № 242-П «Об организации внутреннего контроля в кредитных организациях и банковских группах».</w:t>
      </w:r>
    </w:p>
    <w:p w:rsidR="00341240" w:rsidRPr="00341240" w:rsidRDefault="00341240" w:rsidP="00341240">
      <w:pPr>
        <w:tabs>
          <w:tab w:val="num" w:pos="567"/>
          <w:tab w:val="left" w:pos="600"/>
        </w:tabs>
        <w:spacing w:before="120" w:after="120" w:line="240" w:lineRule="auto"/>
        <w:contextualSpacing/>
        <w:jc w:val="both"/>
        <w:rPr>
          <w:rFonts w:ascii="Times New Roman" w:eastAsia="Calibri" w:hAnsi="Times New Roman" w:cs="Times New Roman"/>
          <w:color w:val="000000"/>
          <w:sz w:val="24"/>
          <w:szCs w:val="24"/>
        </w:rPr>
      </w:pPr>
      <w:r w:rsidRPr="00341240">
        <w:rPr>
          <w:rFonts w:ascii="Times New Roman" w:eastAsia="Calibri" w:hAnsi="Times New Roman" w:cs="Times New Roman"/>
          <w:color w:val="000000"/>
          <w:sz w:val="24"/>
          <w:szCs w:val="24"/>
        </w:rPr>
        <w:tab/>
        <w:t>В целях приведения системы управления регуляторным риском в соответствие с новыми требованиями Банка России решениями Наблюдательного совета Банка утверждены положение об организации управления регуляторным риском (комплаенс-риском) от 24.15.2015 г. (Протокол №8), а также внутренние документы об антикоррупционной политике от 24.09.2015 г. (Протокол №4) и о порядке предотвращения конфликта интересов от 26.06.2015 г. (Протокол №2).</w:t>
      </w:r>
    </w:p>
    <w:p w:rsidR="00341240" w:rsidRPr="00341240" w:rsidRDefault="00341240" w:rsidP="00341240">
      <w:pPr>
        <w:autoSpaceDE w:val="0"/>
        <w:autoSpaceDN w:val="0"/>
        <w:adjustRightInd w:val="0"/>
        <w:spacing w:before="120" w:after="120" w:line="240" w:lineRule="auto"/>
        <w:contextualSpacing/>
        <w:jc w:val="both"/>
        <w:rPr>
          <w:rFonts w:ascii="Times New Roman" w:eastAsia="Calibri" w:hAnsi="Times New Roman" w:cs="Times New Roman"/>
          <w:color w:val="000000"/>
          <w:sz w:val="24"/>
          <w:szCs w:val="24"/>
        </w:rPr>
      </w:pPr>
      <w:r w:rsidRPr="00341240">
        <w:rPr>
          <w:rFonts w:ascii="Times New Roman" w:eastAsia="Calibri" w:hAnsi="Times New Roman" w:cs="Times New Roman"/>
          <w:color w:val="000000"/>
          <w:sz w:val="24"/>
          <w:szCs w:val="24"/>
        </w:rPr>
        <w:t xml:space="preserve">       Управление регуляторным риском осуществляется службой внутреннего контроля, в перечень задач которой входит осуществление следующих действий по предотвращению убытков от реализации регуляторного риска:</w:t>
      </w:r>
    </w:p>
    <w:p w:rsidR="00341240" w:rsidRPr="00341240" w:rsidRDefault="00341240" w:rsidP="00341240">
      <w:pPr>
        <w:autoSpaceDE w:val="0"/>
        <w:autoSpaceDN w:val="0"/>
        <w:adjustRightInd w:val="0"/>
        <w:spacing w:before="120" w:after="120" w:line="240" w:lineRule="auto"/>
        <w:ind w:firstLine="425"/>
        <w:contextualSpacing/>
        <w:jc w:val="both"/>
        <w:rPr>
          <w:rFonts w:ascii="Times New Roman" w:eastAsia="Calibri" w:hAnsi="Times New Roman" w:cs="Times New Roman"/>
          <w:color w:val="000000"/>
          <w:sz w:val="24"/>
          <w:szCs w:val="24"/>
        </w:rPr>
      </w:pPr>
      <w:r w:rsidRPr="00341240">
        <w:rPr>
          <w:rFonts w:ascii="Times New Roman" w:eastAsia="Calibri" w:hAnsi="Times New Roman" w:cs="Times New Roman"/>
          <w:color w:val="000000"/>
          <w:sz w:val="24"/>
          <w:szCs w:val="24"/>
        </w:rPr>
        <w:t>•</w:t>
      </w:r>
      <w:r w:rsidRPr="00341240">
        <w:rPr>
          <w:rFonts w:ascii="Times New Roman" w:eastAsia="Calibri" w:hAnsi="Times New Roman" w:cs="Times New Roman"/>
          <w:color w:val="000000"/>
          <w:sz w:val="24"/>
          <w:szCs w:val="24"/>
        </w:rPr>
        <w:tab/>
        <w:t>мониторинг законодательства;</w:t>
      </w:r>
    </w:p>
    <w:p w:rsidR="00341240" w:rsidRPr="00341240" w:rsidRDefault="00341240" w:rsidP="00341240">
      <w:pPr>
        <w:autoSpaceDE w:val="0"/>
        <w:autoSpaceDN w:val="0"/>
        <w:adjustRightInd w:val="0"/>
        <w:spacing w:before="120" w:after="120" w:line="240" w:lineRule="auto"/>
        <w:ind w:firstLine="425"/>
        <w:contextualSpacing/>
        <w:jc w:val="both"/>
        <w:rPr>
          <w:rFonts w:ascii="Times New Roman" w:eastAsia="Calibri" w:hAnsi="Times New Roman" w:cs="Times New Roman"/>
          <w:color w:val="000000"/>
          <w:sz w:val="24"/>
          <w:szCs w:val="24"/>
        </w:rPr>
      </w:pPr>
      <w:r w:rsidRPr="00341240">
        <w:rPr>
          <w:rFonts w:ascii="Times New Roman" w:eastAsia="Calibri" w:hAnsi="Times New Roman" w:cs="Times New Roman"/>
          <w:color w:val="000000"/>
          <w:sz w:val="24"/>
          <w:szCs w:val="24"/>
        </w:rPr>
        <w:t>•</w:t>
      </w:r>
      <w:r w:rsidRPr="00341240">
        <w:rPr>
          <w:rFonts w:ascii="Times New Roman" w:eastAsia="Calibri" w:hAnsi="Times New Roman" w:cs="Times New Roman"/>
          <w:color w:val="000000"/>
          <w:sz w:val="24"/>
          <w:szCs w:val="24"/>
        </w:rPr>
        <w:tab/>
        <w:t>взаимодействие с регулирующими органами по вопросу разработки новых нормативных актов;</w:t>
      </w:r>
    </w:p>
    <w:p w:rsidR="00341240" w:rsidRPr="00341240" w:rsidRDefault="00341240" w:rsidP="00341240">
      <w:pPr>
        <w:autoSpaceDE w:val="0"/>
        <w:autoSpaceDN w:val="0"/>
        <w:adjustRightInd w:val="0"/>
        <w:spacing w:before="120" w:after="120" w:line="240" w:lineRule="auto"/>
        <w:ind w:firstLine="425"/>
        <w:contextualSpacing/>
        <w:jc w:val="both"/>
        <w:rPr>
          <w:rFonts w:ascii="Times New Roman" w:eastAsia="Calibri" w:hAnsi="Times New Roman" w:cs="Times New Roman"/>
          <w:color w:val="000000"/>
          <w:sz w:val="24"/>
          <w:szCs w:val="24"/>
        </w:rPr>
      </w:pPr>
      <w:r w:rsidRPr="00341240">
        <w:rPr>
          <w:rFonts w:ascii="Times New Roman" w:eastAsia="Calibri" w:hAnsi="Times New Roman" w:cs="Times New Roman"/>
          <w:color w:val="000000"/>
          <w:sz w:val="24"/>
          <w:szCs w:val="24"/>
        </w:rPr>
        <w:t>•</w:t>
      </w:r>
      <w:r w:rsidRPr="00341240">
        <w:rPr>
          <w:rFonts w:ascii="Times New Roman" w:eastAsia="Calibri" w:hAnsi="Times New Roman" w:cs="Times New Roman"/>
          <w:color w:val="000000"/>
          <w:sz w:val="24"/>
          <w:szCs w:val="24"/>
        </w:rPr>
        <w:tab/>
        <w:t>выявление регуляторного риска в существующих и запланированных внутренних процедурах;</w:t>
      </w:r>
    </w:p>
    <w:p w:rsidR="00341240" w:rsidRPr="00341240" w:rsidRDefault="00341240" w:rsidP="00341240">
      <w:pPr>
        <w:autoSpaceDE w:val="0"/>
        <w:autoSpaceDN w:val="0"/>
        <w:adjustRightInd w:val="0"/>
        <w:spacing w:before="120" w:after="120" w:line="240" w:lineRule="auto"/>
        <w:ind w:firstLine="425"/>
        <w:contextualSpacing/>
        <w:jc w:val="both"/>
        <w:rPr>
          <w:rFonts w:ascii="Times New Roman" w:eastAsia="Calibri" w:hAnsi="Times New Roman" w:cs="Times New Roman"/>
          <w:color w:val="000000"/>
          <w:sz w:val="24"/>
          <w:szCs w:val="24"/>
        </w:rPr>
      </w:pPr>
      <w:r w:rsidRPr="00341240">
        <w:rPr>
          <w:rFonts w:ascii="Times New Roman" w:eastAsia="Calibri" w:hAnsi="Times New Roman" w:cs="Times New Roman"/>
          <w:color w:val="000000"/>
          <w:sz w:val="24"/>
          <w:szCs w:val="24"/>
        </w:rPr>
        <w:t>•</w:t>
      </w:r>
      <w:r w:rsidRPr="00341240">
        <w:rPr>
          <w:rFonts w:ascii="Times New Roman" w:eastAsia="Calibri" w:hAnsi="Times New Roman" w:cs="Times New Roman"/>
          <w:color w:val="000000"/>
          <w:sz w:val="24"/>
          <w:szCs w:val="24"/>
        </w:rPr>
        <w:tab/>
        <w:t>анализ наилучших практик осуществления мер внутреннего контроля.</w:t>
      </w:r>
    </w:p>
    <w:p w:rsidR="00341240" w:rsidRPr="00341240" w:rsidRDefault="00341240" w:rsidP="00341240">
      <w:pPr>
        <w:autoSpaceDE w:val="0"/>
        <w:autoSpaceDN w:val="0"/>
        <w:adjustRightInd w:val="0"/>
        <w:spacing w:before="120" w:after="12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На 2016 год установлены дополнительные лимиты и внутренний контроль над качественными (нефинансовыми) рисками НКЦ в соответствии с Контрольными показателями риск-аппетита. и Стратегией управления рисками и капиталом, разработанных с целью организации внутренних процедур оценки достаточности капитала (ВПОДК).</w:t>
      </w:r>
    </w:p>
    <w:p w:rsidR="00341240" w:rsidRPr="00341240" w:rsidRDefault="00341240" w:rsidP="00341240">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sz w:val="28"/>
          <w:szCs w:val="28"/>
          <w:lang w:eastAsia="ru-RU"/>
        </w:rPr>
      </w:pPr>
    </w:p>
    <w:p w:rsidR="00341240" w:rsidRPr="00341240" w:rsidRDefault="00341240" w:rsidP="00341240">
      <w:pPr>
        <w:widowControl w:val="0"/>
        <w:tabs>
          <w:tab w:val="left" w:pos="8820"/>
        </w:tabs>
        <w:overflowPunct w:val="0"/>
        <w:autoSpaceDE w:val="0"/>
        <w:autoSpaceDN w:val="0"/>
        <w:adjustRightInd w:val="0"/>
        <w:spacing w:after="0" w:line="240" w:lineRule="auto"/>
        <w:ind w:right="76"/>
        <w:textAlignment w:val="baseline"/>
        <w:rPr>
          <w:rFonts w:ascii="Times New Roman" w:eastAsia="Times New Roman" w:hAnsi="Times New Roman" w:cs="Times New Roman"/>
          <w:sz w:val="28"/>
          <w:szCs w:val="28"/>
          <w:lang w:eastAsia="ru-RU"/>
        </w:rPr>
      </w:pPr>
    </w:p>
    <w:p w:rsidR="00341240" w:rsidRPr="00341240" w:rsidRDefault="00341240" w:rsidP="00341240">
      <w:pPr>
        <w:widowControl w:val="0"/>
        <w:tabs>
          <w:tab w:val="left" w:pos="8820"/>
        </w:tabs>
        <w:overflowPunct w:val="0"/>
        <w:autoSpaceDE w:val="0"/>
        <w:autoSpaceDN w:val="0"/>
        <w:adjustRightInd w:val="0"/>
        <w:spacing w:after="0" w:line="240" w:lineRule="auto"/>
        <w:ind w:left="709" w:right="76"/>
        <w:jc w:val="center"/>
        <w:textAlignment w:val="baseline"/>
        <w:rPr>
          <w:rFonts w:ascii="Times New Roman" w:eastAsia="Times New Roman" w:hAnsi="Times New Roman"/>
          <w:b/>
          <w:sz w:val="28"/>
          <w:szCs w:val="28"/>
          <w:lang w:eastAsia="ru-RU"/>
        </w:rPr>
      </w:pPr>
      <w:r w:rsidRPr="00341240">
        <w:rPr>
          <w:rFonts w:ascii="Times New Roman" w:eastAsia="Times New Roman" w:hAnsi="Times New Roman"/>
          <w:b/>
          <w:sz w:val="28"/>
          <w:szCs w:val="28"/>
          <w:lang w:eastAsia="ru-RU"/>
        </w:rPr>
        <w:t>8. Система внутреннего контроля</w:t>
      </w:r>
    </w:p>
    <w:p w:rsidR="00341240" w:rsidRPr="00341240" w:rsidRDefault="00341240" w:rsidP="00341240">
      <w:pPr>
        <w:autoSpaceDE w:val="0"/>
        <w:autoSpaceDN w:val="0"/>
        <w:adjustRightInd w:val="0"/>
        <w:spacing w:after="0" w:line="240" w:lineRule="auto"/>
        <w:rPr>
          <w:rFonts w:ascii="Times New Roman" w:hAnsi="Times New Roman"/>
          <w:b/>
          <w:bCs/>
          <w:color w:val="000000"/>
          <w:sz w:val="23"/>
          <w:szCs w:val="23"/>
        </w:rPr>
      </w:pPr>
    </w:p>
    <w:p w:rsidR="00341240" w:rsidRPr="00341240" w:rsidRDefault="00341240" w:rsidP="00341240">
      <w:pPr>
        <w:autoSpaceDE w:val="0"/>
        <w:autoSpaceDN w:val="0"/>
        <w:adjustRightInd w:val="0"/>
        <w:spacing w:after="120" w:line="240" w:lineRule="auto"/>
        <w:ind w:left="284" w:firstLine="255"/>
        <w:jc w:val="both"/>
        <w:rPr>
          <w:rFonts w:ascii="Times New Roman" w:hAnsi="Times New Roman" w:cs="Arial"/>
          <w:sz w:val="24"/>
          <w:szCs w:val="24"/>
        </w:rPr>
      </w:pPr>
      <w:r w:rsidRPr="00341240">
        <w:rPr>
          <w:rFonts w:ascii="Times New Roman" w:hAnsi="Times New Roman" w:cs="Arial"/>
          <w:sz w:val="24"/>
          <w:szCs w:val="24"/>
        </w:rPr>
        <w:t xml:space="preserve">      </w:t>
      </w:r>
      <w:r w:rsidRPr="00341240">
        <w:rPr>
          <w:rFonts w:ascii="Times New Roman" w:hAnsi="Times New Roman" w:cs="Times New Roman"/>
          <w:sz w:val="24"/>
          <w:szCs w:val="24"/>
        </w:rPr>
        <w:t>Внутренний контроль в НКЦ осуществляется  в соответствии с Федеральным законом от 02.12.1990 № 395-1 «</w:t>
      </w:r>
      <w:r w:rsidRPr="00341240">
        <w:rPr>
          <w:rFonts w:ascii="Times New Roman" w:hAnsi="Times New Roman" w:cs="Arial"/>
          <w:sz w:val="24"/>
          <w:szCs w:val="24"/>
        </w:rPr>
        <w:t xml:space="preserve">О банках и банковской деятельности», </w:t>
      </w:r>
      <w:r w:rsidRPr="00341240">
        <w:rPr>
          <w:rFonts w:ascii="Times New Roman" w:hAnsi="Times New Roman" w:cs="Times New Roman"/>
          <w:sz w:val="24"/>
          <w:szCs w:val="24"/>
        </w:rPr>
        <w:t xml:space="preserve">Федеральным законом от 07.02.2011 № 7-ФЗ «О клиринге, клиринговой деятельности и центральном контрагенте», </w:t>
      </w:r>
      <w:r w:rsidRPr="00341240">
        <w:rPr>
          <w:rFonts w:ascii="Times New Roman" w:hAnsi="Times New Roman" w:cs="Arial"/>
          <w:sz w:val="24"/>
          <w:szCs w:val="24"/>
        </w:rPr>
        <w:t>Положением Банка России от 16.12.2003 № 242-П «Об организации внутреннего контроля в кредитных организациях и банковских группах» и Приказом ФСФР России от 13.08.2013 №13-72/пз-н «Об утверждении требований по организации внутреннего контроля клиринговой организации, а также к документу, устанавливающему порядок осуществления внутреннего контроля клиринговой организации», с учетом характера и масштаба осуществляемых операций, уровня и сочетания принимаемых рисков, как клиринговой организацией-центральным контрагентом и Банком, оказывающих взаимное влияние друг на друга.</w:t>
      </w:r>
    </w:p>
    <w:p w:rsidR="00341240" w:rsidRPr="00341240" w:rsidRDefault="00341240" w:rsidP="00341240">
      <w:pPr>
        <w:autoSpaceDE w:val="0"/>
        <w:autoSpaceDN w:val="0"/>
        <w:adjustRightInd w:val="0"/>
        <w:spacing w:after="120" w:line="240" w:lineRule="auto"/>
        <w:jc w:val="both"/>
        <w:rPr>
          <w:rFonts w:ascii="Times New Roman" w:hAnsi="Times New Roman"/>
          <w:sz w:val="24"/>
          <w:szCs w:val="24"/>
        </w:rPr>
      </w:pPr>
      <w:r w:rsidRPr="00341240">
        <w:rPr>
          <w:rFonts w:ascii="Times New Roman" w:hAnsi="Times New Roman"/>
          <w:sz w:val="24"/>
          <w:szCs w:val="24"/>
        </w:rPr>
        <w:t xml:space="preserve">    Внутренний контроль осуществляется в целях обеспечения:</w:t>
      </w:r>
    </w:p>
    <w:p w:rsidR="00341240" w:rsidRPr="00341240" w:rsidRDefault="00341240" w:rsidP="00341240">
      <w:pPr>
        <w:numPr>
          <w:ilvl w:val="0"/>
          <w:numId w:val="5"/>
        </w:numPr>
        <w:autoSpaceDE w:val="0"/>
        <w:autoSpaceDN w:val="0"/>
        <w:adjustRightInd w:val="0"/>
        <w:spacing w:after="0" w:line="240" w:lineRule="auto"/>
        <w:jc w:val="both"/>
        <w:rPr>
          <w:rFonts w:ascii="Times New Roman" w:eastAsia="Times New Roman" w:hAnsi="Times New Roman"/>
          <w:sz w:val="24"/>
          <w:szCs w:val="24"/>
          <w:lang w:eastAsia="ru-RU"/>
        </w:rPr>
      </w:pPr>
      <w:r w:rsidRPr="00341240">
        <w:rPr>
          <w:rFonts w:ascii="Times New Roman" w:eastAsia="Times New Roman" w:hAnsi="Times New Roman"/>
          <w:sz w:val="24"/>
          <w:szCs w:val="24"/>
          <w:lang w:eastAsia="ru-RU"/>
        </w:rPr>
        <w:t>эффективности финансово-хозяйственной деятельности НКЦ при совершении банковских операций и других сделок, выполнении функции клиринговой организации и центрального контрагента; эффективности управления активами и пассивами, включая обеспечение сохранности активов, управления банковскими рисками/рисками центрального контрагента;</w:t>
      </w:r>
    </w:p>
    <w:p w:rsidR="00341240" w:rsidRPr="00341240" w:rsidRDefault="00341240" w:rsidP="00341240">
      <w:pPr>
        <w:numPr>
          <w:ilvl w:val="0"/>
          <w:numId w:val="5"/>
        </w:numPr>
        <w:autoSpaceDE w:val="0"/>
        <w:autoSpaceDN w:val="0"/>
        <w:adjustRightInd w:val="0"/>
        <w:spacing w:after="0" w:line="240" w:lineRule="auto"/>
        <w:jc w:val="both"/>
        <w:rPr>
          <w:rFonts w:ascii="Times New Roman" w:eastAsia="Times New Roman" w:hAnsi="Times New Roman"/>
          <w:sz w:val="24"/>
          <w:szCs w:val="24"/>
          <w:lang w:eastAsia="ru-RU"/>
        </w:rPr>
      </w:pPr>
      <w:r w:rsidRPr="00341240">
        <w:rPr>
          <w:rFonts w:ascii="Times New Roman" w:eastAsia="Times New Roman" w:hAnsi="Times New Roman"/>
          <w:sz w:val="24"/>
          <w:szCs w:val="24"/>
          <w:lang w:eastAsia="ru-RU"/>
        </w:rPr>
        <w:t>достоверности, полноты, объективности и своевременности составления и представления финансовой, бухгалтерской, статистической и иной отчетности;</w:t>
      </w:r>
    </w:p>
    <w:p w:rsidR="00341240" w:rsidRPr="00341240" w:rsidRDefault="00341240" w:rsidP="00341240">
      <w:pPr>
        <w:numPr>
          <w:ilvl w:val="0"/>
          <w:numId w:val="5"/>
        </w:numPr>
        <w:autoSpaceDE w:val="0"/>
        <w:autoSpaceDN w:val="0"/>
        <w:adjustRightInd w:val="0"/>
        <w:spacing w:after="0" w:line="240" w:lineRule="auto"/>
        <w:jc w:val="both"/>
        <w:rPr>
          <w:rFonts w:ascii="Times New Roman" w:eastAsia="Times New Roman" w:hAnsi="Times New Roman"/>
          <w:sz w:val="24"/>
          <w:szCs w:val="24"/>
          <w:lang w:eastAsia="ru-RU"/>
        </w:rPr>
      </w:pPr>
      <w:r w:rsidRPr="00341240">
        <w:rPr>
          <w:rFonts w:ascii="Times New Roman" w:eastAsia="Times New Roman" w:hAnsi="Times New Roman"/>
          <w:sz w:val="24"/>
          <w:szCs w:val="24"/>
          <w:lang w:eastAsia="ru-RU"/>
        </w:rPr>
        <w:t>информационной безопасности, т.е. защищенности интересов НКЦ в информационной сфере, представляющей собой совокупность информации, информационной инфраструктуры, субъектов, осуществляющих сбор, формирование, распространение и использование информации, а также системы регулирования возникающих при этом отношений;</w:t>
      </w:r>
    </w:p>
    <w:p w:rsidR="00341240" w:rsidRPr="00341240" w:rsidRDefault="00341240" w:rsidP="00341240">
      <w:pPr>
        <w:numPr>
          <w:ilvl w:val="0"/>
          <w:numId w:val="5"/>
        </w:numPr>
        <w:autoSpaceDE w:val="0"/>
        <w:autoSpaceDN w:val="0"/>
        <w:adjustRightInd w:val="0"/>
        <w:spacing w:after="0" w:line="240" w:lineRule="auto"/>
        <w:jc w:val="both"/>
        <w:rPr>
          <w:rFonts w:ascii="Times New Roman" w:eastAsia="Times New Roman" w:hAnsi="Times New Roman"/>
          <w:sz w:val="24"/>
          <w:szCs w:val="24"/>
          <w:lang w:eastAsia="ru-RU"/>
        </w:rPr>
      </w:pPr>
      <w:r w:rsidRPr="00341240">
        <w:rPr>
          <w:rFonts w:ascii="Times New Roman" w:eastAsia="Times New Roman" w:hAnsi="Times New Roman"/>
          <w:sz w:val="24"/>
          <w:szCs w:val="24"/>
          <w:lang w:eastAsia="ru-RU"/>
        </w:rPr>
        <w:t>соблюдения требований законодательства Российской Федерации, Устава НКЦ и внутренних документов Банка;</w:t>
      </w:r>
    </w:p>
    <w:p w:rsidR="00341240" w:rsidRPr="00341240" w:rsidRDefault="00341240" w:rsidP="00341240">
      <w:pPr>
        <w:numPr>
          <w:ilvl w:val="0"/>
          <w:numId w:val="5"/>
        </w:numPr>
        <w:autoSpaceDE w:val="0"/>
        <w:autoSpaceDN w:val="0"/>
        <w:adjustRightInd w:val="0"/>
        <w:spacing w:after="0" w:line="240" w:lineRule="auto"/>
        <w:ind w:left="1066" w:hanging="357"/>
        <w:jc w:val="both"/>
        <w:rPr>
          <w:rFonts w:ascii="Times New Roman" w:eastAsia="Times New Roman" w:hAnsi="Times New Roman"/>
          <w:sz w:val="24"/>
          <w:szCs w:val="24"/>
          <w:lang w:eastAsia="ru-RU"/>
        </w:rPr>
      </w:pPr>
      <w:r w:rsidRPr="00341240">
        <w:rPr>
          <w:rFonts w:ascii="Times New Roman" w:eastAsia="Times New Roman" w:hAnsi="Times New Roman"/>
          <w:sz w:val="24"/>
          <w:szCs w:val="24"/>
          <w:lang w:eastAsia="ru-RU"/>
        </w:rPr>
        <w:t xml:space="preserve">исключения вовлечения НКЦ и участия его работников в осуществлении противоправной деятельности, в том числе легализации (отмывания) доходов, полученных преступным путем, и финансирования терроризма, в проведении сомнительных операций; </w:t>
      </w:r>
    </w:p>
    <w:p w:rsidR="00341240" w:rsidRPr="00341240" w:rsidRDefault="00341240" w:rsidP="00341240">
      <w:pPr>
        <w:numPr>
          <w:ilvl w:val="0"/>
          <w:numId w:val="5"/>
        </w:numPr>
        <w:autoSpaceDE w:val="0"/>
        <w:autoSpaceDN w:val="0"/>
        <w:adjustRightInd w:val="0"/>
        <w:spacing w:after="120" w:line="240" w:lineRule="auto"/>
        <w:ind w:left="1066" w:hanging="357"/>
        <w:jc w:val="both"/>
        <w:rPr>
          <w:rFonts w:ascii="Times New Roman" w:eastAsia="Times New Roman" w:hAnsi="Times New Roman"/>
          <w:sz w:val="24"/>
          <w:szCs w:val="24"/>
          <w:lang w:eastAsia="ru-RU"/>
        </w:rPr>
      </w:pPr>
      <w:r w:rsidRPr="00341240">
        <w:rPr>
          <w:rFonts w:ascii="Times New Roman" w:eastAsia="Times New Roman" w:hAnsi="Times New Roman"/>
          <w:sz w:val="24"/>
          <w:szCs w:val="24"/>
          <w:lang w:eastAsia="ru-RU"/>
        </w:rPr>
        <w:t>снижения риска возникновения у Банка убытков в результате применения санкций и (или) иных мер воздействия со стороны надзорных органов, в том числе из-за несоблюдения законодательства Российской Федерации, внутренних документов Банка, стандартов саморегулируемых организаций, а также своевременного представления в соответствии с законодательством Российской Федерации сведений в органы государственной власти и Банк России, поддержания эффективности системы внутреннего контроля по противодействию легализации (отмыванию) доходов и финансированию терроризма НКЦ на уровне, достаточном для управления риском легализации (отмывания) доходов, полученных преступным путем, и финансирования терроризма.</w:t>
      </w:r>
    </w:p>
    <w:p w:rsidR="00341240" w:rsidRPr="00341240" w:rsidRDefault="00341240" w:rsidP="00341240">
      <w:pPr>
        <w:autoSpaceDE w:val="0"/>
        <w:autoSpaceDN w:val="0"/>
        <w:adjustRightInd w:val="0"/>
        <w:spacing w:after="120" w:line="240" w:lineRule="auto"/>
        <w:jc w:val="both"/>
        <w:rPr>
          <w:rFonts w:ascii="Times New Roman" w:hAnsi="Times New Roman"/>
          <w:bCs/>
          <w:color w:val="000000"/>
          <w:sz w:val="24"/>
          <w:szCs w:val="24"/>
        </w:rPr>
      </w:pPr>
      <w:r w:rsidRPr="00341240">
        <w:rPr>
          <w:rFonts w:ascii="Times New Roman" w:hAnsi="Times New Roman"/>
          <w:bCs/>
          <w:color w:val="000000"/>
          <w:sz w:val="24"/>
          <w:szCs w:val="24"/>
        </w:rPr>
        <w:t xml:space="preserve">    Эффективность системы внутреннего контроля, функционирующей в НКЦ, достигается: </w:t>
      </w:r>
    </w:p>
    <w:p w:rsidR="00341240" w:rsidRPr="00341240" w:rsidRDefault="00341240" w:rsidP="00341240">
      <w:pPr>
        <w:numPr>
          <w:ilvl w:val="0"/>
          <w:numId w:val="4"/>
        </w:numPr>
        <w:autoSpaceDE w:val="0"/>
        <w:autoSpaceDN w:val="0"/>
        <w:adjustRightInd w:val="0"/>
        <w:spacing w:after="0" w:line="240" w:lineRule="auto"/>
        <w:jc w:val="both"/>
        <w:rPr>
          <w:rFonts w:ascii="Times New Roman" w:hAnsi="Times New Roman"/>
          <w:bCs/>
          <w:color w:val="000000"/>
          <w:sz w:val="24"/>
          <w:szCs w:val="24"/>
        </w:rPr>
      </w:pPr>
      <w:r w:rsidRPr="00341240">
        <w:rPr>
          <w:rFonts w:ascii="Times New Roman" w:hAnsi="Times New Roman"/>
          <w:bCs/>
          <w:color w:val="000000"/>
          <w:sz w:val="24"/>
          <w:szCs w:val="24"/>
        </w:rPr>
        <w:t>процедурами контроля, реализуемые на всех уровнях управления;</w:t>
      </w:r>
    </w:p>
    <w:p w:rsidR="00341240" w:rsidRPr="00341240" w:rsidRDefault="00341240" w:rsidP="00341240">
      <w:pPr>
        <w:numPr>
          <w:ilvl w:val="0"/>
          <w:numId w:val="4"/>
        </w:numPr>
        <w:autoSpaceDE w:val="0"/>
        <w:autoSpaceDN w:val="0"/>
        <w:adjustRightInd w:val="0"/>
        <w:spacing w:after="0" w:line="240" w:lineRule="auto"/>
        <w:jc w:val="both"/>
        <w:rPr>
          <w:rFonts w:ascii="Times New Roman" w:hAnsi="Times New Roman"/>
          <w:bCs/>
          <w:color w:val="000000"/>
          <w:sz w:val="24"/>
          <w:szCs w:val="24"/>
        </w:rPr>
      </w:pPr>
      <w:r w:rsidRPr="00341240">
        <w:rPr>
          <w:rFonts w:ascii="Times New Roman" w:hAnsi="Times New Roman"/>
          <w:bCs/>
          <w:color w:val="000000"/>
          <w:sz w:val="24"/>
          <w:szCs w:val="24"/>
        </w:rPr>
        <w:t>осуществлением периодических проверок обеспечения соответствия всех областей деятельности установленным политикам и процедурам;</w:t>
      </w:r>
    </w:p>
    <w:p w:rsidR="00341240" w:rsidRPr="00341240" w:rsidRDefault="00341240" w:rsidP="00341240">
      <w:pPr>
        <w:numPr>
          <w:ilvl w:val="0"/>
          <w:numId w:val="4"/>
        </w:numPr>
        <w:autoSpaceDE w:val="0"/>
        <w:autoSpaceDN w:val="0"/>
        <w:adjustRightInd w:val="0"/>
        <w:spacing w:after="0" w:line="240" w:lineRule="auto"/>
        <w:jc w:val="both"/>
        <w:rPr>
          <w:rFonts w:ascii="Times New Roman" w:hAnsi="Times New Roman"/>
          <w:bCs/>
          <w:color w:val="000000"/>
          <w:sz w:val="24"/>
          <w:szCs w:val="24"/>
        </w:rPr>
      </w:pPr>
      <w:r w:rsidRPr="00341240">
        <w:rPr>
          <w:rFonts w:ascii="Times New Roman" w:hAnsi="Times New Roman"/>
          <w:bCs/>
          <w:color w:val="000000"/>
          <w:sz w:val="24"/>
          <w:szCs w:val="24"/>
        </w:rPr>
        <w:t>обеспечением встроенности контрольных процедур в ежедневные операции НКЦ;</w:t>
      </w:r>
    </w:p>
    <w:p w:rsidR="00341240" w:rsidRPr="00341240" w:rsidRDefault="00341240" w:rsidP="00341240">
      <w:pPr>
        <w:numPr>
          <w:ilvl w:val="0"/>
          <w:numId w:val="4"/>
        </w:numPr>
        <w:autoSpaceDE w:val="0"/>
        <w:autoSpaceDN w:val="0"/>
        <w:adjustRightInd w:val="0"/>
        <w:spacing w:after="0" w:line="240" w:lineRule="auto"/>
        <w:jc w:val="both"/>
        <w:rPr>
          <w:rFonts w:ascii="Times New Roman" w:hAnsi="Times New Roman"/>
          <w:bCs/>
          <w:color w:val="000000"/>
          <w:sz w:val="24"/>
          <w:szCs w:val="24"/>
        </w:rPr>
      </w:pPr>
      <w:r w:rsidRPr="00341240">
        <w:rPr>
          <w:rFonts w:ascii="Times New Roman" w:hAnsi="Times New Roman"/>
          <w:bCs/>
          <w:color w:val="000000"/>
          <w:sz w:val="24"/>
          <w:szCs w:val="24"/>
        </w:rPr>
        <w:t>осуществлением последующего контроля проведенных операций;</w:t>
      </w:r>
    </w:p>
    <w:p w:rsidR="00341240" w:rsidRPr="00341240" w:rsidRDefault="00341240" w:rsidP="00341240">
      <w:pPr>
        <w:numPr>
          <w:ilvl w:val="0"/>
          <w:numId w:val="4"/>
        </w:numPr>
        <w:autoSpaceDE w:val="0"/>
        <w:autoSpaceDN w:val="0"/>
        <w:adjustRightInd w:val="0"/>
        <w:spacing w:after="0" w:line="240" w:lineRule="auto"/>
        <w:jc w:val="both"/>
        <w:rPr>
          <w:rFonts w:ascii="Times New Roman" w:hAnsi="Times New Roman"/>
          <w:bCs/>
          <w:color w:val="000000"/>
          <w:sz w:val="24"/>
          <w:szCs w:val="24"/>
        </w:rPr>
      </w:pPr>
      <w:r w:rsidRPr="00341240">
        <w:rPr>
          <w:rFonts w:ascii="Times New Roman" w:hAnsi="Times New Roman"/>
          <w:bCs/>
          <w:color w:val="000000"/>
          <w:sz w:val="24"/>
          <w:szCs w:val="24"/>
        </w:rPr>
        <w:t>обеспечением разделения функционала и отсутствием конфликта интересов при выполнении персоналом своих обязанностей;</w:t>
      </w:r>
    </w:p>
    <w:p w:rsidR="00341240" w:rsidRPr="00341240" w:rsidRDefault="00341240" w:rsidP="00341240">
      <w:pPr>
        <w:numPr>
          <w:ilvl w:val="0"/>
          <w:numId w:val="4"/>
        </w:numPr>
        <w:autoSpaceDE w:val="0"/>
        <w:autoSpaceDN w:val="0"/>
        <w:adjustRightInd w:val="0"/>
        <w:spacing w:after="0" w:line="240" w:lineRule="auto"/>
        <w:jc w:val="both"/>
        <w:rPr>
          <w:rFonts w:ascii="Times New Roman" w:hAnsi="Times New Roman"/>
          <w:bCs/>
          <w:color w:val="000000"/>
          <w:sz w:val="24"/>
          <w:szCs w:val="24"/>
        </w:rPr>
      </w:pPr>
      <w:r w:rsidRPr="00341240">
        <w:rPr>
          <w:rFonts w:ascii="Times New Roman" w:hAnsi="Times New Roman"/>
          <w:bCs/>
          <w:color w:val="000000"/>
          <w:sz w:val="24"/>
          <w:szCs w:val="24"/>
        </w:rPr>
        <w:t>обеспечением соответствия проводимых операций действующему законодательству Российской Федерации, нормативным актам Банка России;</w:t>
      </w:r>
    </w:p>
    <w:p w:rsidR="00341240" w:rsidRPr="00341240" w:rsidRDefault="00341240" w:rsidP="00341240">
      <w:pPr>
        <w:numPr>
          <w:ilvl w:val="0"/>
          <w:numId w:val="4"/>
        </w:numPr>
        <w:autoSpaceDE w:val="0"/>
        <w:autoSpaceDN w:val="0"/>
        <w:adjustRightInd w:val="0"/>
        <w:spacing w:after="0" w:line="240" w:lineRule="auto"/>
        <w:jc w:val="both"/>
        <w:rPr>
          <w:rFonts w:ascii="Times New Roman" w:hAnsi="Times New Roman"/>
          <w:bCs/>
          <w:color w:val="000000"/>
          <w:sz w:val="24"/>
          <w:szCs w:val="24"/>
        </w:rPr>
      </w:pPr>
      <w:r w:rsidRPr="00341240">
        <w:rPr>
          <w:rFonts w:ascii="Times New Roman" w:hAnsi="Times New Roman"/>
          <w:bCs/>
          <w:color w:val="000000"/>
          <w:sz w:val="24"/>
          <w:szCs w:val="24"/>
        </w:rPr>
        <w:t>обеспечением оперативного доведения необходимой информации до соответствующих работников НКЦ;</w:t>
      </w:r>
    </w:p>
    <w:p w:rsidR="00341240" w:rsidRPr="00341240" w:rsidRDefault="00341240" w:rsidP="00341240">
      <w:pPr>
        <w:numPr>
          <w:ilvl w:val="0"/>
          <w:numId w:val="4"/>
        </w:numPr>
        <w:autoSpaceDE w:val="0"/>
        <w:autoSpaceDN w:val="0"/>
        <w:adjustRightInd w:val="0"/>
        <w:spacing w:after="0" w:line="240" w:lineRule="auto"/>
        <w:jc w:val="both"/>
        <w:rPr>
          <w:rFonts w:ascii="Times New Roman" w:hAnsi="Times New Roman"/>
          <w:bCs/>
          <w:color w:val="000000"/>
          <w:sz w:val="24"/>
          <w:szCs w:val="24"/>
        </w:rPr>
      </w:pPr>
      <w:r w:rsidRPr="00341240">
        <w:rPr>
          <w:rFonts w:ascii="Times New Roman" w:hAnsi="Times New Roman"/>
          <w:bCs/>
          <w:color w:val="000000"/>
          <w:sz w:val="24"/>
          <w:szCs w:val="24"/>
        </w:rPr>
        <w:t>обеспечением соответствующего уровня безопасности информационных систем;</w:t>
      </w:r>
    </w:p>
    <w:p w:rsidR="00341240" w:rsidRPr="00341240" w:rsidRDefault="00341240" w:rsidP="00341240">
      <w:pPr>
        <w:numPr>
          <w:ilvl w:val="0"/>
          <w:numId w:val="4"/>
        </w:numPr>
        <w:autoSpaceDE w:val="0"/>
        <w:autoSpaceDN w:val="0"/>
        <w:adjustRightInd w:val="0"/>
        <w:spacing w:after="0" w:line="240" w:lineRule="auto"/>
        <w:jc w:val="both"/>
        <w:rPr>
          <w:rFonts w:ascii="Times New Roman" w:hAnsi="Times New Roman"/>
          <w:bCs/>
          <w:color w:val="000000"/>
          <w:sz w:val="24"/>
          <w:szCs w:val="24"/>
        </w:rPr>
      </w:pPr>
      <w:r w:rsidRPr="00341240">
        <w:rPr>
          <w:rFonts w:ascii="Times New Roman" w:hAnsi="Times New Roman"/>
          <w:bCs/>
          <w:color w:val="000000"/>
          <w:sz w:val="24"/>
          <w:szCs w:val="24"/>
        </w:rPr>
        <w:t>проведением ежедневного мониторинга наиболее рискованных операций;</w:t>
      </w:r>
    </w:p>
    <w:p w:rsidR="00341240" w:rsidRPr="00341240" w:rsidRDefault="00341240" w:rsidP="00341240">
      <w:pPr>
        <w:numPr>
          <w:ilvl w:val="0"/>
          <w:numId w:val="4"/>
        </w:numPr>
        <w:autoSpaceDE w:val="0"/>
        <w:autoSpaceDN w:val="0"/>
        <w:adjustRightInd w:val="0"/>
        <w:spacing w:after="0" w:line="240" w:lineRule="auto"/>
        <w:jc w:val="both"/>
        <w:rPr>
          <w:rFonts w:ascii="Times New Roman" w:hAnsi="Times New Roman"/>
          <w:bCs/>
          <w:color w:val="000000"/>
          <w:sz w:val="24"/>
          <w:szCs w:val="24"/>
        </w:rPr>
      </w:pPr>
      <w:r w:rsidRPr="00341240">
        <w:rPr>
          <w:rFonts w:ascii="Times New Roman" w:hAnsi="Times New Roman"/>
          <w:bCs/>
          <w:color w:val="000000"/>
          <w:sz w:val="24"/>
          <w:szCs w:val="24"/>
        </w:rPr>
        <w:t>проведением внешнего и внутреннего аудита системы внутреннего контроля;</w:t>
      </w:r>
    </w:p>
    <w:p w:rsidR="00341240" w:rsidRPr="00341240" w:rsidRDefault="00341240" w:rsidP="00341240">
      <w:pPr>
        <w:numPr>
          <w:ilvl w:val="0"/>
          <w:numId w:val="4"/>
        </w:numPr>
        <w:autoSpaceDE w:val="0"/>
        <w:autoSpaceDN w:val="0"/>
        <w:adjustRightInd w:val="0"/>
        <w:spacing w:after="0" w:line="240" w:lineRule="auto"/>
        <w:jc w:val="both"/>
        <w:rPr>
          <w:rFonts w:ascii="Times New Roman" w:hAnsi="Times New Roman"/>
          <w:bCs/>
          <w:color w:val="000000"/>
          <w:sz w:val="24"/>
          <w:szCs w:val="24"/>
        </w:rPr>
      </w:pPr>
      <w:r w:rsidRPr="00341240">
        <w:rPr>
          <w:rFonts w:ascii="Times New Roman" w:hAnsi="Times New Roman"/>
          <w:bCs/>
          <w:color w:val="000000"/>
          <w:sz w:val="24"/>
          <w:szCs w:val="24"/>
        </w:rPr>
        <w:t>осуществлением на регулярной основе контроля за эффективностью принятых подразделениями и органами управления мер по результатам проверок, обеспечивающих снижение уровня выявленных рисков;</w:t>
      </w:r>
    </w:p>
    <w:p w:rsidR="00341240" w:rsidRPr="00341240" w:rsidRDefault="00341240" w:rsidP="00341240">
      <w:pPr>
        <w:numPr>
          <w:ilvl w:val="0"/>
          <w:numId w:val="4"/>
        </w:numPr>
        <w:autoSpaceDE w:val="0"/>
        <w:autoSpaceDN w:val="0"/>
        <w:adjustRightInd w:val="0"/>
        <w:spacing w:after="120" w:line="240" w:lineRule="auto"/>
        <w:ind w:left="1066" w:hanging="357"/>
        <w:jc w:val="both"/>
        <w:rPr>
          <w:rFonts w:ascii="Times New Roman" w:hAnsi="Times New Roman"/>
          <w:bCs/>
          <w:color w:val="000000"/>
          <w:sz w:val="24"/>
          <w:szCs w:val="24"/>
        </w:rPr>
      </w:pPr>
      <w:r w:rsidRPr="00341240">
        <w:rPr>
          <w:rFonts w:ascii="Times New Roman" w:hAnsi="Times New Roman"/>
          <w:bCs/>
          <w:color w:val="000000"/>
          <w:sz w:val="24"/>
          <w:szCs w:val="24"/>
        </w:rPr>
        <w:t xml:space="preserve">обеспечением своевременного доведения до менеджмента и Наблюдательного совета информации о существенных рисках и недостатках внутреннего контроля.      </w:t>
      </w:r>
    </w:p>
    <w:p w:rsidR="00341240" w:rsidRPr="00341240" w:rsidRDefault="00341240" w:rsidP="00341240">
      <w:pPr>
        <w:autoSpaceDE w:val="0"/>
        <w:autoSpaceDN w:val="0"/>
        <w:adjustRightInd w:val="0"/>
        <w:spacing w:after="120" w:line="240" w:lineRule="auto"/>
        <w:jc w:val="both"/>
        <w:rPr>
          <w:rFonts w:ascii="Times New Roman" w:hAnsi="Times New Roman"/>
          <w:bCs/>
          <w:color w:val="000000"/>
          <w:sz w:val="24"/>
          <w:szCs w:val="24"/>
        </w:rPr>
      </w:pPr>
      <w:r w:rsidRPr="00341240">
        <w:rPr>
          <w:rFonts w:ascii="Times New Roman" w:hAnsi="Times New Roman"/>
          <w:bCs/>
          <w:color w:val="000000"/>
          <w:sz w:val="24"/>
          <w:szCs w:val="24"/>
        </w:rPr>
        <w:t>По состоянию на 31.12.2015 в систему органов внутреннего контроля НКЦ, осуществляющих внутренний контроль в соответствии с полномочиями, определенными Уставом и внутренними документами НКЦ, входили:</w:t>
      </w:r>
    </w:p>
    <w:p w:rsidR="00341240" w:rsidRPr="00341240" w:rsidRDefault="00341240" w:rsidP="00341240">
      <w:pPr>
        <w:numPr>
          <w:ilvl w:val="0"/>
          <w:numId w:val="3"/>
        </w:numPr>
        <w:autoSpaceDE w:val="0"/>
        <w:autoSpaceDN w:val="0"/>
        <w:adjustRightInd w:val="0"/>
        <w:spacing w:after="0" w:line="240" w:lineRule="auto"/>
        <w:jc w:val="both"/>
        <w:rPr>
          <w:rFonts w:ascii="Times New Roman" w:hAnsi="Times New Roman"/>
          <w:bCs/>
          <w:color w:val="000000"/>
          <w:sz w:val="24"/>
          <w:szCs w:val="24"/>
        </w:rPr>
      </w:pPr>
      <w:r w:rsidRPr="00341240">
        <w:rPr>
          <w:rFonts w:ascii="Times New Roman" w:hAnsi="Times New Roman"/>
          <w:bCs/>
          <w:color w:val="000000"/>
          <w:sz w:val="24"/>
          <w:szCs w:val="24"/>
        </w:rPr>
        <w:t>органы управления НКЦ (Общее собрание акционеров, Наблюдательный совет, Правление, Председатель Правления);</w:t>
      </w:r>
    </w:p>
    <w:p w:rsidR="00341240" w:rsidRPr="00341240" w:rsidRDefault="00341240" w:rsidP="00341240">
      <w:pPr>
        <w:numPr>
          <w:ilvl w:val="0"/>
          <w:numId w:val="3"/>
        </w:numPr>
        <w:autoSpaceDE w:val="0"/>
        <w:autoSpaceDN w:val="0"/>
        <w:adjustRightInd w:val="0"/>
        <w:spacing w:after="0" w:line="240" w:lineRule="auto"/>
        <w:jc w:val="both"/>
        <w:rPr>
          <w:rFonts w:ascii="Times New Roman" w:hAnsi="Times New Roman"/>
          <w:bCs/>
          <w:color w:val="000000"/>
          <w:sz w:val="24"/>
          <w:szCs w:val="24"/>
        </w:rPr>
      </w:pPr>
      <w:r w:rsidRPr="00341240">
        <w:rPr>
          <w:rFonts w:ascii="Times New Roman" w:hAnsi="Times New Roman"/>
          <w:bCs/>
          <w:color w:val="000000"/>
          <w:sz w:val="24"/>
          <w:szCs w:val="24"/>
        </w:rPr>
        <w:t>ревизионная комиссия НКЦ;</w:t>
      </w:r>
    </w:p>
    <w:p w:rsidR="00341240" w:rsidRPr="00341240" w:rsidRDefault="00341240" w:rsidP="00341240">
      <w:pPr>
        <w:numPr>
          <w:ilvl w:val="0"/>
          <w:numId w:val="3"/>
        </w:numPr>
        <w:autoSpaceDE w:val="0"/>
        <w:autoSpaceDN w:val="0"/>
        <w:adjustRightInd w:val="0"/>
        <w:spacing w:after="0" w:line="240" w:lineRule="auto"/>
        <w:jc w:val="both"/>
        <w:rPr>
          <w:rFonts w:ascii="Times New Roman" w:hAnsi="Times New Roman"/>
          <w:bCs/>
          <w:color w:val="000000"/>
          <w:sz w:val="24"/>
          <w:szCs w:val="24"/>
        </w:rPr>
      </w:pPr>
      <w:r w:rsidRPr="00341240">
        <w:rPr>
          <w:rFonts w:ascii="Times New Roman" w:hAnsi="Times New Roman"/>
          <w:bCs/>
          <w:color w:val="000000"/>
          <w:sz w:val="24"/>
          <w:szCs w:val="24"/>
        </w:rPr>
        <w:t>главный бухгалтер НКЦ (его заместители);</w:t>
      </w:r>
    </w:p>
    <w:p w:rsidR="00341240" w:rsidRPr="00341240" w:rsidRDefault="00341240" w:rsidP="00341240">
      <w:pPr>
        <w:numPr>
          <w:ilvl w:val="0"/>
          <w:numId w:val="3"/>
        </w:numPr>
        <w:autoSpaceDE w:val="0"/>
        <w:autoSpaceDN w:val="0"/>
        <w:adjustRightInd w:val="0"/>
        <w:spacing w:after="0" w:line="240" w:lineRule="auto"/>
        <w:ind w:left="1066" w:hanging="357"/>
        <w:contextualSpacing/>
        <w:jc w:val="both"/>
        <w:rPr>
          <w:rFonts w:ascii="Times New Roman" w:eastAsia="Calibri" w:hAnsi="Times New Roman" w:cs="Times New Roman"/>
          <w:bCs/>
          <w:color w:val="000000"/>
          <w:sz w:val="24"/>
          <w:szCs w:val="24"/>
        </w:rPr>
      </w:pPr>
      <w:r w:rsidRPr="00341240">
        <w:rPr>
          <w:rFonts w:ascii="Times New Roman" w:eastAsia="Calibri" w:hAnsi="Times New Roman" w:cs="Times New Roman"/>
          <w:bCs/>
          <w:color w:val="000000"/>
          <w:sz w:val="24"/>
          <w:szCs w:val="24"/>
        </w:rPr>
        <w:t xml:space="preserve">служба внутреннего аудита (далее-СВА). СВА действует под непосредственным контролем Наблюдательного совета НКЦ. Основной задачей службы внутреннего аудита является независимая объективная оценка эффективности внутреннего контроля, системы риск-менеджмента и корпоративного управления. По результатам независимой оценки функции внутреннего аудита, проведенной в 2015 году, </w:t>
      </w:r>
      <w:r w:rsidRPr="00341240">
        <w:rPr>
          <w:rFonts w:ascii="Times New Roman" w:eastAsia="Calibri" w:hAnsi="Times New Roman" w:cs="Times New Roman"/>
          <w:bCs/>
          <w:color w:val="000000"/>
          <w:sz w:val="24"/>
          <w:szCs w:val="24"/>
          <w:lang w:val="en-US"/>
        </w:rPr>
        <w:t>PricewaterhouseCoopers</w:t>
      </w:r>
      <w:r w:rsidRPr="00341240">
        <w:rPr>
          <w:rFonts w:ascii="Times New Roman" w:eastAsia="Calibri" w:hAnsi="Times New Roman" w:cs="Times New Roman"/>
          <w:bCs/>
          <w:color w:val="000000"/>
          <w:sz w:val="24"/>
          <w:szCs w:val="24"/>
        </w:rPr>
        <w:t xml:space="preserve"> отметил, что СВА осуществляет оценку и мониторинг системы внутреннего контроля, качественно и эффективно выполняя свои обязанности в соответствии с нормативными требованиями Банка России, Группы «Московская Биржа» и бизнес-потребностями Банка.</w:t>
      </w:r>
    </w:p>
    <w:p w:rsidR="00341240" w:rsidRPr="00341240" w:rsidRDefault="00341240" w:rsidP="00341240">
      <w:pPr>
        <w:numPr>
          <w:ilvl w:val="0"/>
          <w:numId w:val="3"/>
        </w:numPr>
        <w:autoSpaceDE w:val="0"/>
        <w:autoSpaceDN w:val="0"/>
        <w:adjustRightInd w:val="0"/>
        <w:spacing w:after="0" w:line="240" w:lineRule="auto"/>
        <w:jc w:val="both"/>
        <w:rPr>
          <w:rFonts w:ascii="Times New Roman" w:hAnsi="Times New Roman"/>
          <w:bCs/>
          <w:color w:val="000000"/>
          <w:sz w:val="24"/>
          <w:szCs w:val="24"/>
        </w:rPr>
      </w:pPr>
      <w:r w:rsidRPr="00341240">
        <w:rPr>
          <w:rFonts w:ascii="Times New Roman" w:hAnsi="Times New Roman"/>
          <w:bCs/>
          <w:color w:val="000000"/>
          <w:sz w:val="24"/>
          <w:szCs w:val="24"/>
        </w:rPr>
        <w:t xml:space="preserve">служба внутреннего контроля (далее-СВК). </w:t>
      </w:r>
      <w:r w:rsidRPr="00341240">
        <w:rPr>
          <w:rFonts w:ascii="Times New Roman" w:hAnsi="Times New Roman"/>
          <w:bCs/>
          <w:sz w:val="24"/>
          <w:szCs w:val="24"/>
        </w:rPr>
        <w:t xml:space="preserve">СВК действует под непосредственным контролем Председателя Правления НКЦ. </w:t>
      </w:r>
      <w:r w:rsidRPr="00341240">
        <w:rPr>
          <w:rFonts w:ascii="Times New Roman" w:hAnsi="Times New Roman"/>
          <w:sz w:val="24"/>
          <w:szCs w:val="24"/>
        </w:rPr>
        <w:t xml:space="preserve">В части вопросов, связанных с выполнением требований законодательства о противодействии неправомерному использованию инсайдерской информации и манипулированию рынком, руководитель службы внутреннего контроля подотчетен </w:t>
      </w:r>
      <w:r w:rsidRPr="00341240">
        <w:rPr>
          <w:rFonts w:ascii="Times New Roman" w:hAnsi="Times New Roman"/>
          <w:bCs/>
          <w:sz w:val="24"/>
          <w:szCs w:val="24"/>
        </w:rPr>
        <w:t xml:space="preserve">Наблюдательному совету НКЦ. Основными функциями СВК являются выявление комплаенс риска (регуляторного риска) и организация управления этим риском, контроль соблюдения НКЦ законодательства о противодействии неправомерному использованию инсайдерской информации и манипулированию рынком в соответствии с </w:t>
      </w:r>
      <w:r w:rsidRPr="00341240">
        <w:rPr>
          <w:rFonts w:ascii="Times New Roman" w:hAnsi="Times New Roman"/>
          <w:sz w:val="24"/>
          <w:szCs w:val="24"/>
        </w:rPr>
        <w:t>Федеральным законом от 27.07.2010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Также, СВК обеспечивает контроль выполнения требований Федерального закона от 07.02.2011 N 7-ФЗ «О клиринге, клиринговой деятельности и центральном контрагенте».</w:t>
      </w:r>
    </w:p>
    <w:p w:rsidR="00341240" w:rsidRPr="00341240" w:rsidRDefault="00341240" w:rsidP="00341240">
      <w:pPr>
        <w:numPr>
          <w:ilvl w:val="0"/>
          <w:numId w:val="2"/>
        </w:numPr>
        <w:autoSpaceDE w:val="0"/>
        <w:autoSpaceDN w:val="0"/>
        <w:adjustRightInd w:val="0"/>
        <w:spacing w:after="0" w:line="240" w:lineRule="auto"/>
        <w:jc w:val="both"/>
        <w:rPr>
          <w:rFonts w:ascii="Times New Roman" w:hAnsi="Times New Roman"/>
          <w:bCs/>
          <w:color w:val="000000"/>
          <w:sz w:val="24"/>
          <w:szCs w:val="24"/>
        </w:rPr>
      </w:pPr>
      <w:r w:rsidRPr="00341240">
        <w:rPr>
          <w:rFonts w:ascii="Times New Roman" w:hAnsi="Times New Roman"/>
          <w:bCs/>
          <w:color w:val="000000"/>
          <w:sz w:val="24"/>
          <w:szCs w:val="24"/>
        </w:rPr>
        <w:t xml:space="preserve">служба финансового мониторинга - структурное подразделение НКЦ по противодействию легализации (отмыванию) доходов, полученных преступным путем, и финансированию терроризма, созданное и осуществляющее свою деятельность в соответствии с пунктом 2 статьи 7 Федерального закона от 07.08. 2001 N 115-ФЗ "О противодействии легализации (отмыванию) доходов, полученных преступным путем, и финансированию терроризма". </w:t>
      </w:r>
    </w:p>
    <w:p w:rsidR="00341240" w:rsidRPr="00341240" w:rsidRDefault="00341240" w:rsidP="00341240">
      <w:pPr>
        <w:autoSpaceDE w:val="0"/>
        <w:autoSpaceDN w:val="0"/>
        <w:adjustRightInd w:val="0"/>
        <w:spacing w:after="0" w:line="240" w:lineRule="auto"/>
        <w:ind w:left="1066"/>
        <w:jc w:val="both"/>
        <w:rPr>
          <w:rFonts w:ascii="Times New Roman" w:hAnsi="Times New Roman"/>
          <w:bCs/>
          <w:color w:val="000000"/>
          <w:sz w:val="24"/>
          <w:szCs w:val="24"/>
        </w:rPr>
      </w:pPr>
      <w:r w:rsidRPr="00341240">
        <w:rPr>
          <w:rFonts w:ascii="Times New Roman" w:hAnsi="Times New Roman"/>
          <w:bCs/>
          <w:color w:val="000000"/>
          <w:sz w:val="24"/>
          <w:szCs w:val="24"/>
        </w:rPr>
        <w:t>Приказом Председателя Правления назначен ответственный сотрудник (руководитель службы финансового мониторинга) - специальное должностное лицо, ответственное за реализацию правил внутреннего контроля в целях противодействия легализации (отмыванию) доходов, полученных преступным путем, и финансированию терроризма в НКЦ;</w:t>
      </w:r>
    </w:p>
    <w:p w:rsidR="00341240" w:rsidRPr="00341240" w:rsidRDefault="00341240" w:rsidP="00341240">
      <w:pPr>
        <w:numPr>
          <w:ilvl w:val="0"/>
          <w:numId w:val="1"/>
        </w:numPr>
        <w:autoSpaceDE w:val="0"/>
        <w:autoSpaceDN w:val="0"/>
        <w:adjustRightInd w:val="0"/>
        <w:spacing w:after="0" w:line="240" w:lineRule="auto"/>
        <w:jc w:val="both"/>
        <w:rPr>
          <w:rFonts w:ascii="Times New Roman" w:hAnsi="Times New Roman"/>
          <w:bCs/>
          <w:color w:val="000000"/>
          <w:sz w:val="24"/>
          <w:szCs w:val="24"/>
        </w:rPr>
      </w:pPr>
      <w:r w:rsidRPr="00341240">
        <w:rPr>
          <w:rFonts w:ascii="Times New Roman" w:hAnsi="Times New Roman"/>
          <w:bCs/>
          <w:color w:val="000000"/>
          <w:sz w:val="24"/>
          <w:szCs w:val="24"/>
        </w:rPr>
        <w:t>служба информационной безопасности;</w:t>
      </w:r>
    </w:p>
    <w:p w:rsidR="00341240" w:rsidRPr="00341240" w:rsidRDefault="00341240" w:rsidP="00341240">
      <w:pPr>
        <w:numPr>
          <w:ilvl w:val="0"/>
          <w:numId w:val="1"/>
        </w:numPr>
        <w:autoSpaceDE w:val="0"/>
        <w:autoSpaceDN w:val="0"/>
        <w:adjustRightInd w:val="0"/>
        <w:spacing w:after="0" w:line="240" w:lineRule="auto"/>
        <w:ind w:left="1066"/>
        <w:jc w:val="both"/>
        <w:rPr>
          <w:rFonts w:ascii="Times New Roman" w:hAnsi="Times New Roman"/>
          <w:bCs/>
          <w:color w:val="000000"/>
          <w:sz w:val="24"/>
          <w:szCs w:val="24"/>
        </w:rPr>
      </w:pPr>
      <w:r w:rsidRPr="00341240">
        <w:rPr>
          <w:rFonts w:ascii="Times New Roman" w:hAnsi="Times New Roman"/>
          <w:bCs/>
          <w:color w:val="000000"/>
          <w:sz w:val="24"/>
          <w:szCs w:val="24"/>
        </w:rPr>
        <w:t>департамент анализа и контроля рисков (далее-ДАКР)– структурное подразделение НКЦ, деятельность которого направлена на формирование единой и эффективной системы управления экономическими рисками НКЦ, как кредитной организации и клирингового центра, осуществляющего деятельность на рынках Группы «Московская Биржа». Также, ДАКР координирует и контролирует работу всех подразделений (работников), осуществляющих функции управления нефинансовыми рисками;</w:t>
      </w:r>
    </w:p>
    <w:p w:rsidR="00341240" w:rsidRPr="00341240" w:rsidRDefault="00341240" w:rsidP="00341240">
      <w:pPr>
        <w:numPr>
          <w:ilvl w:val="0"/>
          <w:numId w:val="1"/>
        </w:numPr>
        <w:autoSpaceDE w:val="0"/>
        <w:autoSpaceDN w:val="0"/>
        <w:adjustRightInd w:val="0"/>
        <w:spacing w:after="0" w:line="240" w:lineRule="auto"/>
        <w:jc w:val="both"/>
        <w:rPr>
          <w:rFonts w:ascii="Times New Roman" w:hAnsi="Times New Roman"/>
          <w:bCs/>
          <w:color w:val="000000"/>
          <w:sz w:val="24"/>
          <w:szCs w:val="24"/>
        </w:rPr>
      </w:pPr>
      <w:r w:rsidRPr="00341240">
        <w:rPr>
          <w:rFonts w:ascii="Times New Roman" w:hAnsi="Times New Roman"/>
          <w:bCs/>
          <w:color w:val="000000"/>
          <w:sz w:val="24"/>
          <w:szCs w:val="24"/>
        </w:rPr>
        <w:t xml:space="preserve">ответственный сотрудник по правовым вопросам – лицо, осуществляющее управление правовым риском и организацию работы по минимизации правового риска. Ответственный сотрудник по правовым вопросам осуществляет свою деятельность в соответствии с законодательством Российской Федерации, нормативными актами Банка России, Уставом и внутренними документами НКЦ; </w:t>
      </w:r>
    </w:p>
    <w:p w:rsidR="00341240" w:rsidRPr="00341240" w:rsidRDefault="00341240" w:rsidP="00341240">
      <w:pPr>
        <w:numPr>
          <w:ilvl w:val="0"/>
          <w:numId w:val="1"/>
        </w:numPr>
        <w:autoSpaceDE w:val="0"/>
        <w:autoSpaceDN w:val="0"/>
        <w:adjustRightInd w:val="0"/>
        <w:spacing w:after="0" w:line="240" w:lineRule="auto"/>
        <w:jc w:val="both"/>
        <w:rPr>
          <w:rFonts w:ascii="Times New Roman" w:hAnsi="Times New Roman"/>
          <w:bCs/>
          <w:color w:val="000000"/>
          <w:sz w:val="24"/>
          <w:szCs w:val="24"/>
        </w:rPr>
      </w:pPr>
      <w:r w:rsidRPr="00341240">
        <w:rPr>
          <w:rFonts w:ascii="Times New Roman" w:hAnsi="Times New Roman"/>
          <w:bCs/>
          <w:color w:val="000000"/>
          <w:sz w:val="24"/>
          <w:szCs w:val="24"/>
        </w:rPr>
        <w:t>ответственный сотрудник по управлению риском потери деловой репутации - лицо, осуществляющее управление риском потери деловой репутации и организацию работы по его минимизации. Ответственный сотрудник по управлению риском потери деловой репутации осуществляет свою деятельность в соответствии с законодательством Российской Федерации, нормативными актами Банка России, Уставом и внутренними документами НКЦ;</w:t>
      </w:r>
    </w:p>
    <w:p w:rsidR="00341240" w:rsidRPr="00341240" w:rsidRDefault="00341240" w:rsidP="00341240">
      <w:pPr>
        <w:numPr>
          <w:ilvl w:val="0"/>
          <w:numId w:val="1"/>
        </w:numPr>
        <w:autoSpaceDE w:val="0"/>
        <w:autoSpaceDN w:val="0"/>
        <w:adjustRightInd w:val="0"/>
        <w:spacing w:after="0" w:line="240" w:lineRule="auto"/>
        <w:jc w:val="both"/>
        <w:rPr>
          <w:rFonts w:ascii="Times New Roman" w:hAnsi="Times New Roman"/>
          <w:bCs/>
          <w:color w:val="000000"/>
          <w:sz w:val="24"/>
          <w:szCs w:val="24"/>
        </w:rPr>
      </w:pPr>
      <w:r w:rsidRPr="00341240">
        <w:rPr>
          <w:rFonts w:ascii="Times New Roman" w:hAnsi="Times New Roman"/>
          <w:bCs/>
          <w:color w:val="000000"/>
          <w:sz w:val="24"/>
          <w:szCs w:val="24"/>
        </w:rPr>
        <w:t xml:space="preserve">должностное лицо, ответственное за организацию управления операционным и стратегическим риском. Должностное лицо, ответственное за организацию управления операционным и стратегическим риском, осуществляет свою деятельность в соответствии с законодательством Российской Федерации, нормативными актами Банка России, Уставом и внутренними документами НКЦ;   </w:t>
      </w:r>
    </w:p>
    <w:p w:rsidR="00341240" w:rsidRPr="00341240" w:rsidRDefault="00341240" w:rsidP="00341240">
      <w:pPr>
        <w:numPr>
          <w:ilvl w:val="0"/>
          <w:numId w:val="1"/>
        </w:numPr>
        <w:autoSpaceDE w:val="0"/>
        <w:autoSpaceDN w:val="0"/>
        <w:adjustRightInd w:val="0"/>
        <w:spacing w:after="120" w:line="240" w:lineRule="auto"/>
        <w:ind w:left="1066" w:hanging="357"/>
        <w:jc w:val="both"/>
        <w:rPr>
          <w:rFonts w:ascii="Times New Roman" w:hAnsi="Times New Roman"/>
          <w:bCs/>
          <w:color w:val="000000"/>
          <w:sz w:val="24"/>
          <w:szCs w:val="24"/>
        </w:rPr>
      </w:pPr>
      <w:r w:rsidRPr="00341240">
        <w:rPr>
          <w:rFonts w:ascii="Times New Roman" w:hAnsi="Times New Roman"/>
          <w:bCs/>
          <w:color w:val="000000"/>
          <w:sz w:val="24"/>
          <w:szCs w:val="24"/>
        </w:rPr>
        <w:t>Иные структурные подразделения и работники НКЦ, осуществляющие внутренний контроль в соответствии с полномочиями, определенными внутренними документами НКЦ.</w:t>
      </w:r>
    </w:p>
    <w:p w:rsidR="00341240" w:rsidRPr="00341240" w:rsidRDefault="00341240" w:rsidP="00341240">
      <w:pPr>
        <w:autoSpaceDE w:val="0"/>
        <w:autoSpaceDN w:val="0"/>
        <w:adjustRightInd w:val="0"/>
        <w:spacing w:after="120" w:line="240" w:lineRule="auto"/>
        <w:jc w:val="both"/>
        <w:rPr>
          <w:rFonts w:ascii="Times New Roman" w:hAnsi="Times New Roman"/>
          <w:b/>
          <w:bCs/>
          <w:i/>
          <w:sz w:val="24"/>
          <w:szCs w:val="24"/>
        </w:rPr>
      </w:pPr>
      <w:r w:rsidRPr="00341240">
        <w:rPr>
          <w:rFonts w:ascii="Times New Roman" w:hAnsi="Times New Roman"/>
          <w:bCs/>
          <w:color w:val="000000"/>
          <w:sz w:val="24"/>
          <w:szCs w:val="24"/>
        </w:rPr>
        <w:t>Взаимодействие подразделений и работников НКЦ, входящих в систему внутреннего контроля, проиллюстрировано на схеме.</w:t>
      </w:r>
    </w:p>
    <w:p w:rsidR="00341240" w:rsidRPr="00341240" w:rsidRDefault="00341240" w:rsidP="00341240">
      <w:pPr>
        <w:autoSpaceDE w:val="0"/>
        <w:autoSpaceDN w:val="0"/>
        <w:adjustRightInd w:val="0"/>
        <w:spacing w:after="0" w:line="240" w:lineRule="auto"/>
        <w:ind w:firstLine="709"/>
        <w:jc w:val="center"/>
        <w:rPr>
          <w:rFonts w:ascii="Times New Roman" w:hAnsi="Times New Roman"/>
          <w:b/>
          <w:i/>
          <w:sz w:val="24"/>
          <w:szCs w:val="24"/>
        </w:rPr>
      </w:pPr>
      <w:r w:rsidRPr="00341240">
        <w:rPr>
          <w:rFonts w:ascii="Times New Roman" w:hAnsi="Times New Roman"/>
          <w:b/>
          <w:bCs/>
          <w:i/>
          <w:sz w:val="24"/>
          <w:szCs w:val="24"/>
        </w:rPr>
        <w:t>Взаимодействие подразделений и сотрудников НКЦ, входящих в систему внутреннего контроля</w:t>
      </w:r>
    </w:p>
    <w:p w:rsidR="00341240" w:rsidRPr="00341240" w:rsidRDefault="00341240" w:rsidP="00341240">
      <w:pPr>
        <w:autoSpaceDE w:val="0"/>
        <w:autoSpaceDN w:val="0"/>
        <w:adjustRightInd w:val="0"/>
        <w:spacing w:after="0" w:line="240" w:lineRule="auto"/>
        <w:rPr>
          <w:rFonts w:ascii="Times New Roman" w:hAnsi="Times New Roman"/>
          <w:b/>
          <w:bCs/>
          <w:color w:val="000000"/>
          <w:sz w:val="23"/>
          <w:szCs w:val="23"/>
        </w:rPr>
      </w:pPr>
      <w:r w:rsidRPr="00341240">
        <w:rPr>
          <w:noProof/>
          <w:lang w:eastAsia="ru-RU"/>
        </w:rPr>
        <mc:AlternateContent>
          <mc:Choice Requires="wps">
            <w:drawing>
              <wp:anchor distT="0" distB="0" distL="114300" distR="114300" simplePos="0" relativeHeight="251677696" behindDoc="0" locked="0" layoutInCell="1" allowOverlap="1" wp14:anchorId="5EFE50AA" wp14:editId="5D695FB3">
                <wp:simplePos x="0" y="0"/>
                <wp:positionH relativeFrom="column">
                  <wp:posOffset>1091565</wp:posOffset>
                </wp:positionH>
                <wp:positionV relativeFrom="paragraph">
                  <wp:posOffset>155575</wp:posOffset>
                </wp:positionV>
                <wp:extent cx="2905125" cy="329565"/>
                <wp:effectExtent l="0" t="0" r="28575" b="13335"/>
                <wp:wrapNone/>
                <wp:docPr id="29" name="Скругленный 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5125" cy="329565"/>
                        </a:xfrm>
                        <a:prstGeom prst="roundRect">
                          <a:avLst/>
                        </a:prstGeom>
                        <a:solidFill>
                          <a:sysClr val="window" lastClr="FFFFFF"/>
                        </a:solidFill>
                        <a:ln w="25400" cap="flat" cmpd="sng" algn="ctr">
                          <a:solidFill>
                            <a:srgbClr val="F79646"/>
                          </a:solidFill>
                          <a:prstDash val="solid"/>
                        </a:ln>
                        <a:effectLst/>
                      </wps:spPr>
                      <wps:txbx>
                        <w:txbxContent>
                          <w:p w:rsidR="00341240" w:rsidRDefault="00341240" w:rsidP="00341240">
                            <w:pPr>
                              <w:jc w:val="center"/>
                            </w:pPr>
                            <w:r>
                              <w:t xml:space="preserve"> Общее собрание акционеров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Скругленный прямоугольник 29" o:spid="_x0000_s1026" style="position:absolute;margin-left:85.95pt;margin-top:12.25pt;width:228.75pt;height:25.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" fillcolor="window" strokecolor="#f79646" strokeweight="2pt">
                <v:path arrowok="t"/>
                <v:textbox>
                  <w:txbxContent>
                    <w:p w:rsidR="00341240" w:rsidRDefault="00341240" w:rsidP="00341240">
                      <w:pPr>
                        <w:jc w:val="center"/>
                      </w:pPr>
                      <w:r>
                        <w:t xml:space="preserve"> Общее собрание акционеров</w:t>
                      </w:r>
                    </w:p>
                  </w:txbxContent>
                </v:textbox>
              </v:roundrect>
            </w:pict>
          </mc:Fallback>
        </mc:AlternateContent>
      </w:r>
    </w:p>
    <w:p w:rsidR="00341240" w:rsidRPr="00341240" w:rsidRDefault="00341240" w:rsidP="00341240">
      <w:pPr>
        <w:autoSpaceDE w:val="0"/>
        <w:autoSpaceDN w:val="0"/>
        <w:adjustRightInd w:val="0"/>
        <w:spacing w:after="0" w:line="240" w:lineRule="auto"/>
        <w:rPr>
          <w:rFonts w:ascii="Times New Roman" w:hAnsi="Times New Roman"/>
          <w:b/>
          <w:bCs/>
          <w:color w:val="000000"/>
          <w:sz w:val="23"/>
          <w:szCs w:val="23"/>
        </w:rPr>
      </w:pPr>
    </w:p>
    <w:p w:rsidR="00341240" w:rsidRPr="00341240" w:rsidRDefault="00341240" w:rsidP="00341240">
      <w:pPr>
        <w:autoSpaceDE w:val="0"/>
        <w:autoSpaceDN w:val="0"/>
        <w:adjustRightInd w:val="0"/>
        <w:spacing w:after="0" w:line="240" w:lineRule="auto"/>
        <w:rPr>
          <w:rFonts w:ascii="Times New Roman" w:hAnsi="Times New Roman"/>
          <w:b/>
          <w:bCs/>
          <w:color w:val="000000"/>
          <w:sz w:val="23"/>
          <w:szCs w:val="23"/>
        </w:rPr>
      </w:pPr>
      <w:r w:rsidRPr="00341240">
        <w:rPr>
          <w:noProof/>
          <w:lang w:eastAsia="ru-RU"/>
        </w:rPr>
        <mc:AlternateContent>
          <mc:Choice Requires="wps">
            <w:drawing>
              <wp:anchor distT="0" distB="0" distL="114300" distR="114300" simplePos="0" relativeHeight="251680768" behindDoc="0" locked="0" layoutInCell="1" allowOverlap="1" wp14:anchorId="1349EE84" wp14:editId="16500A28">
                <wp:simplePos x="0" y="0"/>
                <wp:positionH relativeFrom="column">
                  <wp:posOffset>4579620</wp:posOffset>
                </wp:positionH>
                <wp:positionV relativeFrom="paragraph">
                  <wp:posOffset>12700</wp:posOffset>
                </wp:positionV>
                <wp:extent cx="1485900" cy="685800"/>
                <wp:effectExtent l="0" t="0" r="19050" b="1905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685800"/>
                        </a:xfrm>
                        <a:prstGeom prst="rect">
                          <a:avLst/>
                        </a:prstGeom>
                        <a:solidFill>
                          <a:sysClr val="window" lastClr="FFFFFF"/>
                        </a:solidFill>
                        <a:ln w="25400" cap="flat" cmpd="sng" algn="ctr">
                          <a:solidFill>
                            <a:srgbClr val="F79646"/>
                          </a:solidFill>
                          <a:prstDash val="solid"/>
                        </a:ln>
                        <a:effectLst/>
                      </wps:spPr>
                      <wps:txbx>
                        <w:txbxContent>
                          <w:p w:rsidR="00341240" w:rsidRDefault="00341240" w:rsidP="00341240">
                            <w:pPr>
                              <w:spacing w:after="0"/>
                              <w:jc w:val="center"/>
                            </w:pPr>
                            <w:r>
                              <w:t>Служба внутреннего аудита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30" o:spid="_x0000_s1027" style="position:absolute;margin-left:360.6pt;margin-top:1pt;width:117pt;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" fillcolor="window" strokecolor="#f79646" strokeweight="2pt">
                <v:path arrowok="t"/>
                <v:textbox>
                  <w:txbxContent>
                    <w:p w:rsidR="00341240" w:rsidRDefault="00341240" w:rsidP="00341240">
                      <w:pPr>
                        <w:spacing w:after="0"/>
                        <w:jc w:val="center"/>
                      </w:pPr>
                      <w:r>
                        <w:t>Служба внутреннего аудита</w:t>
                      </w:r>
                    </w:p>
                  </w:txbxContent>
                </v:textbox>
              </v:rect>
            </w:pict>
          </mc:Fallback>
        </mc:AlternateContent>
      </w:r>
      <w:r w:rsidRPr="00341240">
        <w:rPr>
          <w:noProof/>
          <w:lang w:eastAsia="ru-RU"/>
        </w:rPr>
        <mc:AlternateContent>
          <mc:Choice Requires="wps">
            <w:drawing>
              <wp:anchor distT="0" distB="0" distL="114299" distR="114299" simplePos="0" relativeHeight="251679744" behindDoc="0" locked="0" layoutInCell="1" allowOverlap="1" wp14:anchorId="17A26FF5" wp14:editId="4DADD229">
                <wp:simplePos x="0" y="0"/>
                <wp:positionH relativeFrom="column">
                  <wp:posOffset>2592070</wp:posOffset>
                </wp:positionH>
                <wp:positionV relativeFrom="paragraph">
                  <wp:posOffset>159385</wp:posOffset>
                </wp:positionV>
                <wp:extent cx="0" cy="314325"/>
                <wp:effectExtent l="95250" t="38100" r="57150" b="9525"/>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143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3" o:spid="_x0000_s1026" type="#_x0000_t32" style="position:absolute;margin-left:204.1pt;margin-top:12.55pt;width:0;height:24.75pt;flip:y;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" strokecolor="#4a7ebb">
                <v:stroke endarrow="open"/>
                <o:lock v:ext="edit" shapetype="f"/>
              </v:shape>
            </w:pict>
          </mc:Fallback>
        </mc:AlternateContent>
      </w:r>
      <w:r w:rsidRPr="00341240">
        <w:rPr>
          <w:noProof/>
          <w:lang w:eastAsia="ru-RU"/>
        </w:rPr>
        <mc:AlternateContent>
          <mc:Choice Requires="wps">
            <w:drawing>
              <wp:anchor distT="0" distB="0" distL="114300" distR="114300" simplePos="0" relativeHeight="251682816" behindDoc="0" locked="0" layoutInCell="1" allowOverlap="1" wp14:anchorId="206445AA" wp14:editId="41D14B45">
                <wp:simplePos x="0" y="0"/>
                <wp:positionH relativeFrom="column">
                  <wp:posOffset>586740</wp:posOffset>
                </wp:positionH>
                <wp:positionV relativeFrom="paragraph">
                  <wp:posOffset>20320</wp:posOffset>
                </wp:positionV>
                <wp:extent cx="504825" cy="523875"/>
                <wp:effectExtent l="0" t="38100" r="47625" b="28575"/>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4825" cy="5238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4" o:spid="_x0000_s1026" type="#_x0000_t32" style="position:absolute;margin-left:46.2pt;margin-top:1.6pt;width:39.75pt;height:41.2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" strokecolor="#4a7ebb">
                <v:stroke endarrow="open"/>
                <o:lock v:ext="edit" shapetype="f"/>
              </v:shape>
            </w:pict>
          </mc:Fallback>
        </mc:AlternateContent>
      </w:r>
    </w:p>
    <w:p w:rsidR="00341240" w:rsidRPr="00341240" w:rsidRDefault="00341240" w:rsidP="00341240">
      <w:pPr>
        <w:autoSpaceDE w:val="0"/>
        <w:autoSpaceDN w:val="0"/>
        <w:adjustRightInd w:val="0"/>
        <w:spacing w:after="0" w:line="240" w:lineRule="auto"/>
        <w:rPr>
          <w:rFonts w:ascii="Times New Roman" w:hAnsi="Times New Roman"/>
          <w:b/>
          <w:bCs/>
          <w:color w:val="000000"/>
          <w:sz w:val="23"/>
          <w:szCs w:val="23"/>
        </w:rPr>
      </w:pPr>
      <w:r w:rsidRPr="00341240">
        <w:rPr>
          <w:noProof/>
          <w:lang w:eastAsia="ru-RU"/>
        </w:rPr>
        <mc:AlternateContent>
          <mc:Choice Requires="wps">
            <w:drawing>
              <wp:anchor distT="0" distB="0" distL="114300" distR="114300" simplePos="0" relativeHeight="251681792" behindDoc="0" locked="0" layoutInCell="1" allowOverlap="1" wp14:anchorId="1304A3E4" wp14:editId="34101C59">
                <wp:simplePos x="0" y="0"/>
                <wp:positionH relativeFrom="column">
                  <wp:posOffset>-594360</wp:posOffset>
                </wp:positionH>
                <wp:positionV relativeFrom="paragraph">
                  <wp:posOffset>109220</wp:posOffset>
                </wp:positionV>
                <wp:extent cx="1685925" cy="685800"/>
                <wp:effectExtent l="4763" t="0" r="14287" b="14288"/>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685925" cy="685800"/>
                        </a:xfrm>
                        <a:prstGeom prst="rect">
                          <a:avLst/>
                        </a:prstGeom>
                        <a:solidFill>
                          <a:sysClr val="window" lastClr="FFFFFF"/>
                        </a:solidFill>
                        <a:ln w="25400" cap="flat" cmpd="sng" algn="ctr">
                          <a:solidFill>
                            <a:srgbClr val="F79646"/>
                          </a:solidFill>
                          <a:prstDash val="solid"/>
                        </a:ln>
                        <a:effectLst/>
                      </wps:spPr>
                      <wps:txbx>
                        <w:txbxContent>
                          <w:p w:rsidR="00341240" w:rsidRDefault="00341240" w:rsidP="00341240">
                            <w:pPr>
                              <w:spacing w:after="0"/>
                              <w:jc w:val="center"/>
                            </w:pPr>
                            <w:r>
                              <w:t>Ревизионная комиссия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55" o:spid="_x0000_s1028" style="position:absolute;margin-left:-46.8pt;margin-top:8.6pt;width:132.75pt;height:54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" fillcolor="window" strokecolor="#f79646" strokeweight="2pt">
                <v:path arrowok="t"/>
                <v:textbox>
                  <w:txbxContent>
                    <w:p w:rsidR="00341240" w:rsidRDefault="00341240" w:rsidP="00341240">
                      <w:pPr>
                        <w:spacing w:after="0"/>
                        <w:jc w:val="center"/>
                      </w:pPr>
                      <w:r>
                        <w:t>Ревизионная комиссия</w:t>
                      </w:r>
                    </w:p>
                  </w:txbxContent>
                </v:textbox>
              </v:rect>
            </w:pict>
          </mc:Fallback>
        </mc:AlternateContent>
      </w:r>
    </w:p>
    <w:p w:rsidR="00341240" w:rsidRPr="00341240" w:rsidRDefault="00341240" w:rsidP="00341240">
      <w:pPr>
        <w:autoSpaceDE w:val="0"/>
        <w:autoSpaceDN w:val="0"/>
        <w:adjustRightInd w:val="0"/>
        <w:spacing w:after="0" w:line="240" w:lineRule="auto"/>
        <w:rPr>
          <w:rFonts w:ascii="Times New Roman" w:hAnsi="Times New Roman"/>
          <w:b/>
          <w:bCs/>
          <w:color w:val="000000"/>
          <w:sz w:val="23"/>
          <w:szCs w:val="23"/>
        </w:rPr>
      </w:pPr>
      <w:r w:rsidRPr="00341240">
        <w:rPr>
          <w:noProof/>
          <w:lang w:eastAsia="ru-RU"/>
        </w:rPr>
        <mc:AlternateContent>
          <mc:Choice Requires="wps">
            <w:drawing>
              <wp:anchor distT="0" distB="0" distL="114300" distR="114300" simplePos="0" relativeHeight="251683840" behindDoc="0" locked="0" layoutInCell="1" allowOverlap="1" wp14:anchorId="29D72A37" wp14:editId="3E7B472A">
                <wp:simplePos x="0" y="0"/>
                <wp:positionH relativeFrom="column">
                  <wp:posOffset>3994785</wp:posOffset>
                </wp:positionH>
                <wp:positionV relativeFrom="paragraph">
                  <wp:posOffset>32385</wp:posOffset>
                </wp:positionV>
                <wp:extent cx="586740" cy="230505"/>
                <wp:effectExtent l="38100" t="0" r="22860" b="74295"/>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6740" cy="23050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6" o:spid="_x0000_s1026" type="#_x0000_t32" style="position:absolute;margin-left:314.55pt;margin-top:2.55pt;width:46.2pt;height:18.1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" strokecolor="#4a7ebb">
                <v:stroke endarrow="open"/>
                <o:lock v:ext="edit" shapetype="f"/>
              </v:shape>
            </w:pict>
          </mc:Fallback>
        </mc:AlternateContent>
      </w:r>
      <w:r w:rsidRPr="00341240">
        <w:rPr>
          <w:noProof/>
          <w:lang w:eastAsia="ru-RU"/>
        </w:rPr>
        <mc:AlternateContent>
          <mc:Choice Requires="wps">
            <w:drawing>
              <wp:anchor distT="0" distB="0" distL="114300" distR="114300" simplePos="0" relativeHeight="251678720" behindDoc="0" locked="0" layoutInCell="1" allowOverlap="1" wp14:anchorId="1A65DF2A" wp14:editId="512F1DFB">
                <wp:simplePos x="0" y="0"/>
                <wp:positionH relativeFrom="column">
                  <wp:posOffset>1090930</wp:posOffset>
                </wp:positionH>
                <wp:positionV relativeFrom="paragraph">
                  <wp:posOffset>143510</wp:posOffset>
                </wp:positionV>
                <wp:extent cx="2905125" cy="352425"/>
                <wp:effectExtent l="0" t="0" r="28575" b="28575"/>
                <wp:wrapNone/>
                <wp:docPr id="57" name="Скругленный 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5125" cy="352425"/>
                        </a:xfrm>
                        <a:prstGeom prst="roundRect">
                          <a:avLst/>
                        </a:prstGeom>
                        <a:solidFill>
                          <a:sysClr val="window" lastClr="FFFFFF"/>
                        </a:solidFill>
                        <a:ln w="25400" cap="flat" cmpd="sng" algn="ctr">
                          <a:solidFill>
                            <a:srgbClr val="F79646"/>
                          </a:solidFill>
                          <a:prstDash val="solid"/>
                        </a:ln>
                        <a:effectLst/>
                      </wps:spPr>
                      <wps:txbx>
                        <w:txbxContent>
                          <w:p w:rsidR="00341240" w:rsidRDefault="00341240" w:rsidP="00341240">
                            <w:pPr>
                              <w:jc w:val="center"/>
                            </w:pPr>
                            <w:r>
                              <w:t>Наблюдательный совет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Скругленный прямоугольник 57" o:spid="_x0000_s1029" style="position:absolute;margin-left:85.9pt;margin-top:11.3pt;width:228.75pt;height:2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" fillcolor="window" strokecolor="#f79646" strokeweight="2pt">
                <v:path arrowok="t"/>
                <v:textbox>
                  <w:txbxContent>
                    <w:p w:rsidR="00341240" w:rsidRDefault="00341240" w:rsidP="00341240">
                      <w:pPr>
                        <w:jc w:val="center"/>
                      </w:pPr>
                      <w:r>
                        <w:t>Наблюдательный совет</w:t>
                      </w:r>
                    </w:p>
                  </w:txbxContent>
                </v:textbox>
              </v:roundrect>
            </w:pict>
          </mc:Fallback>
        </mc:AlternateContent>
      </w:r>
    </w:p>
    <w:p w:rsidR="00341240" w:rsidRPr="00341240" w:rsidRDefault="00341240" w:rsidP="00341240">
      <w:pPr>
        <w:autoSpaceDE w:val="0"/>
        <w:autoSpaceDN w:val="0"/>
        <w:adjustRightInd w:val="0"/>
        <w:spacing w:after="0" w:line="240" w:lineRule="auto"/>
        <w:rPr>
          <w:rFonts w:ascii="Times New Roman" w:hAnsi="Times New Roman"/>
          <w:b/>
          <w:bCs/>
          <w:color w:val="000000"/>
          <w:sz w:val="23"/>
          <w:szCs w:val="23"/>
        </w:rPr>
      </w:pPr>
      <w:r w:rsidRPr="00341240">
        <w:rPr>
          <w:noProof/>
          <w:lang w:eastAsia="ru-RU"/>
        </w:rPr>
        <mc:AlternateContent>
          <mc:Choice Requires="wps">
            <w:drawing>
              <wp:anchor distT="0" distB="0" distL="114300" distR="114300" simplePos="0" relativeHeight="251667456" behindDoc="0" locked="0" layoutInCell="1" allowOverlap="1" wp14:anchorId="24FAA644" wp14:editId="3EC940B7">
                <wp:simplePos x="0" y="0"/>
                <wp:positionH relativeFrom="column">
                  <wp:posOffset>586740</wp:posOffset>
                </wp:positionH>
                <wp:positionV relativeFrom="paragraph">
                  <wp:posOffset>135255</wp:posOffset>
                </wp:positionV>
                <wp:extent cx="504825" cy="19050"/>
                <wp:effectExtent l="0" t="76200" r="9525" b="95250"/>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4825" cy="190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9" o:spid="_x0000_s1026" type="#_x0000_t32" style="position:absolute;margin-left:46.2pt;margin-top:10.65pt;width:39.75pt;height:1.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" strokecolor="#4a7ebb">
                <v:stroke endarrow="open"/>
                <o:lock v:ext="edit" shapetype="f"/>
              </v:shape>
            </w:pict>
          </mc:Fallback>
        </mc:AlternateContent>
      </w:r>
    </w:p>
    <w:tbl>
      <w:tblPr>
        <w:tblW w:w="0" w:type="auto"/>
        <w:tblBorders>
          <w:top w:val="nil"/>
          <w:left w:val="nil"/>
          <w:bottom w:val="nil"/>
          <w:right w:val="nil"/>
        </w:tblBorders>
        <w:tblLayout w:type="fixed"/>
        <w:tblLook w:val="0000" w:firstRow="0" w:lastRow="0" w:firstColumn="0" w:lastColumn="0" w:noHBand="0" w:noVBand="0"/>
      </w:tblPr>
      <w:tblGrid>
        <w:gridCol w:w="9365"/>
      </w:tblGrid>
      <w:tr w:rsidR="00341240" w:rsidRPr="00341240" w:rsidTr="00411971">
        <w:trPr>
          <w:trHeight w:val="519"/>
        </w:trPr>
        <w:tc>
          <w:tcPr>
            <w:tcW w:w="9365" w:type="dxa"/>
          </w:tcPr>
          <w:p w:rsidR="00341240" w:rsidRPr="00341240" w:rsidRDefault="00341240" w:rsidP="00341240">
            <w:pPr>
              <w:autoSpaceDE w:val="0"/>
              <w:autoSpaceDN w:val="0"/>
              <w:adjustRightInd w:val="0"/>
              <w:spacing w:after="0" w:line="240" w:lineRule="auto"/>
              <w:rPr>
                <w:rFonts w:ascii="Times New Roman" w:hAnsi="Times New Roman"/>
                <w:color w:val="000000"/>
                <w:sz w:val="23"/>
                <w:szCs w:val="23"/>
              </w:rPr>
            </w:pPr>
            <w:r w:rsidRPr="00341240">
              <w:rPr>
                <w:noProof/>
                <w:lang w:eastAsia="ru-RU"/>
              </w:rPr>
              <mc:AlternateContent>
                <mc:Choice Requires="wps">
                  <w:drawing>
                    <wp:anchor distT="0" distB="0" distL="114299" distR="114299" simplePos="0" relativeHeight="251660288" behindDoc="0" locked="0" layoutInCell="1" allowOverlap="1" wp14:anchorId="0869FDD7" wp14:editId="653BE570">
                      <wp:simplePos x="0" y="0"/>
                      <wp:positionH relativeFrom="column">
                        <wp:posOffset>2523490</wp:posOffset>
                      </wp:positionH>
                      <wp:positionV relativeFrom="paragraph">
                        <wp:posOffset>153670</wp:posOffset>
                      </wp:positionV>
                      <wp:extent cx="0" cy="314325"/>
                      <wp:effectExtent l="95250" t="38100" r="57150" b="9525"/>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143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Прямая со стрелкой 60" o:spid="_x0000_s1026" type="#_x0000_t32" style="position:absolute;margin-left:198.7pt;margin-top:12.1pt;width:0;height:24.75pt;flip:y;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" strokecolor="#4a7ebb">
                      <v:stroke endarrow="open"/>
                      <o:lock v:ext="edit" shapetype="f"/>
                    </v:shape>
                  </w:pict>
                </mc:Fallback>
              </mc:AlternateContent>
            </w:r>
            <w:r w:rsidRPr="00341240">
              <w:rPr>
                <w:noProof/>
                <w:lang w:eastAsia="ru-RU"/>
              </w:rPr>
              <mc:AlternateContent>
                <mc:Choice Requires="wps">
                  <w:drawing>
                    <wp:anchor distT="0" distB="0" distL="114300" distR="114300" simplePos="0" relativeHeight="251666432" behindDoc="0" locked="0" layoutInCell="1" allowOverlap="1" wp14:anchorId="45DDECB4" wp14:editId="6DCE8842">
                      <wp:simplePos x="0" y="0"/>
                      <wp:positionH relativeFrom="column">
                        <wp:posOffset>3941445</wp:posOffset>
                      </wp:positionH>
                      <wp:positionV relativeFrom="paragraph">
                        <wp:posOffset>39369</wp:posOffset>
                      </wp:positionV>
                      <wp:extent cx="567690" cy="436245"/>
                      <wp:effectExtent l="38100" t="38100" r="22860" b="20955"/>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67690" cy="4362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1" o:spid="_x0000_s1026" type="#_x0000_t32" style="position:absolute;margin-left:310.35pt;margin-top:3.1pt;width:44.7pt;height:34.3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" strokecolor="#4a7ebb">
                      <v:stroke endarrow="open"/>
                      <o:lock v:ext="edit" shapetype="f"/>
                    </v:shape>
                  </w:pict>
                </mc:Fallback>
              </mc:AlternateContent>
            </w:r>
            <w:r w:rsidRPr="00341240">
              <w:rPr>
                <w:noProof/>
                <w:lang w:eastAsia="ru-RU"/>
              </w:rPr>
              <mc:AlternateContent>
                <mc:Choice Requires="wps">
                  <w:drawing>
                    <wp:anchor distT="0" distB="0" distL="114300" distR="114300" simplePos="0" relativeHeight="251668480" behindDoc="0" locked="0" layoutInCell="1" allowOverlap="1" wp14:anchorId="274E4822" wp14:editId="01321972">
                      <wp:simplePos x="0" y="0"/>
                      <wp:positionH relativeFrom="column">
                        <wp:posOffset>520065</wp:posOffset>
                      </wp:positionH>
                      <wp:positionV relativeFrom="paragraph">
                        <wp:posOffset>146050</wp:posOffset>
                      </wp:positionV>
                      <wp:extent cx="573405" cy="384175"/>
                      <wp:effectExtent l="0" t="0" r="55245" b="53975"/>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 cy="3841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2" o:spid="_x0000_s1026" type="#_x0000_t32" style="position:absolute;margin-left:40.95pt;margin-top:11.5pt;width:45.15pt;height:3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" strokecolor="#4a7ebb">
                      <v:stroke endarrow="open"/>
                      <o:lock v:ext="edit" shapetype="f"/>
                    </v:shape>
                  </w:pict>
                </mc:Fallback>
              </mc:AlternateContent>
            </w:r>
            <w:r w:rsidRPr="00341240">
              <w:rPr>
                <w:noProof/>
                <w:lang w:eastAsia="ru-RU"/>
              </w:rPr>
              <mc:AlternateContent>
                <mc:Choice Requires="wps">
                  <w:drawing>
                    <wp:anchor distT="0" distB="0" distL="114300" distR="114300" simplePos="0" relativeHeight="251662336" behindDoc="0" locked="0" layoutInCell="1" allowOverlap="1" wp14:anchorId="7A06DCC3" wp14:editId="74502770">
                      <wp:simplePos x="0" y="0"/>
                      <wp:positionH relativeFrom="column">
                        <wp:posOffset>4511040</wp:posOffset>
                      </wp:positionH>
                      <wp:positionV relativeFrom="paragraph">
                        <wp:posOffset>291465</wp:posOffset>
                      </wp:positionV>
                      <wp:extent cx="1485900" cy="685800"/>
                      <wp:effectExtent l="0" t="0" r="19050" b="19050"/>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685800"/>
                              </a:xfrm>
                              <a:prstGeom prst="rect">
                                <a:avLst/>
                              </a:prstGeom>
                              <a:solidFill>
                                <a:sysClr val="window" lastClr="FFFFFF"/>
                              </a:solidFill>
                              <a:ln w="25400" cap="flat" cmpd="sng" algn="ctr">
                                <a:solidFill>
                                  <a:srgbClr val="F79646"/>
                                </a:solidFill>
                                <a:prstDash val="solid"/>
                              </a:ln>
                              <a:effectLst/>
                            </wps:spPr>
                            <wps:txbx>
                              <w:txbxContent>
                                <w:p w:rsidR="00341240" w:rsidRDefault="00341240" w:rsidP="00341240">
                                  <w:pPr>
                                    <w:spacing w:after="0"/>
                                    <w:jc w:val="center"/>
                                  </w:pPr>
                                  <w:r>
                                    <w:t>Служба внутреннего контроля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63" o:spid="_x0000_s1030" style="position:absolute;margin-left:355.2pt;margin-top:22.95pt;width:117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" fillcolor="window" strokecolor="#f79646" strokeweight="2pt">
                      <v:path arrowok="t"/>
                      <v:textbox>
                        <w:txbxContent>
                          <w:p w:rsidR="00341240" w:rsidRDefault="00341240" w:rsidP="00341240">
                            <w:pPr>
                              <w:spacing w:after="0"/>
                              <w:jc w:val="center"/>
                            </w:pPr>
                            <w:r>
                              <w:t>Служба внутреннего контроля</w:t>
                            </w:r>
                          </w:p>
                        </w:txbxContent>
                      </v:textbox>
                    </v:rect>
                  </w:pict>
                </mc:Fallback>
              </mc:AlternateContent>
            </w:r>
          </w:p>
        </w:tc>
      </w:tr>
      <w:tr w:rsidR="00341240" w:rsidRPr="00341240" w:rsidTr="00411971">
        <w:trPr>
          <w:trHeight w:val="361"/>
        </w:trPr>
        <w:tc>
          <w:tcPr>
            <w:tcW w:w="9365" w:type="dxa"/>
          </w:tcPr>
          <w:p w:rsidR="00341240" w:rsidRPr="00341240" w:rsidRDefault="00341240" w:rsidP="00341240">
            <w:pPr>
              <w:autoSpaceDE w:val="0"/>
              <w:autoSpaceDN w:val="0"/>
              <w:adjustRightInd w:val="0"/>
              <w:spacing w:after="0" w:line="240" w:lineRule="auto"/>
              <w:rPr>
                <w:rFonts w:ascii="Times New Roman" w:hAnsi="Times New Roman"/>
                <w:color w:val="000000"/>
                <w:sz w:val="23"/>
                <w:szCs w:val="23"/>
              </w:rPr>
            </w:pPr>
            <w:r w:rsidRPr="00341240">
              <w:rPr>
                <w:noProof/>
                <w:lang w:eastAsia="ru-RU"/>
              </w:rPr>
              <mc:AlternateContent>
                <mc:Choice Requires="wps">
                  <w:drawing>
                    <wp:anchor distT="0" distB="0" distL="114300" distR="114300" simplePos="0" relativeHeight="251674624" behindDoc="0" locked="0" layoutInCell="1" allowOverlap="1" wp14:anchorId="679CD500" wp14:editId="06A43EBD">
                      <wp:simplePos x="0" y="0"/>
                      <wp:positionH relativeFrom="column">
                        <wp:posOffset>3994784</wp:posOffset>
                      </wp:positionH>
                      <wp:positionV relativeFrom="paragraph">
                        <wp:posOffset>394971</wp:posOffset>
                      </wp:positionV>
                      <wp:extent cx="514350" cy="45719"/>
                      <wp:effectExtent l="38100" t="38100" r="19050" b="107315"/>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14350" cy="45719"/>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4" o:spid="_x0000_s1026" type="#_x0000_t32" style="position:absolute;margin-left:314.55pt;margin-top:31.1pt;width:40.5pt;height:3.6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" strokecolor="#4a7ebb">
                      <v:stroke endarrow="open"/>
                      <o:lock v:ext="edit" shapetype="f"/>
                    </v:shape>
                  </w:pict>
                </mc:Fallback>
              </mc:AlternateContent>
            </w:r>
            <w:r w:rsidRPr="00341240">
              <w:rPr>
                <w:noProof/>
                <w:lang w:eastAsia="ru-RU"/>
              </w:rPr>
              <mc:AlternateContent>
                <mc:Choice Requires="wps">
                  <w:drawing>
                    <wp:anchor distT="0" distB="0" distL="114300" distR="114300" simplePos="0" relativeHeight="251659264" behindDoc="0" locked="0" layoutInCell="1" allowOverlap="1" wp14:anchorId="6607950D" wp14:editId="4BEDFCFF">
                      <wp:simplePos x="0" y="0"/>
                      <wp:positionH relativeFrom="column">
                        <wp:posOffset>1090930</wp:posOffset>
                      </wp:positionH>
                      <wp:positionV relativeFrom="paragraph">
                        <wp:posOffset>144780</wp:posOffset>
                      </wp:positionV>
                      <wp:extent cx="2905125" cy="571500"/>
                      <wp:effectExtent l="0" t="0" r="28575" b="19050"/>
                      <wp:wrapNone/>
                      <wp:docPr id="65" name="Скругленный 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5125" cy="571500"/>
                              </a:xfrm>
                              <a:prstGeom prst="roundRect">
                                <a:avLst/>
                              </a:prstGeom>
                              <a:solidFill>
                                <a:sysClr val="window" lastClr="FFFFFF"/>
                              </a:solidFill>
                              <a:ln w="25400" cap="flat" cmpd="sng" algn="ctr">
                                <a:solidFill>
                                  <a:srgbClr val="F79646"/>
                                </a:solidFill>
                                <a:prstDash val="solid"/>
                              </a:ln>
                              <a:effectLst/>
                            </wps:spPr>
                            <wps:txbx>
                              <w:txbxContent>
                                <w:p w:rsidR="00341240" w:rsidRDefault="00341240" w:rsidP="00341240">
                                  <w:pPr>
                                    <w:spacing w:after="0" w:line="240" w:lineRule="auto"/>
                                    <w:jc w:val="center"/>
                                  </w:pPr>
                                  <w:r>
                                    <w:t xml:space="preserve">Правление, </w:t>
                                  </w:r>
                                </w:p>
                                <w:p w:rsidR="00341240" w:rsidRDefault="00341240" w:rsidP="00341240">
                                  <w:pPr>
                                    <w:spacing w:after="0" w:line="240" w:lineRule="auto"/>
                                    <w:jc w:val="center"/>
                                  </w:pPr>
                                  <w:r>
                                    <w:t xml:space="preserve">Председатель Правления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5" o:spid="_x0000_s1031" style="position:absolute;margin-left:85.9pt;margin-top:11.4pt;width:228.7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" fillcolor="window" strokecolor="#f79646" strokeweight="2pt">
                      <v:path arrowok="t"/>
                      <v:textbox>
                        <w:txbxContent>
                          <w:p w:rsidR="00341240" w:rsidRDefault="00341240" w:rsidP="00341240">
                            <w:pPr>
                              <w:spacing w:after="0" w:line="240" w:lineRule="auto"/>
                              <w:jc w:val="center"/>
                            </w:pPr>
                            <w:r>
                              <w:t xml:space="preserve">Правление, </w:t>
                            </w:r>
                          </w:p>
                          <w:p w:rsidR="00341240" w:rsidRDefault="00341240" w:rsidP="00341240">
                            <w:pPr>
                              <w:spacing w:after="0" w:line="240" w:lineRule="auto"/>
                              <w:jc w:val="center"/>
                            </w:pPr>
                            <w:r>
                              <w:t xml:space="preserve">Председатель Правления </w:t>
                            </w:r>
                          </w:p>
                        </w:txbxContent>
                      </v:textbox>
                    </v:roundrect>
                  </w:pict>
                </mc:Fallback>
              </mc:AlternateContent>
            </w:r>
          </w:p>
        </w:tc>
      </w:tr>
      <w:tr w:rsidR="00341240" w:rsidRPr="00341240" w:rsidTr="00411971">
        <w:trPr>
          <w:trHeight w:val="4046"/>
        </w:trPr>
        <w:tc>
          <w:tcPr>
            <w:tcW w:w="9365" w:type="dxa"/>
          </w:tcPr>
          <w:p w:rsidR="00341240" w:rsidRPr="00341240" w:rsidRDefault="00341240" w:rsidP="00341240">
            <w:pPr>
              <w:autoSpaceDE w:val="0"/>
              <w:autoSpaceDN w:val="0"/>
              <w:adjustRightInd w:val="0"/>
              <w:spacing w:after="0" w:line="240" w:lineRule="auto"/>
              <w:rPr>
                <w:rFonts w:ascii="Times New Roman" w:hAnsi="Times New Roman"/>
                <w:color w:val="000000"/>
                <w:sz w:val="23"/>
                <w:szCs w:val="23"/>
              </w:rPr>
            </w:pPr>
            <w:r w:rsidRPr="00341240">
              <w:rPr>
                <w:noProof/>
                <w:lang w:eastAsia="ru-RU"/>
              </w:rPr>
              <mc:AlternateContent>
                <mc:Choice Requires="wps">
                  <w:drawing>
                    <wp:anchor distT="0" distB="0" distL="114299" distR="114299" simplePos="0" relativeHeight="251665408" behindDoc="0" locked="0" layoutInCell="1" allowOverlap="1" wp14:anchorId="369C9A86" wp14:editId="30E0CC5D">
                      <wp:simplePos x="0" y="0"/>
                      <wp:positionH relativeFrom="column">
                        <wp:posOffset>2519323</wp:posOffset>
                      </wp:positionH>
                      <wp:positionV relativeFrom="paragraph">
                        <wp:posOffset>487082</wp:posOffset>
                      </wp:positionV>
                      <wp:extent cx="45719" cy="1358386"/>
                      <wp:effectExtent l="76200" t="38100" r="69215" b="13335"/>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719" cy="135838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73" o:spid="_x0000_s1026" type="#_x0000_t32" style="position:absolute;margin-left:198.35pt;margin-top:38.35pt;width:3.6pt;height:106.95pt;flip:x y;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" strokecolor="#4a7ebb">
                      <v:stroke endarrow="open"/>
                      <o:lock v:ext="edit" shapetype="f"/>
                    </v:shape>
                  </w:pict>
                </mc:Fallback>
              </mc:AlternateContent>
            </w:r>
            <w:r w:rsidRPr="00341240">
              <w:rPr>
                <w:noProof/>
                <w:lang w:eastAsia="ru-RU"/>
              </w:rPr>
              <mc:AlternateContent>
                <mc:Choice Requires="wps">
                  <w:drawing>
                    <wp:anchor distT="0" distB="0" distL="114300" distR="114300" simplePos="0" relativeHeight="251663360" behindDoc="0" locked="0" layoutInCell="1" allowOverlap="1" wp14:anchorId="3B0CE2C7" wp14:editId="7864C1B5">
                      <wp:simplePos x="0" y="0"/>
                      <wp:positionH relativeFrom="column">
                        <wp:posOffset>-405710</wp:posOffset>
                      </wp:positionH>
                      <wp:positionV relativeFrom="paragraph">
                        <wp:posOffset>1102995</wp:posOffset>
                      </wp:positionV>
                      <wp:extent cx="1685925" cy="685800"/>
                      <wp:effectExtent l="0" t="0" r="28575" b="19050"/>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925" cy="685800"/>
                              </a:xfrm>
                              <a:prstGeom prst="rect">
                                <a:avLst/>
                              </a:prstGeom>
                              <a:solidFill>
                                <a:sysClr val="window" lastClr="FFFFFF"/>
                              </a:solidFill>
                              <a:ln w="25400" cap="flat" cmpd="sng" algn="ctr">
                                <a:solidFill>
                                  <a:srgbClr val="F79646"/>
                                </a:solidFill>
                                <a:prstDash val="solid"/>
                              </a:ln>
                              <a:effectLst/>
                            </wps:spPr>
                            <wps:txbx>
                              <w:txbxContent>
                                <w:p w:rsidR="00341240" w:rsidRDefault="00341240" w:rsidP="00341240">
                                  <w:pPr>
                                    <w:spacing w:after="0"/>
                                    <w:jc w:val="center"/>
                                  </w:pPr>
                                  <w:r>
                                    <w:t>Главный бухгалтер и его заместители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58" o:spid="_x0000_s1032" style="position:absolute;margin-left:-31.95pt;margin-top:86.85pt;width:132.75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" fillcolor="window" strokecolor="#f79646" strokeweight="2pt">
                      <v:path arrowok="t"/>
                      <v:textbox>
                        <w:txbxContent>
                          <w:p w:rsidR="00341240" w:rsidRDefault="00341240" w:rsidP="00341240">
                            <w:pPr>
                              <w:spacing w:after="0"/>
                              <w:jc w:val="center"/>
                            </w:pPr>
                            <w:r>
                              <w:t>Главный бухгалтер и его заместители</w:t>
                            </w:r>
                          </w:p>
                        </w:txbxContent>
                      </v:textbox>
                    </v:rect>
                  </w:pict>
                </mc:Fallback>
              </mc:AlternateContent>
            </w:r>
            <w:r w:rsidRPr="00341240">
              <w:rPr>
                <w:noProof/>
                <w:lang w:eastAsia="ru-RU"/>
              </w:rPr>
              <mc:AlternateContent>
                <mc:Choice Requires="wps">
                  <w:drawing>
                    <wp:anchor distT="0" distB="0" distL="114300" distR="114300" simplePos="0" relativeHeight="251661312" behindDoc="0" locked="0" layoutInCell="1" allowOverlap="1" wp14:anchorId="4C683FA7" wp14:editId="565ED018">
                      <wp:simplePos x="0" y="0"/>
                      <wp:positionH relativeFrom="column">
                        <wp:posOffset>1132616</wp:posOffset>
                      </wp:positionH>
                      <wp:positionV relativeFrom="paragraph">
                        <wp:posOffset>1845923</wp:posOffset>
                      </wp:positionV>
                      <wp:extent cx="2800350" cy="1485900"/>
                      <wp:effectExtent l="0" t="0" r="19050" b="19050"/>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0350" cy="1485900"/>
                              </a:xfrm>
                              <a:prstGeom prst="rect">
                                <a:avLst/>
                              </a:prstGeom>
                              <a:solidFill>
                                <a:sysClr val="window" lastClr="FFFFFF"/>
                              </a:solidFill>
                              <a:ln w="25400" cap="flat" cmpd="sng" algn="ctr">
                                <a:solidFill>
                                  <a:srgbClr val="F79646"/>
                                </a:solidFill>
                                <a:prstDash val="solid"/>
                              </a:ln>
                              <a:effectLst/>
                            </wps:spPr>
                            <wps:txbx>
                              <w:txbxContent>
                                <w:p w:rsidR="00341240" w:rsidRDefault="00341240" w:rsidP="00341240">
                                  <w:pPr>
                                    <w:spacing w:after="0" w:line="240" w:lineRule="auto"/>
                                    <w:jc w:val="both"/>
                                  </w:pPr>
                                  <w:r>
                                    <w:t>Департамент анализа и контроля рисков;</w:t>
                                  </w:r>
                                </w:p>
                                <w:p w:rsidR="00341240" w:rsidRDefault="00341240" w:rsidP="00341240">
                                  <w:pPr>
                                    <w:spacing w:after="0" w:line="240" w:lineRule="auto"/>
                                    <w:jc w:val="both"/>
                                  </w:pPr>
                                  <w:r>
                                    <w:t>Ответственный сотрудник по правовым вопросам;</w:t>
                                  </w:r>
                                </w:p>
                                <w:p w:rsidR="00341240" w:rsidRDefault="00341240" w:rsidP="00341240">
                                  <w:pPr>
                                    <w:spacing w:after="0" w:line="240" w:lineRule="auto"/>
                                    <w:jc w:val="both"/>
                                  </w:pPr>
                                  <w:r>
                                    <w:t>Ответственный сотрудник по управлению риском потери деловой репутации;</w:t>
                                  </w:r>
                                </w:p>
                                <w:p w:rsidR="00341240" w:rsidRDefault="00341240" w:rsidP="00341240">
                                  <w:pPr>
                                    <w:spacing w:after="0" w:line="240" w:lineRule="auto"/>
                                    <w:jc w:val="both"/>
                                  </w:pPr>
                                  <w:r>
                                    <w:t>Должностное лицо, ответственное за управление операционным и</w:t>
                                  </w:r>
                                  <w:r w:rsidRPr="00E9090A">
                                    <w:t xml:space="preserve"> </w:t>
                                  </w:r>
                                  <w:r>
                                    <w:t xml:space="preserve">стратегическим риском. </w:t>
                                  </w:r>
                                </w:p>
                                <w:p w:rsidR="00341240" w:rsidRDefault="00341240" w:rsidP="00341240">
                                  <w:pPr>
                                    <w:spacing w:after="0" w:line="240" w:lineRule="auto"/>
                                    <w:jc w:val="both"/>
                                  </w:pPr>
                                </w:p>
                                <w:p w:rsidR="00341240" w:rsidRDefault="00341240" w:rsidP="00341240">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2" o:spid="_x0000_s1033" style="position:absolute;margin-left:89.2pt;margin-top:145.35pt;width:220.5pt;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" fillcolor="window" strokecolor="#f79646" strokeweight="2pt">
                      <v:path arrowok="t"/>
                      <v:textbox>
                        <w:txbxContent>
                          <w:p w:rsidR="00341240" w:rsidRDefault="00341240" w:rsidP="00341240">
                            <w:pPr>
                              <w:spacing w:after="0" w:line="240" w:lineRule="auto"/>
                              <w:jc w:val="both"/>
                            </w:pPr>
                            <w:r>
                              <w:t>Департамент анализа и контроля рисков;</w:t>
                            </w:r>
                          </w:p>
                          <w:p w:rsidR="00341240" w:rsidRDefault="00341240" w:rsidP="00341240">
                            <w:pPr>
                              <w:spacing w:after="0" w:line="240" w:lineRule="auto"/>
                              <w:jc w:val="both"/>
                            </w:pPr>
                            <w:r>
                              <w:t>Ответственный сотрудник по правовым вопросам;</w:t>
                            </w:r>
                          </w:p>
                          <w:p w:rsidR="00341240" w:rsidRDefault="00341240" w:rsidP="00341240">
                            <w:pPr>
                              <w:spacing w:after="0" w:line="240" w:lineRule="auto"/>
                              <w:jc w:val="both"/>
                            </w:pPr>
                            <w:r>
                              <w:t>Ответственный сотрудник по управлению риском потери деловой репутации;</w:t>
                            </w:r>
                          </w:p>
                          <w:p w:rsidR="00341240" w:rsidRDefault="00341240" w:rsidP="00341240">
                            <w:pPr>
                              <w:spacing w:after="0" w:line="240" w:lineRule="auto"/>
                              <w:jc w:val="both"/>
                            </w:pPr>
                            <w:r>
                              <w:t>Должностное лицо, ответственное за управление операционным и</w:t>
                            </w:r>
                            <w:r w:rsidRPr="00E9090A">
                              <w:t xml:space="preserve"> </w:t>
                            </w:r>
                            <w:r>
                              <w:t xml:space="preserve">стратегическим риском. </w:t>
                            </w:r>
                          </w:p>
                          <w:p w:rsidR="00341240" w:rsidRDefault="00341240" w:rsidP="00341240">
                            <w:pPr>
                              <w:spacing w:after="0" w:line="240" w:lineRule="auto"/>
                              <w:jc w:val="both"/>
                            </w:pPr>
                          </w:p>
                          <w:p w:rsidR="00341240" w:rsidRDefault="00341240" w:rsidP="00341240">
                            <w:pPr>
                              <w:spacing w:line="240" w:lineRule="auto"/>
                              <w:jc w:val="center"/>
                            </w:pPr>
                          </w:p>
                        </w:txbxContent>
                      </v:textbox>
                    </v:rect>
                  </w:pict>
                </mc:Fallback>
              </mc:AlternateContent>
            </w:r>
            <w:r w:rsidRPr="00341240">
              <w:rPr>
                <w:noProof/>
                <w:lang w:eastAsia="ru-RU"/>
              </w:rPr>
              <mc:AlternateContent>
                <mc:Choice Requires="wps">
                  <w:drawing>
                    <wp:anchor distT="0" distB="0" distL="114299" distR="114299" simplePos="0" relativeHeight="251671552" behindDoc="0" locked="0" layoutInCell="1" allowOverlap="1" wp14:anchorId="0E620E2D" wp14:editId="62C68593">
                      <wp:simplePos x="0" y="0"/>
                      <wp:positionH relativeFrom="column">
                        <wp:posOffset>5221604</wp:posOffset>
                      </wp:positionH>
                      <wp:positionV relativeFrom="page">
                        <wp:posOffset>1781810</wp:posOffset>
                      </wp:positionV>
                      <wp:extent cx="45719" cy="548640"/>
                      <wp:effectExtent l="76200" t="38100" r="69215" b="22860"/>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719" cy="5486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6" o:spid="_x0000_s1026" type="#_x0000_t32" style="position:absolute;margin-left:411.15pt;margin-top:140.3pt;width:3.6pt;height:43.2pt;flip:x y;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" strokecolor="#4a7ebb">
                      <v:stroke endarrow="open"/>
                      <o:lock v:ext="edit" shapetype="f"/>
                      <w10:wrap anchory="page"/>
                    </v:shape>
                  </w:pict>
                </mc:Fallback>
              </mc:AlternateContent>
            </w:r>
            <w:r w:rsidRPr="00341240">
              <w:rPr>
                <w:noProof/>
                <w:lang w:eastAsia="ru-RU"/>
              </w:rPr>
              <mc:AlternateContent>
                <mc:Choice Requires="wps">
                  <w:drawing>
                    <wp:anchor distT="0" distB="0" distL="114300" distR="114300" simplePos="0" relativeHeight="251670528" behindDoc="0" locked="0" layoutInCell="1" allowOverlap="1" wp14:anchorId="74FF3F33" wp14:editId="7F288FD2">
                      <wp:simplePos x="0" y="0"/>
                      <wp:positionH relativeFrom="column">
                        <wp:posOffset>4533900</wp:posOffset>
                      </wp:positionH>
                      <wp:positionV relativeFrom="paragraph">
                        <wp:posOffset>2340610</wp:posOffset>
                      </wp:positionV>
                      <wp:extent cx="1485900" cy="685800"/>
                      <wp:effectExtent l="0" t="0" r="19050" b="19050"/>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685800"/>
                              </a:xfrm>
                              <a:prstGeom prst="rect">
                                <a:avLst/>
                              </a:prstGeom>
                              <a:solidFill>
                                <a:sysClr val="window" lastClr="FFFFFF"/>
                              </a:solidFill>
                              <a:ln w="25400" cap="flat" cmpd="sng" algn="ctr">
                                <a:solidFill>
                                  <a:srgbClr val="F79646"/>
                                </a:solidFill>
                                <a:prstDash val="solid"/>
                              </a:ln>
                              <a:effectLst/>
                            </wps:spPr>
                            <wps:txbx>
                              <w:txbxContent>
                                <w:p w:rsidR="00341240" w:rsidRDefault="00341240" w:rsidP="00341240">
                                  <w:pPr>
                                    <w:spacing w:after="0"/>
                                    <w:jc w:val="center"/>
                                  </w:pPr>
                                  <w:r>
                                    <w:t>Служба финансового мониторинга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68" o:spid="_x0000_s1034" style="position:absolute;margin-left:357pt;margin-top:184.3pt;width:117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" fillcolor="window" strokecolor="#f79646" strokeweight="2pt">
                      <v:path arrowok="t"/>
                      <v:textbox>
                        <w:txbxContent>
                          <w:p w:rsidR="00341240" w:rsidRDefault="00341240" w:rsidP="00341240">
                            <w:pPr>
                              <w:spacing w:after="0"/>
                              <w:jc w:val="center"/>
                            </w:pPr>
                            <w:r>
                              <w:t>Служба финансового мониторинга</w:t>
                            </w:r>
                          </w:p>
                        </w:txbxContent>
                      </v:textbox>
                    </v:rect>
                  </w:pict>
                </mc:Fallback>
              </mc:AlternateContent>
            </w:r>
            <w:r w:rsidRPr="00341240">
              <w:rPr>
                <w:noProof/>
                <w:lang w:eastAsia="ru-RU"/>
              </w:rPr>
              <mc:AlternateContent>
                <mc:Choice Requires="wps">
                  <w:drawing>
                    <wp:anchor distT="0" distB="0" distL="114300" distR="114300" simplePos="0" relativeHeight="251672576" behindDoc="0" locked="0" layoutInCell="1" allowOverlap="1" wp14:anchorId="522254B6" wp14:editId="0A18B9D7">
                      <wp:simplePos x="0" y="0"/>
                      <wp:positionH relativeFrom="column">
                        <wp:posOffset>3712845</wp:posOffset>
                      </wp:positionH>
                      <wp:positionV relativeFrom="paragraph">
                        <wp:posOffset>486410</wp:posOffset>
                      </wp:positionV>
                      <wp:extent cx="1554480" cy="624840"/>
                      <wp:effectExtent l="38100" t="38100" r="26670" b="22860"/>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54480" cy="6248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9" o:spid="_x0000_s1026" type="#_x0000_t32" style="position:absolute;margin-left:292.35pt;margin-top:38.3pt;width:122.4pt;height:49.2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" strokecolor="#4a7ebb">
                      <v:stroke endarrow="open"/>
                      <o:lock v:ext="edit" shapetype="f"/>
                    </v:shape>
                  </w:pict>
                </mc:Fallback>
              </mc:AlternateContent>
            </w:r>
            <w:r w:rsidRPr="00341240">
              <w:rPr>
                <w:noProof/>
                <w:lang w:eastAsia="ru-RU"/>
              </w:rPr>
              <mc:AlternateContent>
                <mc:Choice Requires="wps">
                  <w:drawing>
                    <wp:anchor distT="0" distB="0" distL="114300" distR="114300" simplePos="0" relativeHeight="251669504" behindDoc="0" locked="0" layoutInCell="1" allowOverlap="1" wp14:anchorId="719E19E9" wp14:editId="5954F14F">
                      <wp:simplePos x="0" y="0"/>
                      <wp:positionH relativeFrom="column">
                        <wp:posOffset>4511040</wp:posOffset>
                      </wp:positionH>
                      <wp:positionV relativeFrom="paragraph">
                        <wp:posOffset>1115695</wp:posOffset>
                      </wp:positionV>
                      <wp:extent cx="1485900" cy="685800"/>
                      <wp:effectExtent l="0" t="0" r="19050" b="19050"/>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685800"/>
                              </a:xfrm>
                              <a:prstGeom prst="rect">
                                <a:avLst/>
                              </a:prstGeom>
                              <a:solidFill>
                                <a:sysClr val="window" lastClr="FFFFFF"/>
                              </a:solidFill>
                              <a:ln w="25400" cap="flat" cmpd="sng" algn="ctr">
                                <a:solidFill>
                                  <a:srgbClr val="F79646"/>
                                </a:solidFill>
                                <a:prstDash val="solid"/>
                              </a:ln>
                              <a:effectLst/>
                            </wps:spPr>
                            <wps:txbx>
                              <w:txbxContent>
                                <w:p w:rsidR="00341240" w:rsidRDefault="00341240" w:rsidP="00341240">
                                  <w:pPr>
                                    <w:spacing w:after="0"/>
                                    <w:jc w:val="center"/>
                                  </w:pPr>
                                  <w:r>
                                    <w:t>Заместитель Председателя Правления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70" o:spid="_x0000_s1035" style="position:absolute;margin-left:355.2pt;margin-top:87.85pt;width:117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" fillcolor="window" strokecolor="#f79646" strokeweight="2pt">
                      <v:path arrowok="t"/>
                      <v:textbox>
                        <w:txbxContent>
                          <w:p w:rsidR="00341240" w:rsidRDefault="00341240" w:rsidP="00341240">
                            <w:pPr>
                              <w:spacing w:after="0"/>
                              <w:jc w:val="center"/>
                            </w:pPr>
                            <w:r>
                              <w:t>Заместитель Председателя Правления</w:t>
                            </w:r>
                          </w:p>
                        </w:txbxContent>
                      </v:textbox>
                    </v:rect>
                  </w:pict>
                </mc:Fallback>
              </mc:AlternateContent>
            </w:r>
            <w:r w:rsidRPr="00341240">
              <w:rPr>
                <w:noProof/>
                <w:lang w:eastAsia="ru-RU"/>
              </w:rPr>
              <mc:AlternateContent>
                <mc:Choice Requires="wps">
                  <w:drawing>
                    <wp:anchor distT="0" distB="0" distL="114300" distR="114300" simplePos="0" relativeHeight="251664384" behindDoc="0" locked="0" layoutInCell="1" allowOverlap="1" wp14:anchorId="2ABA52AB" wp14:editId="49024456">
                      <wp:simplePos x="0" y="0"/>
                      <wp:positionH relativeFrom="column">
                        <wp:posOffset>382905</wp:posOffset>
                      </wp:positionH>
                      <wp:positionV relativeFrom="paragraph">
                        <wp:posOffset>486410</wp:posOffset>
                      </wp:positionV>
                      <wp:extent cx="952500" cy="624840"/>
                      <wp:effectExtent l="0" t="38100" r="57150" b="22860"/>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500" cy="6248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71" o:spid="_x0000_s1026" type="#_x0000_t32" style="position:absolute;margin-left:30.15pt;margin-top:38.3pt;width:75pt;height:49.2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" strokecolor="#4a7ebb">
                      <v:stroke endarrow="open"/>
                      <o:lock v:ext="edit" shapetype="f"/>
                    </v:shape>
                  </w:pict>
                </mc:Fallback>
              </mc:AlternateContent>
            </w:r>
          </w:p>
        </w:tc>
      </w:tr>
      <w:tr w:rsidR="00341240" w:rsidRPr="00341240" w:rsidTr="00411971">
        <w:trPr>
          <w:trHeight w:val="519"/>
        </w:trPr>
        <w:tc>
          <w:tcPr>
            <w:tcW w:w="9365" w:type="dxa"/>
          </w:tcPr>
          <w:p w:rsidR="00341240" w:rsidRPr="00341240" w:rsidRDefault="00341240" w:rsidP="00341240">
            <w:pPr>
              <w:autoSpaceDE w:val="0"/>
              <w:autoSpaceDN w:val="0"/>
              <w:adjustRightInd w:val="0"/>
              <w:spacing w:after="0" w:line="240" w:lineRule="auto"/>
              <w:rPr>
                <w:rFonts w:ascii="Times New Roman" w:hAnsi="Times New Roman"/>
                <w:color w:val="000000"/>
                <w:sz w:val="23"/>
                <w:szCs w:val="23"/>
              </w:rPr>
            </w:pPr>
          </w:p>
        </w:tc>
      </w:tr>
      <w:tr w:rsidR="00341240" w:rsidRPr="00341240" w:rsidTr="00411971">
        <w:trPr>
          <w:trHeight w:val="201"/>
        </w:trPr>
        <w:tc>
          <w:tcPr>
            <w:tcW w:w="9365" w:type="dxa"/>
          </w:tcPr>
          <w:p w:rsidR="00341240" w:rsidRPr="00341240" w:rsidRDefault="00341240" w:rsidP="00341240">
            <w:pPr>
              <w:autoSpaceDE w:val="0"/>
              <w:autoSpaceDN w:val="0"/>
              <w:adjustRightInd w:val="0"/>
              <w:spacing w:after="0" w:line="240" w:lineRule="auto"/>
              <w:rPr>
                <w:rFonts w:ascii="Times New Roman" w:hAnsi="Times New Roman"/>
                <w:color w:val="000000"/>
                <w:sz w:val="23"/>
                <w:szCs w:val="23"/>
              </w:rPr>
            </w:pPr>
          </w:p>
        </w:tc>
      </w:tr>
      <w:tr w:rsidR="00341240" w:rsidRPr="00341240" w:rsidTr="00411971">
        <w:trPr>
          <w:trHeight w:val="678"/>
        </w:trPr>
        <w:tc>
          <w:tcPr>
            <w:tcW w:w="9365" w:type="dxa"/>
          </w:tcPr>
          <w:p w:rsidR="00341240" w:rsidRPr="00341240" w:rsidRDefault="00341240" w:rsidP="00341240">
            <w:pPr>
              <w:autoSpaceDE w:val="0"/>
              <w:autoSpaceDN w:val="0"/>
              <w:adjustRightInd w:val="0"/>
              <w:spacing w:after="0" w:line="240" w:lineRule="auto"/>
              <w:rPr>
                <w:rFonts w:ascii="Times New Roman" w:hAnsi="Times New Roman"/>
                <w:color w:val="000000"/>
                <w:sz w:val="23"/>
                <w:szCs w:val="23"/>
              </w:rPr>
            </w:pPr>
            <w:r w:rsidRPr="00341240">
              <w:rPr>
                <w:noProof/>
                <w:lang w:eastAsia="ru-RU"/>
              </w:rPr>
              <mc:AlternateContent>
                <mc:Choice Requires="wps">
                  <w:drawing>
                    <wp:anchor distT="0" distB="0" distL="114300" distR="114300" simplePos="0" relativeHeight="251673600" behindDoc="0" locked="0" layoutInCell="1" allowOverlap="1" wp14:anchorId="7E5B63A2" wp14:editId="130A40E7">
                      <wp:simplePos x="0" y="0"/>
                      <wp:positionH relativeFrom="column">
                        <wp:posOffset>-442400</wp:posOffset>
                      </wp:positionH>
                      <wp:positionV relativeFrom="paragraph">
                        <wp:posOffset>369100</wp:posOffset>
                      </wp:positionV>
                      <wp:extent cx="6438900" cy="523875"/>
                      <wp:effectExtent l="0" t="0" r="19050" b="28575"/>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523875"/>
                              </a:xfrm>
                              <a:prstGeom prst="rect">
                                <a:avLst/>
                              </a:prstGeom>
                              <a:solidFill>
                                <a:sysClr val="window" lastClr="FFFFFF"/>
                              </a:solidFill>
                              <a:ln w="25400" cap="flat" cmpd="sng" algn="ctr">
                                <a:solidFill>
                                  <a:srgbClr val="F79646"/>
                                </a:solidFill>
                                <a:prstDash val="solid"/>
                              </a:ln>
                              <a:effectLst/>
                            </wps:spPr>
                            <wps:txbx>
                              <w:txbxContent>
                                <w:p w:rsidR="00341240" w:rsidRPr="00124DF8" w:rsidRDefault="00341240" w:rsidP="00341240">
                                  <w:pPr>
                                    <w:spacing w:after="0"/>
                                  </w:pPr>
                                  <w:r w:rsidRPr="00ED2BB8">
                                    <w:rPr>
                                      <w:bCs/>
                                    </w:rPr>
                                    <w:t xml:space="preserve">Иные структурные подразделения и работники </w:t>
                                  </w:r>
                                  <w:r>
                                    <w:rPr>
                                      <w:bCs/>
                                    </w:rPr>
                                    <w:t>НКЦ</w:t>
                                  </w:r>
                                  <w:r w:rsidRPr="00124DF8">
                                    <w:rPr>
                                      <w:bCs/>
                                    </w:rPr>
                                    <w:t xml:space="preserve">, </w:t>
                                  </w:r>
                                  <w:r w:rsidRPr="00ED2BB8">
                                    <w:rPr>
                                      <w:bCs/>
                                    </w:rPr>
                                    <w:t>осуществляющие внутренний контроль в соответствии с полномоч</w:t>
                                  </w:r>
                                  <w:r>
                                    <w:rPr>
                                      <w:bCs/>
                                    </w:rPr>
                                    <w:t xml:space="preserve">иями, определенными внутренними </w:t>
                                  </w:r>
                                  <w:r w:rsidRPr="00ED2BB8">
                                    <w:rPr>
                                      <w:bCs/>
                                    </w:rPr>
                                    <w:t xml:space="preserve">документами </w:t>
                                  </w:r>
                                  <w:r>
                                    <w:rPr>
                                      <w:bCs/>
                                    </w:rPr>
                                    <w:t>НКЦ</w:t>
                                  </w:r>
                                </w:p>
                                <w:p w:rsidR="00341240" w:rsidRPr="00124DF8" w:rsidRDefault="00341240" w:rsidP="00341240">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4" o:spid="_x0000_s1036" style="position:absolute;margin-left:-34.85pt;margin-top:29.05pt;width:507pt;height:4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" fillcolor="window" strokecolor="#f79646" strokeweight="2pt">
                      <v:path arrowok="t"/>
                      <v:textbox>
                        <w:txbxContent>
                          <w:p w:rsidR="00341240" w:rsidRPr="00124DF8" w:rsidRDefault="00341240" w:rsidP="00341240">
                            <w:pPr>
                              <w:spacing w:after="0"/>
                            </w:pPr>
                            <w:r w:rsidRPr="00ED2BB8">
                              <w:rPr>
                                <w:bCs/>
                              </w:rPr>
                              <w:t xml:space="preserve">Иные структурные подразделения и работники </w:t>
                            </w:r>
                            <w:r>
                              <w:rPr>
                                <w:bCs/>
                              </w:rPr>
                              <w:t>НКЦ</w:t>
                            </w:r>
                            <w:r w:rsidRPr="00124DF8">
                              <w:rPr>
                                <w:bCs/>
                              </w:rPr>
                              <w:t xml:space="preserve">, </w:t>
                            </w:r>
                            <w:r w:rsidRPr="00ED2BB8">
                              <w:rPr>
                                <w:bCs/>
                              </w:rPr>
                              <w:t>осуществляющие внутренний контроль в соответствии с полномоч</w:t>
                            </w:r>
                            <w:r>
                              <w:rPr>
                                <w:bCs/>
                              </w:rPr>
                              <w:t xml:space="preserve">иями, определенными внутренними </w:t>
                            </w:r>
                            <w:r w:rsidRPr="00ED2BB8">
                              <w:rPr>
                                <w:bCs/>
                              </w:rPr>
                              <w:t xml:space="preserve">документами </w:t>
                            </w:r>
                            <w:r>
                              <w:rPr>
                                <w:bCs/>
                              </w:rPr>
                              <w:t>НКЦ</w:t>
                            </w:r>
                          </w:p>
                          <w:p w:rsidR="00341240" w:rsidRPr="00124DF8" w:rsidRDefault="00341240" w:rsidP="00341240">
                            <w:pPr>
                              <w:spacing w:after="0"/>
                            </w:pPr>
                          </w:p>
                        </w:txbxContent>
                      </v:textbox>
                    </v:rect>
                  </w:pict>
                </mc:Fallback>
              </mc:AlternateContent>
            </w:r>
          </w:p>
        </w:tc>
      </w:tr>
    </w:tbl>
    <w:p w:rsidR="00341240" w:rsidRPr="00341240" w:rsidRDefault="00341240" w:rsidP="00341240">
      <w:pPr>
        <w:rPr>
          <w:noProof/>
          <w:lang w:eastAsia="ru-RU"/>
        </w:rPr>
      </w:pPr>
    </w:p>
    <w:p w:rsidR="00341240" w:rsidRPr="00341240" w:rsidRDefault="00341240" w:rsidP="00341240"/>
    <w:p w:rsidR="00341240" w:rsidRPr="00341240" w:rsidRDefault="00341240" w:rsidP="00341240">
      <w:pPr>
        <w:widowControl w:val="0"/>
        <w:spacing w:after="0" w:line="240" w:lineRule="auto"/>
        <w:jc w:val="center"/>
        <w:rPr>
          <w:rFonts w:ascii="Times New Roman" w:eastAsia="Times New Roman" w:hAnsi="Times New Roman" w:cs="Times New Roman"/>
          <w:b/>
          <w:kern w:val="2"/>
          <w:sz w:val="28"/>
          <w:szCs w:val="20"/>
        </w:rPr>
      </w:pPr>
      <w:r w:rsidRPr="00341240">
        <w:rPr>
          <w:rFonts w:ascii="Times New Roman" w:eastAsia="Times New Roman" w:hAnsi="Times New Roman" w:cs="Times New Roman"/>
          <w:b/>
          <w:kern w:val="2"/>
          <w:sz w:val="28"/>
          <w:szCs w:val="20"/>
        </w:rPr>
        <w:t>9.Технологическая платформа</w:t>
      </w:r>
    </w:p>
    <w:p w:rsidR="00341240" w:rsidRPr="00341240" w:rsidRDefault="00341240" w:rsidP="00341240">
      <w:pPr>
        <w:autoSpaceDN w:val="0"/>
        <w:spacing w:after="0" w:line="240" w:lineRule="auto"/>
        <w:ind w:firstLine="360"/>
        <w:jc w:val="both"/>
        <w:rPr>
          <w:rFonts w:ascii="Times New Roman" w:eastAsia="Calibri" w:hAnsi="Times New Roman" w:cs="Times New Roman"/>
          <w:sz w:val="24"/>
          <w:szCs w:val="24"/>
        </w:rPr>
      </w:pPr>
    </w:p>
    <w:p w:rsidR="00341240" w:rsidRPr="00341240" w:rsidRDefault="00341240" w:rsidP="00341240">
      <w:pPr>
        <w:autoSpaceDN w:val="0"/>
        <w:spacing w:after="0" w:line="240" w:lineRule="auto"/>
        <w:ind w:firstLine="360"/>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Качество и  бесперебойность оказания критически важных клиринговых сервисов во многом определяется надежностью программно-технического комплекса.  В 2015г. Банк  продолжал совершенствовать и улучшать информационно-технологическую инфраструктуру, поддерживал функционирование всех систем автоматизированной обработки данных, установленных в  НКЦ  на уровне, отвечающем мировым стандартам.</w:t>
      </w:r>
    </w:p>
    <w:p w:rsidR="00341240" w:rsidRPr="00341240" w:rsidRDefault="00341240" w:rsidP="00341240">
      <w:pPr>
        <w:autoSpaceDN w:val="0"/>
        <w:spacing w:after="0" w:line="240" w:lineRule="auto"/>
        <w:ind w:firstLine="360"/>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В отчетном году выполнен большой объем работ по автоматизации процессов, связанных с внедрением новых услуг и изменениями, происходящими в инфраструктуре финансового рынка России. Наиболее значимыми из них были:</w:t>
      </w:r>
    </w:p>
    <w:p w:rsidR="00341240" w:rsidRPr="00341240" w:rsidRDefault="00341240" w:rsidP="00AB0ACF">
      <w:pPr>
        <w:numPr>
          <w:ilvl w:val="0"/>
          <w:numId w:val="76"/>
        </w:numPr>
        <w:autoSpaceDN w:val="0"/>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Создание системы «Конвертер СВИФТ сообщений», которую планируется использовать при переходе на резервные/альтернативные по отношению к системе </w:t>
      </w:r>
      <w:r w:rsidRPr="00341240">
        <w:rPr>
          <w:rFonts w:ascii="Times New Roman" w:eastAsia="Calibri" w:hAnsi="Times New Roman" w:cs="Times New Roman"/>
          <w:sz w:val="24"/>
          <w:szCs w:val="24"/>
          <w:lang w:val="en-US"/>
        </w:rPr>
        <w:t>SWIFT</w:t>
      </w:r>
      <w:r w:rsidRPr="00341240">
        <w:rPr>
          <w:rFonts w:ascii="Times New Roman" w:eastAsia="Calibri" w:hAnsi="Times New Roman" w:cs="Times New Roman"/>
          <w:sz w:val="24"/>
          <w:szCs w:val="24"/>
        </w:rPr>
        <w:t xml:space="preserve"> каналы взаимодействия с обслуживающими банками. В результате к концу года Банк  имеет программный комплекс, позволяющий использовать альтернативные каналы связи с целью исполнения обязательств по итогам клиринга, а также управления ликвидностью  НКЦ (АО), Решение этой задачи повысило технологическую устойчивость Банка к негативным факторам внешней среды.</w:t>
      </w:r>
    </w:p>
    <w:p w:rsidR="00341240" w:rsidRPr="00341240" w:rsidRDefault="00341240" w:rsidP="00AB0ACF">
      <w:pPr>
        <w:numPr>
          <w:ilvl w:val="0"/>
          <w:numId w:val="76"/>
        </w:numPr>
        <w:autoSpaceDN w:val="0"/>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Запуск системы WEB-клиринг, являющейся современным развитием системы электронного документооборота с использованием Web-технологий. Это позволило расширить спектр технологий, используемых в подсистеме ЭДО НКЦ.</w:t>
      </w:r>
    </w:p>
    <w:p w:rsidR="00341240" w:rsidRPr="00341240" w:rsidRDefault="00341240" w:rsidP="00AB0ACF">
      <w:pPr>
        <w:numPr>
          <w:ilvl w:val="0"/>
          <w:numId w:val="76"/>
        </w:numPr>
        <w:autoSpaceDN w:val="0"/>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Развитие двухуровневого доступа к торгам на рынках Московской Биржи.</w:t>
      </w:r>
    </w:p>
    <w:p w:rsidR="00341240" w:rsidRPr="00341240" w:rsidRDefault="00341240" w:rsidP="00AB0ACF">
      <w:pPr>
        <w:numPr>
          <w:ilvl w:val="0"/>
          <w:numId w:val="76"/>
        </w:numPr>
        <w:autoSpaceDN w:val="0"/>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Расширение на рынке «Стандартизованных ПФИ» спектра принимаемых внебиржевых сделок на валютные свопы и форварды.</w:t>
      </w:r>
    </w:p>
    <w:p w:rsidR="00341240" w:rsidRPr="00341240" w:rsidRDefault="00341240" w:rsidP="00AB0ACF">
      <w:pPr>
        <w:numPr>
          <w:ilvl w:val="0"/>
          <w:numId w:val="76"/>
        </w:numPr>
        <w:autoSpaceDN w:val="0"/>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Объединение технологии расчетов по всем рынкам Московской Биржи на базе  системы центрального контрагента (СЦК). Расчеты на фондовом рынке Московской Биржи были перенесены из системы расчетов по валютным торгам в СЦК. Таким образом, к концу 2015г. в Банке  обработка только одного вида операций – расчетов по валютным торгам – осталась в </w:t>
      </w:r>
      <w:r w:rsidRPr="00341240">
        <w:rPr>
          <w:rFonts w:ascii="Times New Roman" w:eastAsia="Calibri" w:hAnsi="Times New Roman" w:cs="Times New Roman"/>
          <w:sz w:val="24"/>
          <w:szCs w:val="24"/>
          <w:lang w:val="en-US"/>
        </w:rPr>
        <w:t>Legacy</w:t>
      </w:r>
      <w:r w:rsidRPr="00341240">
        <w:rPr>
          <w:rFonts w:ascii="Times New Roman" w:eastAsia="Calibri" w:hAnsi="Times New Roman" w:cs="Times New Roman"/>
          <w:sz w:val="24"/>
          <w:szCs w:val="24"/>
        </w:rPr>
        <w:t xml:space="preserve"> системе. В результате, осуществлены дальнейшие шаги по унификации технологии клиринга и расчетов в рамках систем НКЦ.</w:t>
      </w:r>
    </w:p>
    <w:p w:rsidR="00341240" w:rsidRPr="00341240" w:rsidRDefault="00341240" w:rsidP="00341240">
      <w:pPr>
        <w:autoSpaceDN w:val="0"/>
        <w:spacing w:after="0" w:line="240" w:lineRule="auto"/>
        <w:ind w:firstLine="360"/>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     В течение года велась активная работы по автоматизации изменений, связанных с новыми законодательными требованиями Банка России. Был выполнен  комплекс задач по автоматизации ИБС «Центавр Омега» (установлено более 650 обновлений/доработок в соответствии с заявками пользователей и распоряжениями/указаниями контролирующих органов), включая:</w:t>
      </w:r>
    </w:p>
    <w:p w:rsidR="00341240" w:rsidRPr="00341240" w:rsidRDefault="00341240" w:rsidP="00AB0ACF">
      <w:pPr>
        <w:numPr>
          <w:ilvl w:val="0"/>
          <w:numId w:val="8"/>
        </w:numPr>
        <w:spacing w:after="0" w:line="240" w:lineRule="auto"/>
        <w:rPr>
          <w:rFonts w:ascii="Times New Roman" w:eastAsia="Calibri" w:hAnsi="Times New Roman" w:cs="Times New Roman"/>
          <w:color w:val="000000"/>
          <w:sz w:val="24"/>
          <w:szCs w:val="24"/>
        </w:rPr>
      </w:pPr>
      <w:r w:rsidRPr="00341240">
        <w:rPr>
          <w:rFonts w:ascii="Times New Roman" w:eastAsia="Calibri" w:hAnsi="Times New Roman" w:cs="Times New Roman"/>
          <w:color w:val="000000"/>
          <w:sz w:val="24"/>
          <w:szCs w:val="24"/>
        </w:rPr>
        <w:t>Формирование отчетности по FATCA для налогового органа США (IRS).</w:t>
      </w:r>
    </w:p>
    <w:p w:rsidR="00341240" w:rsidRPr="00341240" w:rsidRDefault="00341240" w:rsidP="00AB0ACF">
      <w:pPr>
        <w:numPr>
          <w:ilvl w:val="0"/>
          <w:numId w:val="8"/>
        </w:numPr>
        <w:autoSpaceDN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Автоматизация формирования налоговой декларации.</w:t>
      </w:r>
    </w:p>
    <w:p w:rsidR="00341240" w:rsidRPr="00341240" w:rsidRDefault="00341240" w:rsidP="00AB0ACF">
      <w:pPr>
        <w:numPr>
          <w:ilvl w:val="0"/>
          <w:numId w:val="8"/>
        </w:numPr>
        <w:autoSpaceDN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Формирование налоговых регистров по сделкам SWAP ПФИ.</w:t>
      </w:r>
    </w:p>
    <w:p w:rsidR="00341240" w:rsidRPr="00341240" w:rsidRDefault="00341240" w:rsidP="00AB0ACF">
      <w:pPr>
        <w:numPr>
          <w:ilvl w:val="0"/>
          <w:numId w:val="8"/>
        </w:numPr>
        <w:autoSpaceDN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Автоматизация последующего контроля соблюдения лимитов, в части корреспондентских счетов.</w:t>
      </w:r>
    </w:p>
    <w:p w:rsidR="00341240" w:rsidRPr="00341240" w:rsidRDefault="00341240" w:rsidP="00AB0ACF">
      <w:pPr>
        <w:numPr>
          <w:ilvl w:val="0"/>
          <w:numId w:val="8"/>
        </w:numPr>
        <w:autoSpaceDN w:val="0"/>
        <w:spacing w:after="0" w:line="240" w:lineRule="auto"/>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Автоматизация отложенного налога на прибыль с целью выполнения требований порядка бухгалтерского учета отложенного налога на прибыль.</w:t>
      </w:r>
    </w:p>
    <w:p w:rsidR="00341240" w:rsidRPr="00341240" w:rsidRDefault="00341240" w:rsidP="00341240">
      <w:pPr>
        <w:autoSpaceDN w:val="0"/>
        <w:spacing w:after="0" w:line="240" w:lineRule="auto"/>
        <w:ind w:left="720"/>
        <w:jc w:val="both"/>
        <w:rPr>
          <w:rFonts w:ascii="Times New Roman" w:eastAsia="Calibri" w:hAnsi="Times New Roman" w:cs="Times New Roman"/>
          <w:sz w:val="24"/>
          <w:szCs w:val="24"/>
        </w:rPr>
      </w:pPr>
    </w:p>
    <w:p w:rsidR="00341240" w:rsidRPr="00341240" w:rsidRDefault="00341240" w:rsidP="00341240">
      <w:pPr>
        <w:autoSpaceDN w:val="0"/>
        <w:spacing w:after="0" w:line="240" w:lineRule="auto"/>
        <w:ind w:left="720"/>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За 2015 года Количество пользователей ИБС «Центавр Омега» за 2015 г. увеличилось на 12%. Объем транзакций увеличился более чем на 10% и составил 81 981 293 шт.;</w:t>
      </w:r>
    </w:p>
    <w:p w:rsidR="00341240" w:rsidRPr="00341240" w:rsidRDefault="00341240" w:rsidP="00341240">
      <w:pPr>
        <w:autoSpaceDN w:val="0"/>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Количество учтенных записей контрагентов и эмитентов юридических лиц увеличилось на 7% и составило 3422 шт., аналогичный показатель по физическим лицам увеличился на 35% и составил 6936 шт. </w:t>
      </w:r>
    </w:p>
    <w:p w:rsidR="00341240" w:rsidRPr="00341240" w:rsidRDefault="00341240" w:rsidP="00341240">
      <w:pPr>
        <w:autoSpaceDN w:val="0"/>
        <w:spacing w:after="0" w:line="240" w:lineRule="auto"/>
        <w:ind w:firstLine="360"/>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Развитие экосистемы продуктов Softwell NAVIGATOR не ограничилось введением новых инструментов на рынке «Стандартизованных ПФИ». Здесь так же следует отметить:</w:t>
      </w:r>
    </w:p>
    <w:p w:rsidR="00341240" w:rsidRPr="00341240" w:rsidRDefault="00341240" w:rsidP="00AB0ACF">
      <w:pPr>
        <w:numPr>
          <w:ilvl w:val="0"/>
          <w:numId w:val="9"/>
        </w:numPr>
        <w:autoSpaceDN w:val="0"/>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Внедрение инновационного сервиса FinCAD, в котором риск-модель является настраиваемым параметром (ранее риск-модель программировалась вендером). Кэширование риск-модели теперь происходит в БД, что дает дополнительный прирост производительности.</w:t>
      </w:r>
    </w:p>
    <w:p w:rsidR="00341240" w:rsidRPr="00341240" w:rsidRDefault="00341240" w:rsidP="00AB0ACF">
      <w:pPr>
        <w:numPr>
          <w:ilvl w:val="0"/>
          <w:numId w:val="9"/>
        </w:numPr>
        <w:autoSpaceDN w:val="0"/>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Реализацию специализированного интерфейса наблюдателя Банка России на «Рынке СПФИ МБ». Для реализации потребовалось внедрить принципиально новый тип пользователя, а также разработать схему доступа к ТоговоКлиринговой системе NAVIGATOR через торговую сеть Московской Биржи (а не через Интернет, как у прочих участников).</w:t>
      </w:r>
    </w:p>
    <w:p w:rsidR="00341240" w:rsidRPr="00341240" w:rsidRDefault="00341240" w:rsidP="00AB0ACF">
      <w:pPr>
        <w:numPr>
          <w:ilvl w:val="0"/>
          <w:numId w:val="9"/>
        </w:numPr>
        <w:autoSpaceDN w:val="0"/>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Реализацию загрузки котировок Bloomberg BVAL для СЦК в целях определения текущей справедливой стоимости облигаций в залоге у ЦК.</w:t>
      </w:r>
    </w:p>
    <w:p w:rsidR="00341240" w:rsidRPr="00341240" w:rsidRDefault="00341240" w:rsidP="00AB0ACF">
      <w:pPr>
        <w:numPr>
          <w:ilvl w:val="0"/>
          <w:numId w:val="9"/>
        </w:numPr>
        <w:autoSpaceDN w:val="0"/>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Замену серверов Шины данных NAVIGATOR – резервного и основного – на новые с обновлением платформы с Windows 2003 + Oracle 10g на Windows 2012 + Oracle 12c.</w:t>
      </w:r>
    </w:p>
    <w:p w:rsidR="00341240" w:rsidRPr="00341240" w:rsidRDefault="00341240" w:rsidP="00AB0ACF">
      <w:pPr>
        <w:numPr>
          <w:ilvl w:val="0"/>
          <w:numId w:val="9"/>
        </w:numPr>
        <w:autoSpaceDN w:val="0"/>
        <w:spacing w:after="0" w:line="240" w:lineRule="auto"/>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Развитие интеграции с ИБС «Центавр Омега»: реализована передача дополнительной информации о сделках СПФИ. В частности передача ТСС по внебиржевым сделкам СПФИ и даты клиринга как параметра платежа.</w:t>
      </w:r>
    </w:p>
    <w:p w:rsidR="00341240" w:rsidRPr="00341240" w:rsidRDefault="00341240" w:rsidP="00341240">
      <w:pPr>
        <w:autoSpaceDN w:val="0"/>
        <w:spacing w:after="240" w:line="240" w:lineRule="auto"/>
        <w:ind w:left="357"/>
        <w:contextualSpacing/>
        <w:jc w:val="both"/>
        <w:rPr>
          <w:rFonts w:ascii="Times New Roman" w:eastAsia="Calibri" w:hAnsi="Times New Roman" w:cs="Times New Roman"/>
          <w:sz w:val="24"/>
          <w:szCs w:val="24"/>
        </w:rPr>
      </w:pPr>
    </w:p>
    <w:p w:rsidR="00341240" w:rsidRPr="00341240" w:rsidRDefault="00341240" w:rsidP="00341240">
      <w:pPr>
        <w:autoSpaceDN w:val="0"/>
        <w:spacing w:after="240" w:line="240" w:lineRule="auto"/>
        <w:ind w:left="357"/>
        <w:contextualSpacing/>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Количественные показатели на рынке СПФИ в 2015г. составили: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1134"/>
        <w:gridCol w:w="1440"/>
      </w:tblGrid>
      <w:tr w:rsidR="00341240" w:rsidRPr="00341240" w:rsidTr="00411971">
        <w:tc>
          <w:tcPr>
            <w:tcW w:w="6379" w:type="dxa"/>
            <w:shd w:val="clear" w:color="auto" w:fill="auto"/>
          </w:tcPr>
          <w:p w:rsidR="00341240" w:rsidRPr="00341240" w:rsidRDefault="00341240" w:rsidP="00341240">
            <w:pPr>
              <w:spacing w:after="0"/>
              <w:rPr>
                <w:rFonts w:ascii="Times New Roman" w:eastAsia="Calibri" w:hAnsi="Times New Roman" w:cs="Times New Roman"/>
                <w:b/>
                <w:sz w:val="24"/>
                <w:szCs w:val="24"/>
              </w:rPr>
            </w:pPr>
            <w:r w:rsidRPr="00341240">
              <w:rPr>
                <w:rFonts w:ascii="Times New Roman" w:eastAsia="Calibri" w:hAnsi="Times New Roman" w:cs="Times New Roman"/>
                <w:b/>
                <w:sz w:val="24"/>
                <w:szCs w:val="24"/>
              </w:rPr>
              <w:t>Показатель</w:t>
            </w:r>
          </w:p>
        </w:tc>
        <w:tc>
          <w:tcPr>
            <w:tcW w:w="1134" w:type="dxa"/>
            <w:shd w:val="clear" w:color="auto" w:fill="auto"/>
          </w:tcPr>
          <w:p w:rsidR="00341240" w:rsidRPr="00341240" w:rsidRDefault="00341240" w:rsidP="00341240">
            <w:pPr>
              <w:spacing w:after="0"/>
              <w:rPr>
                <w:rFonts w:ascii="Times New Roman" w:eastAsia="Calibri" w:hAnsi="Times New Roman" w:cs="Times New Roman"/>
                <w:b/>
                <w:sz w:val="24"/>
                <w:szCs w:val="24"/>
              </w:rPr>
            </w:pPr>
            <w:r w:rsidRPr="00341240">
              <w:rPr>
                <w:rFonts w:ascii="Times New Roman" w:eastAsia="Calibri" w:hAnsi="Times New Roman" w:cs="Times New Roman"/>
                <w:b/>
                <w:sz w:val="24"/>
                <w:szCs w:val="24"/>
              </w:rPr>
              <w:t>Всего</w:t>
            </w:r>
          </w:p>
        </w:tc>
        <w:tc>
          <w:tcPr>
            <w:tcW w:w="1440" w:type="dxa"/>
            <w:shd w:val="clear" w:color="auto" w:fill="auto"/>
          </w:tcPr>
          <w:p w:rsidR="00341240" w:rsidRPr="00341240" w:rsidRDefault="00341240" w:rsidP="00341240">
            <w:pPr>
              <w:spacing w:after="0"/>
              <w:rPr>
                <w:rFonts w:ascii="Times New Roman" w:eastAsia="Calibri" w:hAnsi="Times New Roman" w:cs="Times New Roman"/>
                <w:b/>
                <w:sz w:val="24"/>
                <w:szCs w:val="24"/>
              </w:rPr>
            </w:pPr>
            <w:r w:rsidRPr="00341240">
              <w:rPr>
                <w:rFonts w:ascii="Times New Roman" w:eastAsia="Calibri" w:hAnsi="Times New Roman" w:cs="Times New Roman"/>
                <w:b/>
                <w:sz w:val="24"/>
                <w:szCs w:val="24"/>
              </w:rPr>
              <w:t>Новых</w:t>
            </w:r>
          </w:p>
        </w:tc>
      </w:tr>
      <w:tr w:rsidR="00341240" w:rsidRPr="00341240" w:rsidTr="00411971">
        <w:tc>
          <w:tcPr>
            <w:tcW w:w="6379" w:type="dxa"/>
            <w:shd w:val="clear" w:color="auto" w:fill="auto"/>
          </w:tcPr>
          <w:p w:rsidR="00341240" w:rsidRPr="00341240" w:rsidRDefault="00341240" w:rsidP="00341240">
            <w:pPr>
              <w:spacing w:after="0"/>
              <w:rPr>
                <w:rFonts w:ascii="Times New Roman" w:eastAsia="Calibri" w:hAnsi="Times New Roman" w:cs="Times New Roman"/>
                <w:sz w:val="24"/>
                <w:szCs w:val="24"/>
              </w:rPr>
            </w:pPr>
            <w:r w:rsidRPr="00341240">
              <w:rPr>
                <w:rFonts w:ascii="Times New Roman" w:eastAsia="Calibri" w:hAnsi="Times New Roman" w:cs="Times New Roman"/>
                <w:sz w:val="24"/>
                <w:szCs w:val="24"/>
              </w:rPr>
              <w:t>Активных пользователей</w:t>
            </w:r>
          </w:p>
        </w:tc>
        <w:tc>
          <w:tcPr>
            <w:tcW w:w="1134" w:type="dxa"/>
            <w:shd w:val="clear" w:color="auto" w:fill="auto"/>
          </w:tcPr>
          <w:p w:rsidR="00341240" w:rsidRPr="00341240" w:rsidRDefault="00341240" w:rsidP="00341240">
            <w:pPr>
              <w:spacing w:after="0"/>
              <w:rPr>
                <w:rFonts w:ascii="Times New Roman" w:eastAsia="Calibri" w:hAnsi="Times New Roman" w:cs="Times New Roman"/>
                <w:sz w:val="24"/>
                <w:szCs w:val="24"/>
              </w:rPr>
            </w:pPr>
            <w:r w:rsidRPr="00341240">
              <w:rPr>
                <w:rFonts w:ascii="Times New Roman" w:eastAsia="Calibri" w:hAnsi="Times New Roman" w:cs="Times New Roman"/>
                <w:sz w:val="24"/>
                <w:szCs w:val="24"/>
              </w:rPr>
              <w:t>36</w:t>
            </w:r>
          </w:p>
        </w:tc>
        <w:tc>
          <w:tcPr>
            <w:tcW w:w="1440" w:type="dxa"/>
            <w:shd w:val="clear" w:color="auto" w:fill="auto"/>
          </w:tcPr>
          <w:p w:rsidR="00341240" w:rsidRPr="00341240" w:rsidRDefault="00341240" w:rsidP="00341240">
            <w:pPr>
              <w:spacing w:after="0"/>
              <w:rPr>
                <w:rFonts w:ascii="Times New Roman" w:eastAsia="Calibri" w:hAnsi="Times New Roman" w:cs="Times New Roman"/>
                <w:sz w:val="24"/>
                <w:szCs w:val="24"/>
              </w:rPr>
            </w:pPr>
            <w:r w:rsidRPr="00341240">
              <w:rPr>
                <w:rFonts w:ascii="Times New Roman" w:eastAsia="Calibri" w:hAnsi="Times New Roman" w:cs="Times New Roman"/>
                <w:sz w:val="24"/>
                <w:szCs w:val="24"/>
              </w:rPr>
              <w:t>6</w:t>
            </w:r>
          </w:p>
        </w:tc>
      </w:tr>
      <w:tr w:rsidR="00341240" w:rsidRPr="00341240" w:rsidTr="00411971">
        <w:tc>
          <w:tcPr>
            <w:tcW w:w="6379" w:type="dxa"/>
            <w:shd w:val="clear" w:color="auto" w:fill="auto"/>
          </w:tcPr>
          <w:p w:rsidR="00341240" w:rsidRPr="00341240" w:rsidRDefault="00341240" w:rsidP="00341240">
            <w:pPr>
              <w:spacing w:after="0"/>
              <w:rPr>
                <w:rFonts w:ascii="Times New Roman" w:eastAsia="Calibri" w:hAnsi="Times New Roman" w:cs="Times New Roman"/>
                <w:sz w:val="24"/>
                <w:szCs w:val="24"/>
              </w:rPr>
            </w:pPr>
            <w:r w:rsidRPr="00341240">
              <w:rPr>
                <w:rFonts w:ascii="Times New Roman" w:eastAsia="Calibri" w:hAnsi="Times New Roman" w:cs="Times New Roman"/>
                <w:sz w:val="24"/>
                <w:szCs w:val="24"/>
              </w:rPr>
              <w:t>Активных логинов Участников Клиринга Рынка СПФИ</w:t>
            </w:r>
          </w:p>
        </w:tc>
        <w:tc>
          <w:tcPr>
            <w:tcW w:w="1134" w:type="dxa"/>
            <w:shd w:val="clear" w:color="auto" w:fill="auto"/>
          </w:tcPr>
          <w:p w:rsidR="00341240" w:rsidRPr="00341240" w:rsidRDefault="00341240" w:rsidP="00341240">
            <w:pPr>
              <w:spacing w:after="0"/>
              <w:rPr>
                <w:rFonts w:ascii="Times New Roman" w:eastAsia="Calibri" w:hAnsi="Times New Roman" w:cs="Times New Roman"/>
                <w:sz w:val="24"/>
                <w:szCs w:val="24"/>
              </w:rPr>
            </w:pPr>
            <w:r w:rsidRPr="00341240">
              <w:rPr>
                <w:rFonts w:ascii="Times New Roman" w:eastAsia="Calibri" w:hAnsi="Times New Roman" w:cs="Times New Roman"/>
                <w:sz w:val="24"/>
                <w:szCs w:val="24"/>
              </w:rPr>
              <w:t>62</w:t>
            </w:r>
          </w:p>
        </w:tc>
        <w:tc>
          <w:tcPr>
            <w:tcW w:w="1440" w:type="dxa"/>
            <w:shd w:val="clear" w:color="auto" w:fill="auto"/>
          </w:tcPr>
          <w:p w:rsidR="00341240" w:rsidRPr="00341240" w:rsidRDefault="00341240" w:rsidP="00341240">
            <w:pPr>
              <w:spacing w:after="0"/>
              <w:rPr>
                <w:rFonts w:ascii="Times New Roman" w:eastAsia="Calibri" w:hAnsi="Times New Roman" w:cs="Times New Roman"/>
                <w:sz w:val="24"/>
                <w:szCs w:val="24"/>
              </w:rPr>
            </w:pPr>
            <w:r w:rsidRPr="00341240">
              <w:rPr>
                <w:rFonts w:ascii="Times New Roman" w:eastAsia="Calibri" w:hAnsi="Times New Roman" w:cs="Times New Roman"/>
                <w:sz w:val="24"/>
                <w:szCs w:val="24"/>
              </w:rPr>
              <w:t>27</w:t>
            </w:r>
          </w:p>
        </w:tc>
      </w:tr>
      <w:tr w:rsidR="00341240" w:rsidRPr="00341240" w:rsidTr="00411971">
        <w:tc>
          <w:tcPr>
            <w:tcW w:w="6379" w:type="dxa"/>
            <w:shd w:val="clear" w:color="auto" w:fill="auto"/>
          </w:tcPr>
          <w:p w:rsidR="00341240" w:rsidRPr="00341240" w:rsidRDefault="00341240" w:rsidP="00341240">
            <w:pPr>
              <w:spacing w:after="0"/>
              <w:rPr>
                <w:rFonts w:ascii="Times New Roman" w:eastAsia="Calibri" w:hAnsi="Times New Roman" w:cs="Times New Roman"/>
                <w:sz w:val="24"/>
                <w:szCs w:val="24"/>
              </w:rPr>
            </w:pPr>
            <w:r w:rsidRPr="00341240">
              <w:rPr>
                <w:rFonts w:ascii="Times New Roman" w:eastAsia="Calibri" w:hAnsi="Times New Roman" w:cs="Times New Roman"/>
                <w:sz w:val="24"/>
                <w:szCs w:val="24"/>
              </w:rPr>
              <w:t>Сделок Участник Клиринга - ЦК на Рынке СПФИ</w:t>
            </w:r>
          </w:p>
        </w:tc>
        <w:tc>
          <w:tcPr>
            <w:tcW w:w="1134" w:type="dxa"/>
            <w:shd w:val="clear" w:color="auto" w:fill="auto"/>
          </w:tcPr>
          <w:p w:rsidR="00341240" w:rsidRPr="00341240" w:rsidRDefault="00341240" w:rsidP="00341240">
            <w:pPr>
              <w:spacing w:after="0"/>
              <w:rPr>
                <w:rFonts w:ascii="Times New Roman" w:eastAsia="Calibri" w:hAnsi="Times New Roman" w:cs="Times New Roman"/>
                <w:sz w:val="24"/>
                <w:szCs w:val="24"/>
              </w:rPr>
            </w:pPr>
            <w:r w:rsidRPr="00341240">
              <w:rPr>
                <w:rFonts w:ascii="Times New Roman" w:eastAsia="Calibri" w:hAnsi="Times New Roman" w:cs="Times New Roman"/>
                <w:sz w:val="24"/>
                <w:szCs w:val="24"/>
              </w:rPr>
              <w:t>128</w:t>
            </w:r>
          </w:p>
        </w:tc>
        <w:tc>
          <w:tcPr>
            <w:tcW w:w="1440" w:type="dxa"/>
            <w:shd w:val="clear" w:color="auto" w:fill="auto"/>
          </w:tcPr>
          <w:p w:rsidR="00341240" w:rsidRPr="00341240" w:rsidRDefault="00341240" w:rsidP="00341240">
            <w:pPr>
              <w:spacing w:after="0"/>
              <w:rPr>
                <w:rFonts w:ascii="Times New Roman" w:eastAsia="Calibri" w:hAnsi="Times New Roman" w:cs="Times New Roman"/>
                <w:sz w:val="24"/>
                <w:szCs w:val="24"/>
              </w:rPr>
            </w:pPr>
            <w:r w:rsidRPr="00341240">
              <w:rPr>
                <w:rFonts w:ascii="Times New Roman" w:eastAsia="Calibri" w:hAnsi="Times New Roman" w:cs="Times New Roman"/>
                <w:sz w:val="24"/>
                <w:szCs w:val="24"/>
              </w:rPr>
              <w:t>100</w:t>
            </w:r>
          </w:p>
        </w:tc>
      </w:tr>
    </w:tbl>
    <w:p w:rsidR="00341240" w:rsidRPr="00341240" w:rsidRDefault="00341240" w:rsidP="00341240">
      <w:pPr>
        <w:autoSpaceDN w:val="0"/>
        <w:spacing w:before="240" w:after="0" w:line="240" w:lineRule="auto"/>
        <w:ind w:firstLine="35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Для обеспечения гарантированно надежного доступа НКЦ к платежным системам Банка России и информационным электронным сервисам Федеральных служб России проведено комплексное тестирование специализированных комплексов на резервной площадке (ул. Спартаковсая-12). Специализированные комплексы (платежи и отчетность в Банк России) на резервной площадке находятся в режиме готовности к немедленному применению. С целью оптимизации бизнес процессов по работе с платежной системой Банка России осуществлен перевод интерфейса взаимодействия НКЦ  с платежными системами регулятора на унифицированный комплекс повышенной надежности «Клиент Банка России специальный».</w:t>
      </w:r>
    </w:p>
    <w:p w:rsidR="00341240" w:rsidRPr="00341240" w:rsidRDefault="00341240" w:rsidP="00341240">
      <w:pPr>
        <w:autoSpaceDN w:val="0"/>
        <w:spacing w:after="0" w:line="240" w:lineRule="auto"/>
        <w:ind w:firstLine="360"/>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Программно-технический комплекс (далее - ПТК) Банка  расположен на двух территориально удаленных вычислительных центрах с полным дублированием наиболее критичных систем автоматизированной обработки данных. </w:t>
      </w:r>
    </w:p>
    <w:p w:rsidR="00341240" w:rsidRPr="00341240" w:rsidRDefault="00341240" w:rsidP="00341240">
      <w:pPr>
        <w:autoSpaceDN w:val="0"/>
        <w:spacing w:after="0" w:line="240" w:lineRule="auto"/>
        <w:ind w:firstLine="360"/>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В рамках расширения возможности используемых вычислительных центров, а так же в целях повышения устойчивости к сбоям и уменьшения операционных рисков было закуплено 19 новых, более производительных серверов и начата работа по созданию нового контура для основных систем обработки данных в новом вычислительном центре компании DataSpace, имеющем сертификат Tier III. Одновременно с этим на серверах СУБД осуществлен переход с операционной системы HP-UX на новую, более распространенную в мире операционную систему Linux, что позволит получать более эффективную техническую поддержку производителя с меньшими финансовыми затратами, и выполнен переход на ПО ORACLE 12c.</w:t>
      </w:r>
    </w:p>
    <w:p w:rsidR="00341240" w:rsidRPr="00341240" w:rsidRDefault="00341240" w:rsidP="00341240">
      <w:pPr>
        <w:autoSpaceDN w:val="0"/>
        <w:spacing w:after="0" w:line="240" w:lineRule="auto"/>
        <w:ind w:firstLine="360"/>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Проведена модернизация программно-аппаратного комплекса формирования и хранения электронных архивов операционного дня банка: внедрен в промышленную эксплуатацию программный комплекс «</w:t>
      </w:r>
      <w:r w:rsidRPr="00341240">
        <w:rPr>
          <w:rFonts w:ascii="Times New Roman" w:eastAsia="Calibri" w:hAnsi="Times New Roman" w:cs="Times New Roman"/>
          <w:sz w:val="24"/>
          <w:szCs w:val="24"/>
          <w:lang w:val="en-US"/>
        </w:rPr>
        <w:t>Symantec</w:t>
      </w:r>
      <w:r w:rsidRPr="00341240">
        <w:rPr>
          <w:rFonts w:ascii="Times New Roman" w:eastAsia="Calibri" w:hAnsi="Times New Roman" w:cs="Times New Roman"/>
          <w:sz w:val="24"/>
          <w:szCs w:val="24"/>
        </w:rPr>
        <w:t xml:space="preserve"> </w:t>
      </w:r>
      <w:r w:rsidRPr="00341240">
        <w:rPr>
          <w:rFonts w:ascii="Times New Roman" w:eastAsia="Calibri" w:hAnsi="Times New Roman" w:cs="Times New Roman"/>
          <w:sz w:val="24"/>
          <w:szCs w:val="24"/>
          <w:lang w:val="en-US"/>
        </w:rPr>
        <w:t>Backup</w:t>
      </w:r>
      <w:r w:rsidRPr="00341240">
        <w:rPr>
          <w:rFonts w:ascii="Times New Roman" w:eastAsia="Calibri" w:hAnsi="Times New Roman" w:cs="Times New Roman"/>
          <w:sz w:val="24"/>
          <w:szCs w:val="24"/>
        </w:rPr>
        <w:t xml:space="preserve"> </w:t>
      </w:r>
      <w:r w:rsidRPr="00341240">
        <w:rPr>
          <w:rFonts w:ascii="Times New Roman" w:eastAsia="Calibri" w:hAnsi="Times New Roman" w:cs="Times New Roman"/>
          <w:sz w:val="24"/>
          <w:szCs w:val="24"/>
          <w:lang w:val="en-US"/>
        </w:rPr>
        <w:t>Exec</w:t>
      </w:r>
      <w:r w:rsidRPr="00341240">
        <w:rPr>
          <w:rFonts w:ascii="Times New Roman" w:eastAsia="Calibri" w:hAnsi="Times New Roman" w:cs="Times New Roman"/>
          <w:sz w:val="24"/>
          <w:szCs w:val="24"/>
        </w:rPr>
        <w:t xml:space="preserve"> 15» на платформе </w:t>
      </w:r>
      <w:r w:rsidRPr="00341240">
        <w:rPr>
          <w:rFonts w:ascii="Times New Roman" w:eastAsia="Calibri" w:hAnsi="Times New Roman" w:cs="Times New Roman"/>
          <w:sz w:val="24"/>
          <w:szCs w:val="24"/>
          <w:lang w:val="en-US"/>
        </w:rPr>
        <w:t>Windows</w:t>
      </w:r>
      <w:r w:rsidRPr="00341240">
        <w:rPr>
          <w:rFonts w:ascii="Times New Roman" w:eastAsia="Calibri" w:hAnsi="Times New Roman" w:cs="Times New Roman"/>
          <w:sz w:val="24"/>
          <w:szCs w:val="24"/>
        </w:rPr>
        <w:t xml:space="preserve">-сервера 2012 </w:t>
      </w:r>
      <w:r w:rsidRPr="00341240">
        <w:rPr>
          <w:rFonts w:ascii="Times New Roman" w:eastAsia="Calibri" w:hAnsi="Times New Roman" w:cs="Times New Roman"/>
          <w:sz w:val="24"/>
          <w:szCs w:val="24"/>
          <w:lang w:val="en-US"/>
        </w:rPr>
        <w:t>R</w:t>
      </w:r>
      <w:r w:rsidRPr="00341240">
        <w:rPr>
          <w:rFonts w:ascii="Times New Roman" w:eastAsia="Calibri" w:hAnsi="Times New Roman" w:cs="Times New Roman"/>
          <w:sz w:val="24"/>
          <w:szCs w:val="24"/>
        </w:rPr>
        <w:t>2, проведена модернизация системы хранения данных «</w:t>
      </w:r>
      <w:r w:rsidRPr="00341240">
        <w:rPr>
          <w:rFonts w:ascii="Times New Roman" w:eastAsia="Calibri" w:hAnsi="Times New Roman" w:cs="Times New Roman"/>
          <w:sz w:val="24"/>
          <w:szCs w:val="24"/>
          <w:lang w:val="en-US"/>
        </w:rPr>
        <w:t>HP</w:t>
      </w:r>
      <w:r w:rsidRPr="00341240">
        <w:rPr>
          <w:rFonts w:ascii="Times New Roman" w:eastAsia="Calibri" w:hAnsi="Times New Roman" w:cs="Times New Roman"/>
          <w:sz w:val="24"/>
          <w:szCs w:val="24"/>
        </w:rPr>
        <w:t xml:space="preserve"> </w:t>
      </w:r>
      <w:r w:rsidRPr="00341240">
        <w:rPr>
          <w:rFonts w:ascii="Times New Roman" w:eastAsia="Calibri" w:hAnsi="Times New Roman" w:cs="Times New Roman"/>
          <w:sz w:val="24"/>
          <w:szCs w:val="24"/>
          <w:lang w:val="en-US"/>
        </w:rPr>
        <w:t>MSA</w:t>
      </w:r>
      <w:r w:rsidRPr="00341240">
        <w:rPr>
          <w:rFonts w:ascii="Times New Roman" w:eastAsia="Calibri" w:hAnsi="Times New Roman" w:cs="Times New Roman"/>
          <w:sz w:val="24"/>
          <w:szCs w:val="24"/>
        </w:rPr>
        <w:t xml:space="preserve"> </w:t>
      </w:r>
      <w:r w:rsidRPr="00341240">
        <w:rPr>
          <w:rFonts w:ascii="Times New Roman" w:eastAsia="Calibri" w:hAnsi="Times New Roman" w:cs="Times New Roman"/>
          <w:sz w:val="24"/>
          <w:szCs w:val="24"/>
          <w:lang w:val="en-US"/>
        </w:rPr>
        <w:t>G</w:t>
      </w:r>
      <w:r w:rsidRPr="00341240">
        <w:rPr>
          <w:rFonts w:ascii="Times New Roman" w:eastAsia="Calibri" w:hAnsi="Times New Roman" w:cs="Times New Roman"/>
          <w:sz w:val="24"/>
          <w:szCs w:val="24"/>
        </w:rPr>
        <w:t>3».</w:t>
      </w:r>
    </w:p>
    <w:p w:rsidR="00341240" w:rsidRPr="00341240" w:rsidRDefault="00341240" w:rsidP="00341240">
      <w:pPr>
        <w:autoSpaceDN w:val="0"/>
        <w:spacing w:after="0" w:line="240" w:lineRule="auto"/>
        <w:ind w:firstLine="360"/>
        <w:jc w:val="both"/>
        <w:rPr>
          <w:rFonts w:ascii="Calibri" w:eastAsia="Calibri" w:hAnsi="Calibri" w:cs="Times New Roman"/>
        </w:rPr>
      </w:pPr>
      <w:r w:rsidRPr="00341240">
        <w:rPr>
          <w:rFonts w:ascii="Times New Roman" w:eastAsia="Calibri" w:hAnsi="Times New Roman" w:cs="Times New Roman"/>
          <w:sz w:val="24"/>
          <w:szCs w:val="24"/>
        </w:rPr>
        <w:t xml:space="preserve">Продолжается развитие сервисов системы управления базами данных (СУБД) ORACLE. В 2015г. суммарный объем сопровождаемых баз данных (БД) достиг 14,1 Тб, количество БД в 38 шт. </w:t>
      </w:r>
    </w:p>
    <w:p w:rsidR="00341240" w:rsidRPr="00341240" w:rsidRDefault="00341240" w:rsidP="00341240">
      <w:pPr>
        <w:autoSpaceDN w:val="0"/>
        <w:spacing w:after="0" w:line="240" w:lineRule="auto"/>
        <w:ind w:firstLine="360"/>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Получило продолжение решения задачи автоматического размещения риск-параметров на сайте НКЦ. В 2015г выполнено автоматическое размещение на сайте НКЦ риск-параметров на фондовом и валютном рынках Московской Биржи.</w:t>
      </w:r>
    </w:p>
    <w:p w:rsidR="00341240" w:rsidRPr="00341240" w:rsidRDefault="00341240" w:rsidP="00341240">
      <w:pPr>
        <w:autoSpaceDN w:val="0"/>
        <w:spacing w:after="0" w:line="240" w:lineRule="auto"/>
        <w:ind w:firstLine="360"/>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Проведенный в 2015г. нагрузочный тест показал работоспособность ПТК Банка  при нагрузке, вдвое превосходящей текущую.</w:t>
      </w:r>
    </w:p>
    <w:p w:rsidR="00341240" w:rsidRPr="00341240" w:rsidRDefault="00341240" w:rsidP="00341240">
      <w:pPr>
        <w:jc w:val="center"/>
        <w:rPr>
          <w:b/>
        </w:rPr>
      </w:pPr>
      <w:r w:rsidRPr="00341240">
        <w:rPr>
          <w:rFonts w:ascii="Times New Roman" w:eastAsia="Times New Roman" w:hAnsi="Times New Roman" w:cs="Times New Roman"/>
          <w:b/>
          <w:sz w:val="28"/>
          <w:szCs w:val="28"/>
          <w:lang w:eastAsia="ru-RU"/>
        </w:rPr>
        <w:t>10.Основные финансовые результаты</w:t>
      </w:r>
    </w:p>
    <w:tbl>
      <w:tblPr>
        <w:tblW w:w="8178" w:type="dxa"/>
        <w:tblInd w:w="93" w:type="dxa"/>
        <w:tblLook w:val="04A0" w:firstRow="1" w:lastRow="0" w:firstColumn="1" w:lastColumn="0" w:noHBand="0" w:noVBand="1"/>
      </w:tblPr>
      <w:tblGrid>
        <w:gridCol w:w="5431"/>
        <w:gridCol w:w="2075"/>
        <w:gridCol w:w="672"/>
      </w:tblGrid>
      <w:tr w:rsidR="00341240" w:rsidRPr="00341240" w:rsidTr="00411971">
        <w:trPr>
          <w:gridAfter w:val="1"/>
          <w:wAfter w:w="672" w:type="dxa"/>
          <w:trHeight w:val="300"/>
        </w:trPr>
        <w:tc>
          <w:tcPr>
            <w:tcW w:w="7506" w:type="dxa"/>
            <w:gridSpan w:val="2"/>
            <w:tcBorders>
              <w:top w:val="nil"/>
              <w:left w:val="nil"/>
              <w:bottom w:val="nil"/>
              <w:right w:val="nil"/>
            </w:tcBorders>
            <w:shd w:val="clear" w:color="auto" w:fill="auto"/>
            <w:noWrap/>
            <w:vAlign w:val="bottom"/>
            <w:hideMark/>
          </w:tcPr>
          <w:p w:rsidR="00341240" w:rsidRPr="00341240" w:rsidRDefault="00341240" w:rsidP="00341240">
            <w:pPr>
              <w:spacing w:after="0" w:line="240" w:lineRule="auto"/>
              <w:ind w:left="709"/>
              <w:jc w:val="center"/>
              <w:rPr>
                <w:rFonts w:ascii="Times New Roman" w:eastAsia="Times New Roman" w:hAnsi="Times New Roman" w:cs="Times New Roman"/>
                <w:b/>
                <w:iCs/>
                <w:color w:val="000000"/>
                <w:sz w:val="24"/>
                <w:szCs w:val="24"/>
                <w:lang w:eastAsia="ru-RU"/>
              </w:rPr>
            </w:pPr>
          </w:p>
          <w:p w:rsidR="00341240" w:rsidRPr="00341240" w:rsidRDefault="00341240" w:rsidP="00341240">
            <w:pPr>
              <w:spacing w:after="0" w:line="240" w:lineRule="auto"/>
              <w:ind w:left="709"/>
              <w:jc w:val="center"/>
              <w:rPr>
                <w:rFonts w:ascii="Times New Roman" w:eastAsia="Times New Roman" w:hAnsi="Times New Roman" w:cs="Times New Roman"/>
                <w:b/>
                <w:iCs/>
                <w:color w:val="000000"/>
                <w:sz w:val="24"/>
                <w:szCs w:val="24"/>
                <w:lang w:eastAsia="ru-RU"/>
              </w:rPr>
            </w:pPr>
            <w:r w:rsidRPr="00341240">
              <w:rPr>
                <w:rFonts w:ascii="Times New Roman" w:eastAsia="Times New Roman" w:hAnsi="Times New Roman" w:cs="Times New Roman"/>
                <w:b/>
                <w:iCs/>
                <w:color w:val="000000"/>
                <w:sz w:val="24"/>
                <w:szCs w:val="24"/>
                <w:lang w:eastAsia="ru-RU"/>
              </w:rPr>
              <w:t>Основные финансовые результаты деятельности по состоянию на 01.01.2016 г. (в  тыс. руб.)</w:t>
            </w:r>
          </w:p>
        </w:tc>
      </w:tr>
      <w:tr w:rsidR="00341240" w:rsidRPr="00341240" w:rsidTr="00411971">
        <w:trPr>
          <w:trHeight w:val="315"/>
        </w:trPr>
        <w:tc>
          <w:tcPr>
            <w:tcW w:w="5431" w:type="dxa"/>
            <w:shd w:val="clear" w:color="auto" w:fill="auto"/>
            <w:noWrap/>
            <w:vAlign w:val="bottom"/>
            <w:hideMark/>
          </w:tcPr>
          <w:p w:rsidR="00341240" w:rsidRPr="00341240" w:rsidRDefault="00341240" w:rsidP="00341240">
            <w:pPr>
              <w:spacing w:after="0" w:line="240" w:lineRule="auto"/>
              <w:ind w:left="709"/>
              <w:jc w:val="both"/>
              <w:rPr>
                <w:rFonts w:ascii="Times New Roman" w:eastAsia="Times New Roman" w:hAnsi="Times New Roman" w:cs="Times New Roman"/>
                <w:b/>
                <w:bCs/>
                <w:sz w:val="24"/>
                <w:szCs w:val="24"/>
                <w:lang w:eastAsia="ru-RU"/>
              </w:rPr>
            </w:pPr>
            <w:r w:rsidRPr="00341240">
              <w:rPr>
                <w:rFonts w:ascii="Times New Roman" w:eastAsia="Times New Roman" w:hAnsi="Times New Roman" w:cs="Times New Roman"/>
                <w:b/>
                <w:bCs/>
                <w:sz w:val="24"/>
                <w:szCs w:val="24"/>
                <w:lang w:eastAsia="ru-RU"/>
              </w:rPr>
              <w:t>Собственные средства (капитал)</w:t>
            </w:r>
          </w:p>
        </w:tc>
        <w:tc>
          <w:tcPr>
            <w:tcW w:w="2747" w:type="dxa"/>
            <w:gridSpan w:val="2"/>
            <w:shd w:val="clear" w:color="auto" w:fill="auto"/>
            <w:noWrap/>
            <w:vAlign w:val="bottom"/>
            <w:hideMark/>
          </w:tcPr>
          <w:p w:rsidR="00341240" w:rsidRPr="00341240" w:rsidRDefault="00341240" w:rsidP="00341240">
            <w:pPr>
              <w:spacing w:after="0" w:line="240" w:lineRule="auto"/>
              <w:ind w:left="709"/>
              <w:jc w:val="both"/>
              <w:rPr>
                <w:rFonts w:ascii="Times New Roman" w:eastAsia="Times New Roman" w:hAnsi="Times New Roman" w:cs="Times New Roman"/>
                <w:b/>
                <w:bCs/>
                <w:sz w:val="24"/>
                <w:szCs w:val="24"/>
                <w:lang w:eastAsia="ru-RU"/>
              </w:rPr>
            </w:pPr>
            <w:r w:rsidRPr="00341240">
              <w:rPr>
                <w:rFonts w:ascii="Times New Roman" w:eastAsia="Times New Roman" w:hAnsi="Times New Roman" w:cs="Times New Roman"/>
                <w:b/>
                <w:bCs/>
                <w:sz w:val="24"/>
                <w:szCs w:val="24"/>
                <w:lang w:eastAsia="ru-RU"/>
              </w:rPr>
              <w:t>54 130 884</w:t>
            </w:r>
          </w:p>
        </w:tc>
      </w:tr>
      <w:tr w:rsidR="00341240" w:rsidRPr="00341240" w:rsidTr="00411971">
        <w:trPr>
          <w:trHeight w:val="300"/>
        </w:trPr>
        <w:tc>
          <w:tcPr>
            <w:tcW w:w="5431" w:type="dxa"/>
            <w:shd w:val="clear" w:color="auto" w:fill="auto"/>
            <w:noWrap/>
            <w:vAlign w:val="bottom"/>
            <w:hideMark/>
          </w:tcPr>
          <w:p w:rsidR="00341240" w:rsidRPr="00341240" w:rsidRDefault="00341240" w:rsidP="00341240">
            <w:pPr>
              <w:spacing w:after="0" w:line="240" w:lineRule="auto"/>
              <w:ind w:left="709"/>
              <w:jc w:val="both"/>
              <w:rPr>
                <w:rFonts w:ascii="Times New Roman" w:eastAsia="Times New Roman" w:hAnsi="Times New Roman" w:cs="Times New Roman"/>
                <w:b/>
                <w:bCs/>
                <w:sz w:val="24"/>
                <w:szCs w:val="24"/>
                <w:lang w:eastAsia="ru-RU"/>
              </w:rPr>
            </w:pPr>
            <w:r w:rsidRPr="00341240">
              <w:rPr>
                <w:rFonts w:ascii="Times New Roman" w:eastAsia="Times New Roman" w:hAnsi="Times New Roman" w:cs="Times New Roman"/>
                <w:b/>
                <w:bCs/>
                <w:sz w:val="24"/>
                <w:szCs w:val="24"/>
                <w:lang w:eastAsia="ru-RU"/>
              </w:rPr>
              <w:t>Чистые доходы, всего,</w:t>
            </w:r>
          </w:p>
        </w:tc>
        <w:tc>
          <w:tcPr>
            <w:tcW w:w="2747" w:type="dxa"/>
            <w:gridSpan w:val="2"/>
            <w:shd w:val="clear" w:color="auto" w:fill="auto"/>
            <w:noWrap/>
            <w:vAlign w:val="bottom"/>
            <w:hideMark/>
          </w:tcPr>
          <w:p w:rsidR="00341240" w:rsidRPr="00341240" w:rsidRDefault="00341240" w:rsidP="00341240">
            <w:pPr>
              <w:spacing w:after="0" w:line="240" w:lineRule="auto"/>
              <w:ind w:left="709"/>
              <w:jc w:val="both"/>
              <w:rPr>
                <w:rFonts w:ascii="Times New Roman" w:eastAsia="Times New Roman" w:hAnsi="Times New Roman" w:cs="Times New Roman"/>
                <w:b/>
                <w:bCs/>
                <w:sz w:val="24"/>
                <w:szCs w:val="24"/>
                <w:lang w:eastAsia="ru-RU"/>
              </w:rPr>
            </w:pPr>
            <w:r w:rsidRPr="00341240">
              <w:rPr>
                <w:rFonts w:ascii="Times New Roman" w:eastAsia="Times New Roman" w:hAnsi="Times New Roman" w:cs="Times New Roman"/>
                <w:b/>
                <w:bCs/>
                <w:sz w:val="24"/>
                <w:szCs w:val="24"/>
                <w:lang w:eastAsia="ru-RU"/>
              </w:rPr>
              <w:t>29 270 946</w:t>
            </w:r>
          </w:p>
        </w:tc>
      </w:tr>
      <w:tr w:rsidR="00341240" w:rsidRPr="00341240" w:rsidTr="00411971">
        <w:trPr>
          <w:trHeight w:val="300"/>
        </w:trPr>
        <w:tc>
          <w:tcPr>
            <w:tcW w:w="5431" w:type="dxa"/>
            <w:shd w:val="clear" w:color="auto" w:fill="auto"/>
            <w:noWrap/>
            <w:vAlign w:val="bottom"/>
            <w:hideMark/>
          </w:tcPr>
          <w:p w:rsidR="00341240" w:rsidRPr="00341240" w:rsidRDefault="00341240" w:rsidP="00341240">
            <w:pPr>
              <w:spacing w:after="0" w:line="240" w:lineRule="auto"/>
              <w:ind w:left="709"/>
              <w:jc w:val="both"/>
              <w:rPr>
                <w:rFonts w:ascii="Times New Roman" w:eastAsia="Times New Roman" w:hAnsi="Times New Roman" w:cs="Times New Roman"/>
                <w:b/>
                <w:bCs/>
                <w:sz w:val="24"/>
                <w:szCs w:val="24"/>
                <w:lang w:eastAsia="ru-RU"/>
              </w:rPr>
            </w:pPr>
            <w:r w:rsidRPr="00341240">
              <w:rPr>
                <w:rFonts w:ascii="Times New Roman" w:eastAsia="Times New Roman" w:hAnsi="Times New Roman" w:cs="Times New Roman"/>
                <w:b/>
                <w:bCs/>
                <w:sz w:val="24"/>
                <w:szCs w:val="24"/>
                <w:lang w:eastAsia="ru-RU"/>
              </w:rPr>
              <w:t>Операционные расходы</w:t>
            </w:r>
          </w:p>
        </w:tc>
        <w:tc>
          <w:tcPr>
            <w:tcW w:w="2747" w:type="dxa"/>
            <w:gridSpan w:val="2"/>
            <w:shd w:val="clear" w:color="auto" w:fill="auto"/>
            <w:noWrap/>
            <w:vAlign w:val="bottom"/>
            <w:hideMark/>
          </w:tcPr>
          <w:p w:rsidR="00341240" w:rsidRPr="00341240" w:rsidRDefault="00341240" w:rsidP="00341240">
            <w:pPr>
              <w:spacing w:after="0" w:line="240" w:lineRule="auto"/>
              <w:ind w:left="709"/>
              <w:jc w:val="both"/>
              <w:rPr>
                <w:rFonts w:ascii="Times New Roman" w:eastAsia="Times New Roman" w:hAnsi="Times New Roman" w:cs="Times New Roman"/>
                <w:b/>
                <w:bCs/>
                <w:sz w:val="24"/>
                <w:szCs w:val="24"/>
                <w:lang w:eastAsia="ru-RU"/>
              </w:rPr>
            </w:pPr>
            <w:r w:rsidRPr="00341240">
              <w:rPr>
                <w:rFonts w:ascii="Times New Roman" w:eastAsia="Times New Roman" w:hAnsi="Times New Roman" w:cs="Times New Roman"/>
                <w:b/>
                <w:bCs/>
                <w:sz w:val="24"/>
                <w:szCs w:val="24"/>
                <w:lang w:eastAsia="ru-RU"/>
              </w:rPr>
              <w:t xml:space="preserve">  1 186 620</w:t>
            </w:r>
          </w:p>
        </w:tc>
      </w:tr>
      <w:tr w:rsidR="00341240" w:rsidRPr="00341240" w:rsidTr="00411971">
        <w:trPr>
          <w:trHeight w:val="300"/>
        </w:trPr>
        <w:tc>
          <w:tcPr>
            <w:tcW w:w="5431" w:type="dxa"/>
            <w:shd w:val="clear" w:color="auto" w:fill="auto"/>
            <w:noWrap/>
            <w:vAlign w:val="bottom"/>
            <w:hideMark/>
          </w:tcPr>
          <w:p w:rsidR="00341240" w:rsidRPr="00341240" w:rsidRDefault="00341240" w:rsidP="00341240">
            <w:pPr>
              <w:spacing w:after="0" w:line="240" w:lineRule="auto"/>
              <w:ind w:left="709"/>
              <w:jc w:val="both"/>
              <w:rPr>
                <w:rFonts w:ascii="Times New Roman" w:eastAsia="Times New Roman" w:hAnsi="Times New Roman" w:cs="Times New Roman"/>
                <w:b/>
                <w:bCs/>
                <w:sz w:val="24"/>
                <w:szCs w:val="24"/>
                <w:lang w:eastAsia="ru-RU"/>
              </w:rPr>
            </w:pPr>
            <w:r w:rsidRPr="00341240">
              <w:rPr>
                <w:rFonts w:ascii="Times New Roman" w:eastAsia="Times New Roman" w:hAnsi="Times New Roman" w:cs="Times New Roman"/>
                <w:b/>
                <w:bCs/>
                <w:sz w:val="24"/>
                <w:szCs w:val="24"/>
                <w:lang w:eastAsia="ru-RU"/>
              </w:rPr>
              <w:t>Прибыль до налогообложения</w:t>
            </w:r>
          </w:p>
        </w:tc>
        <w:tc>
          <w:tcPr>
            <w:tcW w:w="2747" w:type="dxa"/>
            <w:gridSpan w:val="2"/>
            <w:shd w:val="clear" w:color="auto" w:fill="auto"/>
            <w:noWrap/>
            <w:vAlign w:val="bottom"/>
            <w:hideMark/>
          </w:tcPr>
          <w:p w:rsidR="00341240" w:rsidRPr="00341240" w:rsidRDefault="00341240" w:rsidP="00341240">
            <w:pPr>
              <w:spacing w:after="0" w:line="240" w:lineRule="auto"/>
              <w:ind w:left="709"/>
              <w:jc w:val="both"/>
              <w:rPr>
                <w:rFonts w:ascii="Times New Roman" w:eastAsia="Times New Roman" w:hAnsi="Times New Roman" w:cs="Times New Roman"/>
                <w:b/>
                <w:bCs/>
                <w:sz w:val="24"/>
                <w:szCs w:val="24"/>
                <w:lang w:eastAsia="ru-RU"/>
              </w:rPr>
            </w:pPr>
            <w:r w:rsidRPr="00341240">
              <w:rPr>
                <w:rFonts w:ascii="Times New Roman" w:eastAsia="Times New Roman" w:hAnsi="Times New Roman" w:cs="Times New Roman"/>
                <w:b/>
                <w:bCs/>
                <w:sz w:val="24"/>
                <w:szCs w:val="24"/>
                <w:lang w:eastAsia="ru-RU"/>
              </w:rPr>
              <w:t>28 084 326</w:t>
            </w:r>
          </w:p>
        </w:tc>
      </w:tr>
      <w:tr w:rsidR="00341240" w:rsidRPr="00341240" w:rsidTr="00411971">
        <w:trPr>
          <w:trHeight w:val="300"/>
        </w:trPr>
        <w:tc>
          <w:tcPr>
            <w:tcW w:w="5431" w:type="dxa"/>
            <w:shd w:val="clear" w:color="auto" w:fill="auto"/>
            <w:noWrap/>
            <w:vAlign w:val="bottom"/>
          </w:tcPr>
          <w:p w:rsidR="00341240" w:rsidRPr="00341240" w:rsidRDefault="00341240" w:rsidP="00341240">
            <w:pPr>
              <w:spacing w:after="0" w:line="240" w:lineRule="auto"/>
              <w:ind w:left="709"/>
              <w:jc w:val="both"/>
              <w:rPr>
                <w:rFonts w:ascii="Times New Roman" w:eastAsia="Times New Roman" w:hAnsi="Times New Roman" w:cs="Times New Roman"/>
                <w:b/>
                <w:bCs/>
                <w:sz w:val="24"/>
                <w:szCs w:val="24"/>
                <w:lang w:eastAsia="ru-RU"/>
              </w:rPr>
            </w:pPr>
            <w:r w:rsidRPr="00341240">
              <w:rPr>
                <w:rFonts w:ascii="Times New Roman" w:eastAsia="Times New Roman" w:hAnsi="Times New Roman" w:cs="Times New Roman"/>
                <w:b/>
                <w:bCs/>
                <w:sz w:val="24"/>
                <w:szCs w:val="24"/>
                <w:lang w:eastAsia="ru-RU"/>
              </w:rPr>
              <w:t>Начисленные (уплаченные) налоги</w:t>
            </w:r>
          </w:p>
        </w:tc>
        <w:tc>
          <w:tcPr>
            <w:tcW w:w="2747" w:type="dxa"/>
            <w:gridSpan w:val="2"/>
            <w:shd w:val="clear" w:color="auto" w:fill="auto"/>
            <w:noWrap/>
            <w:vAlign w:val="bottom"/>
          </w:tcPr>
          <w:p w:rsidR="00341240" w:rsidRPr="00341240" w:rsidRDefault="00341240" w:rsidP="00341240">
            <w:pPr>
              <w:spacing w:after="0" w:line="240" w:lineRule="auto"/>
              <w:ind w:left="709"/>
              <w:jc w:val="both"/>
              <w:rPr>
                <w:rFonts w:ascii="Times New Roman" w:eastAsia="Times New Roman" w:hAnsi="Times New Roman" w:cs="Times New Roman"/>
                <w:b/>
                <w:bCs/>
                <w:sz w:val="24"/>
                <w:szCs w:val="24"/>
                <w:lang w:eastAsia="ru-RU"/>
              </w:rPr>
            </w:pPr>
            <w:r w:rsidRPr="00341240">
              <w:rPr>
                <w:rFonts w:ascii="Times New Roman" w:eastAsia="Times New Roman" w:hAnsi="Times New Roman" w:cs="Times New Roman"/>
                <w:b/>
                <w:bCs/>
                <w:sz w:val="24"/>
                <w:szCs w:val="24"/>
                <w:lang w:eastAsia="ru-RU"/>
              </w:rPr>
              <w:t xml:space="preserve">  5 437 891</w:t>
            </w:r>
          </w:p>
        </w:tc>
      </w:tr>
      <w:tr w:rsidR="00341240" w:rsidRPr="00341240" w:rsidTr="00411971">
        <w:trPr>
          <w:trHeight w:val="300"/>
        </w:trPr>
        <w:tc>
          <w:tcPr>
            <w:tcW w:w="5431" w:type="dxa"/>
            <w:shd w:val="clear" w:color="auto" w:fill="auto"/>
            <w:noWrap/>
            <w:vAlign w:val="bottom"/>
          </w:tcPr>
          <w:p w:rsidR="00341240" w:rsidRPr="00341240" w:rsidRDefault="00341240" w:rsidP="00341240">
            <w:pPr>
              <w:spacing w:after="0" w:line="240" w:lineRule="auto"/>
              <w:ind w:left="709"/>
              <w:jc w:val="both"/>
              <w:rPr>
                <w:rFonts w:ascii="Times New Roman" w:eastAsia="Times New Roman" w:hAnsi="Times New Roman" w:cs="Times New Roman"/>
                <w:b/>
                <w:bCs/>
                <w:sz w:val="24"/>
                <w:szCs w:val="24"/>
                <w:lang w:eastAsia="ru-RU"/>
              </w:rPr>
            </w:pPr>
            <w:r w:rsidRPr="00341240">
              <w:rPr>
                <w:rFonts w:ascii="Times New Roman" w:eastAsia="Times New Roman" w:hAnsi="Times New Roman" w:cs="Times New Roman"/>
                <w:b/>
                <w:bCs/>
                <w:sz w:val="24"/>
                <w:szCs w:val="24"/>
                <w:lang w:eastAsia="ru-RU"/>
              </w:rPr>
              <w:t>Прибыль после налогообложения</w:t>
            </w:r>
          </w:p>
        </w:tc>
        <w:tc>
          <w:tcPr>
            <w:tcW w:w="2747" w:type="dxa"/>
            <w:gridSpan w:val="2"/>
            <w:shd w:val="clear" w:color="auto" w:fill="auto"/>
            <w:noWrap/>
            <w:vAlign w:val="bottom"/>
          </w:tcPr>
          <w:p w:rsidR="00341240" w:rsidRPr="00341240" w:rsidRDefault="00341240" w:rsidP="00341240">
            <w:pPr>
              <w:spacing w:after="0" w:line="240" w:lineRule="auto"/>
              <w:ind w:left="709"/>
              <w:jc w:val="both"/>
              <w:rPr>
                <w:rFonts w:ascii="Times New Roman" w:eastAsia="Times New Roman" w:hAnsi="Times New Roman" w:cs="Times New Roman"/>
                <w:b/>
                <w:bCs/>
                <w:sz w:val="24"/>
                <w:szCs w:val="24"/>
                <w:lang w:eastAsia="ru-RU"/>
              </w:rPr>
            </w:pPr>
            <w:r w:rsidRPr="00341240">
              <w:rPr>
                <w:rFonts w:ascii="Times New Roman" w:eastAsia="Times New Roman" w:hAnsi="Times New Roman" w:cs="Times New Roman"/>
                <w:b/>
                <w:bCs/>
                <w:sz w:val="24"/>
                <w:szCs w:val="24"/>
                <w:lang w:eastAsia="ru-RU"/>
              </w:rPr>
              <w:t>22 646 435</w:t>
            </w:r>
          </w:p>
        </w:tc>
      </w:tr>
    </w:tbl>
    <w:p w:rsidR="00341240" w:rsidRPr="00341240" w:rsidRDefault="00341240" w:rsidP="00341240">
      <w:pPr>
        <w:spacing w:after="0" w:line="240" w:lineRule="auto"/>
        <w:jc w:val="center"/>
        <w:rPr>
          <w:rFonts w:ascii="Times New Roman" w:eastAsia="Times New Roman" w:hAnsi="Times New Roman" w:cs="Times New Roman"/>
          <w:b/>
          <w:i/>
          <w:sz w:val="24"/>
          <w:szCs w:val="24"/>
          <w:lang w:eastAsia="ru-RU"/>
        </w:rPr>
      </w:pPr>
    </w:p>
    <w:p w:rsidR="00341240" w:rsidRPr="00341240" w:rsidRDefault="00341240" w:rsidP="00341240">
      <w:pPr>
        <w:spacing w:after="0" w:line="240" w:lineRule="auto"/>
        <w:jc w:val="center"/>
        <w:rPr>
          <w:rFonts w:ascii="Times New Roman" w:eastAsia="Times New Roman" w:hAnsi="Times New Roman" w:cs="Times New Roman"/>
          <w:b/>
          <w:i/>
          <w:sz w:val="24"/>
          <w:szCs w:val="24"/>
          <w:lang w:eastAsia="ru-RU"/>
        </w:rPr>
      </w:pPr>
      <w:r w:rsidRPr="00341240">
        <w:rPr>
          <w:rFonts w:ascii="Times New Roman" w:eastAsia="Times New Roman" w:hAnsi="Times New Roman" w:cs="Times New Roman"/>
          <w:b/>
          <w:i/>
          <w:sz w:val="24"/>
          <w:szCs w:val="24"/>
          <w:lang w:eastAsia="ru-RU"/>
        </w:rPr>
        <w:t>Динамика изменений финансовых результатов (тыс. руб.)</w:t>
      </w:r>
    </w:p>
    <w:p w:rsidR="00341240" w:rsidRPr="00341240" w:rsidRDefault="00341240" w:rsidP="00341240">
      <w:pPr>
        <w:spacing w:after="0" w:line="240" w:lineRule="auto"/>
        <w:rPr>
          <w:rFonts w:ascii="Times New Roman" w:eastAsia="Times New Roman" w:hAnsi="Times New Roman" w:cs="Times New Roman"/>
          <w:sz w:val="24"/>
          <w:szCs w:val="24"/>
          <w:lang w:eastAsia="ru-RU"/>
        </w:rPr>
      </w:pPr>
    </w:p>
    <w:tbl>
      <w:tblPr>
        <w:tblW w:w="9371" w:type="dxa"/>
        <w:tblInd w:w="93" w:type="dxa"/>
        <w:tblLook w:val="04A0" w:firstRow="1" w:lastRow="0" w:firstColumn="1" w:lastColumn="0" w:noHBand="0" w:noVBand="1"/>
      </w:tblPr>
      <w:tblGrid>
        <w:gridCol w:w="5544"/>
        <w:gridCol w:w="992"/>
        <w:gridCol w:w="1276"/>
        <w:gridCol w:w="1559"/>
      </w:tblGrid>
      <w:tr w:rsidR="00341240" w:rsidRPr="00341240" w:rsidTr="00411971">
        <w:trPr>
          <w:trHeight w:val="420"/>
        </w:trPr>
        <w:tc>
          <w:tcPr>
            <w:tcW w:w="554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20"/>
                <w:szCs w:val="20"/>
                <w:lang w:eastAsia="ru-RU"/>
              </w:rPr>
            </w:pPr>
            <w:r w:rsidRPr="00341240">
              <w:rPr>
                <w:rFonts w:ascii="Times New Roman" w:eastAsia="Times New Roman" w:hAnsi="Times New Roman" w:cs="Times New Roman"/>
                <w:b/>
                <w:bCs/>
                <w:color w:val="000000"/>
                <w:sz w:val="20"/>
                <w:szCs w:val="20"/>
                <w:lang w:eastAsia="ru-RU"/>
              </w:rPr>
              <w:t>Показатели</w:t>
            </w:r>
          </w:p>
        </w:tc>
        <w:tc>
          <w:tcPr>
            <w:tcW w:w="992" w:type="dxa"/>
            <w:tcBorders>
              <w:top w:val="single" w:sz="8" w:space="0" w:color="auto"/>
              <w:left w:val="nil"/>
              <w:bottom w:val="single" w:sz="8" w:space="0" w:color="auto"/>
              <w:right w:val="single" w:sz="4" w:space="0" w:color="auto"/>
            </w:tcBorders>
            <w:shd w:val="clear" w:color="auto" w:fill="auto"/>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6"/>
                <w:szCs w:val="16"/>
                <w:lang w:eastAsia="ru-RU"/>
              </w:rPr>
            </w:pPr>
            <w:r w:rsidRPr="00341240">
              <w:rPr>
                <w:rFonts w:ascii="Times New Roman" w:eastAsia="Times New Roman" w:hAnsi="Times New Roman" w:cs="Times New Roman"/>
                <w:b/>
                <w:bCs/>
                <w:color w:val="000000"/>
                <w:sz w:val="16"/>
                <w:szCs w:val="16"/>
                <w:lang w:eastAsia="ru-RU"/>
              </w:rPr>
              <w:t>изменение 2015/2014</w:t>
            </w:r>
          </w:p>
        </w:tc>
        <w:tc>
          <w:tcPr>
            <w:tcW w:w="1276" w:type="dxa"/>
            <w:tcBorders>
              <w:top w:val="single" w:sz="8" w:space="0" w:color="auto"/>
              <w:left w:val="nil"/>
              <w:bottom w:val="single" w:sz="8" w:space="0" w:color="auto"/>
              <w:right w:val="single" w:sz="4" w:space="0" w:color="auto"/>
            </w:tcBorders>
            <w:shd w:val="clear" w:color="auto" w:fill="auto"/>
            <w:noWrap/>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20"/>
                <w:szCs w:val="20"/>
                <w:lang w:eastAsia="ru-RU"/>
              </w:rPr>
            </w:pPr>
            <w:r w:rsidRPr="00341240">
              <w:rPr>
                <w:rFonts w:ascii="Times New Roman" w:eastAsia="Times New Roman" w:hAnsi="Times New Roman" w:cs="Times New Roman"/>
                <w:b/>
                <w:bCs/>
                <w:color w:val="000000"/>
                <w:sz w:val="20"/>
                <w:szCs w:val="20"/>
                <w:lang w:eastAsia="ru-RU"/>
              </w:rPr>
              <w:t>2015</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20"/>
                <w:szCs w:val="20"/>
                <w:lang w:eastAsia="ru-RU"/>
              </w:rPr>
            </w:pPr>
            <w:r w:rsidRPr="00341240">
              <w:rPr>
                <w:rFonts w:ascii="Times New Roman" w:eastAsia="Times New Roman" w:hAnsi="Times New Roman" w:cs="Times New Roman"/>
                <w:b/>
                <w:bCs/>
                <w:color w:val="000000"/>
                <w:sz w:val="20"/>
                <w:szCs w:val="20"/>
                <w:lang w:eastAsia="ru-RU"/>
              </w:rPr>
              <w:t>2014</w:t>
            </w:r>
          </w:p>
        </w:tc>
      </w:tr>
      <w:tr w:rsidR="00341240" w:rsidRPr="00341240" w:rsidTr="00411971">
        <w:trPr>
          <w:trHeight w:val="264"/>
        </w:trPr>
        <w:tc>
          <w:tcPr>
            <w:tcW w:w="5544" w:type="dxa"/>
            <w:tcBorders>
              <w:top w:val="nil"/>
              <w:left w:val="single" w:sz="8" w:space="0" w:color="auto"/>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xml:space="preserve"> Процентные доходы </w:t>
            </w:r>
          </w:p>
        </w:tc>
        <w:tc>
          <w:tcPr>
            <w:tcW w:w="992" w:type="dxa"/>
            <w:tcBorders>
              <w:top w:val="nil"/>
              <w:left w:val="nil"/>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jc w:val="center"/>
              <w:rPr>
                <w:rFonts w:ascii="Times New Roman" w:eastAsia="Times New Roman" w:hAnsi="Times New Roman" w:cs="Times New Roman"/>
                <w:color w:val="000000"/>
                <w:sz w:val="16"/>
                <w:szCs w:val="16"/>
                <w:lang w:eastAsia="ru-RU"/>
              </w:rPr>
            </w:pPr>
            <w:r w:rsidRPr="00341240">
              <w:rPr>
                <w:rFonts w:ascii="Times New Roman" w:eastAsia="Times New Roman" w:hAnsi="Times New Roman" w:cs="Times New Roman"/>
                <w:color w:val="000000"/>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59 095 188</w:t>
            </w:r>
          </w:p>
        </w:tc>
        <w:tc>
          <w:tcPr>
            <w:tcW w:w="1559" w:type="dxa"/>
            <w:tcBorders>
              <w:top w:val="nil"/>
              <w:left w:val="nil"/>
              <w:bottom w:val="single" w:sz="4" w:space="0" w:color="auto"/>
              <w:right w:val="single" w:sz="8"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20 758 102</w:t>
            </w:r>
          </w:p>
        </w:tc>
      </w:tr>
      <w:tr w:rsidR="00341240" w:rsidRPr="00341240" w:rsidTr="00411971">
        <w:trPr>
          <w:trHeight w:val="264"/>
        </w:trPr>
        <w:tc>
          <w:tcPr>
            <w:tcW w:w="5544" w:type="dxa"/>
            <w:tcBorders>
              <w:top w:val="nil"/>
              <w:left w:val="single" w:sz="8" w:space="0" w:color="auto"/>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xml:space="preserve"> Процентные расходы</w:t>
            </w:r>
          </w:p>
        </w:tc>
        <w:tc>
          <w:tcPr>
            <w:tcW w:w="992" w:type="dxa"/>
            <w:tcBorders>
              <w:top w:val="nil"/>
              <w:left w:val="nil"/>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6"/>
                <w:szCs w:val="16"/>
                <w:lang w:eastAsia="ru-RU"/>
              </w:rPr>
            </w:pPr>
            <w:r w:rsidRPr="00341240">
              <w:rPr>
                <w:rFonts w:ascii="Times New Roman" w:eastAsia="Times New Roman" w:hAnsi="Times New Roman" w:cs="Times New Roman"/>
                <w:b/>
                <w:bCs/>
                <w:color w:val="000000"/>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35 963 012</w:t>
            </w:r>
          </w:p>
        </w:tc>
        <w:tc>
          <w:tcPr>
            <w:tcW w:w="1559" w:type="dxa"/>
            <w:tcBorders>
              <w:top w:val="nil"/>
              <w:left w:val="nil"/>
              <w:bottom w:val="single" w:sz="4" w:space="0" w:color="auto"/>
              <w:right w:val="single" w:sz="8"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9 837 677</w:t>
            </w:r>
          </w:p>
        </w:tc>
      </w:tr>
      <w:tr w:rsidR="00341240" w:rsidRPr="00341240" w:rsidTr="00411971">
        <w:trPr>
          <w:trHeight w:val="264"/>
        </w:trPr>
        <w:tc>
          <w:tcPr>
            <w:tcW w:w="5544" w:type="dxa"/>
            <w:tcBorders>
              <w:top w:val="nil"/>
              <w:left w:val="single" w:sz="8" w:space="0" w:color="auto"/>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rPr>
                <w:rFonts w:ascii="Times New Roman" w:eastAsia="Times New Roman" w:hAnsi="Times New Roman" w:cs="Times New Roman"/>
                <w:b/>
                <w:bCs/>
                <w:color w:val="000000"/>
                <w:sz w:val="20"/>
                <w:szCs w:val="20"/>
                <w:lang w:eastAsia="ru-RU"/>
              </w:rPr>
            </w:pPr>
            <w:r w:rsidRPr="00341240">
              <w:rPr>
                <w:rFonts w:ascii="Times New Roman" w:eastAsia="Times New Roman" w:hAnsi="Times New Roman" w:cs="Times New Roman"/>
                <w:b/>
                <w:bCs/>
                <w:color w:val="000000"/>
                <w:sz w:val="20"/>
                <w:szCs w:val="20"/>
                <w:lang w:eastAsia="ru-RU"/>
              </w:rPr>
              <w:t xml:space="preserve"> Чистые процентные доходы  </w:t>
            </w:r>
          </w:p>
        </w:tc>
        <w:tc>
          <w:tcPr>
            <w:tcW w:w="992" w:type="dxa"/>
            <w:tcBorders>
              <w:top w:val="nil"/>
              <w:left w:val="nil"/>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6"/>
                <w:szCs w:val="16"/>
                <w:lang w:eastAsia="ru-RU"/>
              </w:rPr>
            </w:pPr>
            <w:r w:rsidRPr="00341240">
              <w:rPr>
                <w:rFonts w:ascii="Times New Roman" w:eastAsia="Times New Roman" w:hAnsi="Times New Roman" w:cs="Times New Roman"/>
                <w:b/>
                <w:bCs/>
                <w:color w:val="000000"/>
                <w:sz w:val="16"/>
                <w:szCs w:val="16"/>
                <w:lang w:eastAsia="ru-RU"/>
              </w:rPr>
              <w:t>212 %</w:t>
            </w:r>
          </w:p>
        </w:tc>
        <w:tc>
          <w:tcPr>
            <w:tcW w:w="1276" w:type="dxa"/>
            <w:tcBorders>
              <w:top w:val="nil"/>
              <w:left w:val="nil"/>
              <w:bottom w:val="single" w:sz="4" w:space="0" w:color="auto"/>
              <w:right w:val="single" w:sz="4"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b/>
                <w:bCs/>
                <w:color w:val="000000"/>
                <w:sz w:val="20"/>
                <w:szCs w:val="20"/>
                <w:lang w:eastAsia="ru-RU"/>
              </w:rPr>
            </w:pPr>
            <w:r w:rsidRPr="00341240">
              <w:rPr>
                <w:rFonts w:ascii="Times New Roman" w:eastAsia="Times New Roman" w:hAnsi="Times New Roman" w:cs="Times New Roman"/>
                <w:b/>
                <w:bCs/>
                <w:color w:val="000000"/>
                <w:sz w:val="20"/>
                <w:szCs w:val="20"/>
                <w:lang w:eastAsia="ru-RU"/>
              </w:rPr>
              <w:t>23 132 176</w:t>
            </w:r>
          </w:p>
        </w:tc>
        <w:tc>
          <w:tcPr>
            <w:tcW w:w="1559" w:type="dxa"/>
            <w:tcBorders>
              <w:top w:val="nil"/>
              <w:left w:val="nil"/>
              <w:bottom w:val="single" w:sz="4" w:space="0" w:color="auto"/>
              <w:right w:val="single" w:sz="8"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b/>
                <w:bCs/>
                <w:color w:val="000000"/>
                <w:sz w:val="20"/>
                <w:szCs w:val="20"/>
                <w:lang w:eastAsia="ru-RU"/>
              </w:rPr>
            </w:pPr>
            <w:r w:rsidRPr="00341240">
              <w:rPr>
                <w:rFonts w:ascii="Times New Roman" w:eastAsia="Times New Roman" w:hAnsi="Times New Roman" w:cs="Times New Roman"/>
                <w:b/>
                <w:bCs/>
                <w:color w:val="000000"/>
                <w:sz w:val="20"/>
                <w:szCs w:val="20"/>
                <w:lang w:eastAsia="ru-RU"/>
              </w:rPr>
              <w:t>10 920 425</w:t>
            </w:r>
          </w:p>
        </w:tc>
      </w:tr>
      <w:tr w:rsidR="00341240" w:rsidRPr="00341240" w:rsidTr="00411971">
        <w:trPr>
          <w:trHeight w:val="528"/>
        </w:trPr>
        <w:tc>
          <w:tcPr>
            <w:tcW w:w="5544" w:type="dxa"/>
            <w:tcBorders>
              <w:top w:val="nil"/>
              <w:left w:val="single" w:sz="8" w:space="0" w:color="auto"/>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xml:space="preserve"> Изменение резерва на возможные потери по ссудам, по ссудной и приравненной к ней задолженности</w:t>
            </w:r>
          </w:p>
        </w:tc>
        <w:tc>
          <w:tcPr>
            <w:tcW w:w="992" w:type="dxa"/>
            <w:tcBorders>
              <w:top w:val="nil"/>
              <w:left w:val="nil"/>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6"/>
                <w:szCs w:val="16"/>
                <w:lang w:eastAsia="ru-RU"/>
              </w:rPr>
            </w:pPr>
            <w:r w:rsidRPr="00341240">
              <w:rPr>
                <w:rFonts w:ascii="Times New Roman" w:eastAsia="Times New Roman" w:hAnsi="Times New Roman" w:cs="Times New Roman"/>
                <w:b/>
                <w:bCs/>
                <w:color w:val="000000"/>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val="en-US" w:eastAsia="ru-RU"/>
              </w:rPr>
              <w:t xml:space="preserve">102 550                </w:t>
            </w:r>
          </w:p>
        </w:tc>
        <w:tc>
          <w:tcPr>
            <w:tcW w:w="1559" w:type="dxa"/>
            <w:tcBorders>
              <w:top w:val="nil"/>
              <w:left w:val="nil"/>
              <w:bottom w:val="single" w:sz="4" w:space="0" w:color="auto"/>
              <w:right w:val="single" w:sz="8"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-100 161</w:t>
            </w:r>
          </w:p>
        </w:tc>
      </w:tr>
      <w:tr w:rsidR="00341240" w:rsidRPr="00341240" w:rsidTr="00411971">
        <w:trPr>
          <w:trHeight w:val="264"/>
        </w:trPr>
        <w:tc>
          <w:tcPr>
            <w:tcW w:w="5544" w:type="dxa"/>
            <w:vMerge w:val="restart"/>
            <w:tcBorders>
              <w:top w:val="nil"/>
              <w:left w:val="single" w:sz="8" w:space="0" w:color="auto"/>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rPr>
                <w:rFonts w:ascii="Times New Roman" w:eastAsia="Times New Roman" w:hAnsi="Times New Roman" w:cs="Times New Roman"/>
                <w:b/>
                <w:bCs/>
                <w:color w:val="000000"/>
                <w:sz w:val="20"/>
                <w:szCs w:val="20"/>
                <w:lang w:eastAsia="ru-RU"/>
              </w:rPr>
            </w:pPr>
            <w:r w:rsidRPr="00341240">
              <w:rPr>
                <w:rFonts w:ascii="Times New Roman" w:eastAsia="Times New Roman" w:hAnsi="Times New Roman" w:cs="Times New Roman"/>
                <w:b/>
                <w:bCs/>
                <w:color w:val="000000"/>
                <w:sz w:val="20"/>
                <w:szCs w:val="20"/>
                <w:lang w:eastAsia="ru-RU"/>
              </w:rPr>
              <w:t xml:space="preserve"> Чистые процентные доходы после создания резерва на возможные потери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6"/>
                <w:szCs w:val="16"/>
                <w:lang w:eastAsia="ru-RU"/>
              </w:rPr>
            </w:pPr>
            <w:r w:rsidRPr="00341240">
              <w:rPr>
                <w:rFonts w:ascii="Times New Roman" w:eastAsia="Times New Roman" w:hAnsi="Times New Roman" w:cs="Times New Roman"/>
                <w:b/>
                <w:bCs/>
                <w:color w:val="000000"/>
                <w:sz w:val="16"/>
                <w:szCs w:val="16"/>
                <w:lang w:eastAsia="ru-RU"/>
              </w:rPr>
              <w:t>215 %</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b/>
                <w:bCs/>
                <w:color w:val="000000"/>
                <w:sz w:val="20"/>
                <w:szCs w:val="20"/>
                <w:lang w:eastAsia="ru-RU"/>
              </w:rPr>
            </w:pPr>
            <w:r w:rsidRPr="00341240">
              <w:rPr>
                <w:rFonts w:ascii="Times New Roman" w:eastAsia="Times New Roman" w:hAnsi="Times New Roman" w:cs="Times New Roman"/>
                <w:b/>
                <w:bCs/>
                <w:color w:val="000000"/>
                <w:sz w:val="20"/>
                <w:szCs w:val="20"/>
                <w:lang w:eastAsia="ru-RU"/>
              </w:rPr>
              <w:t>23 234 726</w:t>
            </w:r>
          </w:p>
        </w:tc>
        <w:tc>
          <w:tcPr>
            <w:tcW w:w="1559"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b/>
                <w:bCs/>
                <w:color w:val="000000"/>
                <w:sz w:val="20"/>
                <w:szCs w:val="20"/>
                <w:lang w:eastAsia="ru-RU"/>
              </w:rPr>
            </w:pPr>
            <w:r w:rsidRPr="00341240">
              <w:rPr>
                <w:rFonts w:ascii="Times New Roman" w:eastAsia="Times New Roman" w:hAnsi="Times New Roman" w:cs="Times New Roman"/>
                <w:b/>
                <w:bCs/>
                <w:color w:val="000000"/>
                <w:sz w:val="20"/>
                <w:szCs w:val="20"/>
                <w:lang w:eastAsia="ru-RU"/>
              </w:rPr>
              <w:t>10 820 264</w:t>
            </w:r>
          </w:p>
        </w:tc>
      </w:tr>
      <w:tr w:rsidR="00341240" w:rsidRPr="00341240" w:rsidTr="00411971">
        <w:trPr>
          <w:trHeight w:val="264"/>
        </w:trPr>
        <w:tc>
          <w:tcPr>
            <w:tcW w:w="5544" w:type="dxa"/>
            <w:vMerge/>
            <w:tcBorders>
              <w:top w:val="nil"/>
              <w:left w:val="single" w:sz="8" w:space="0" w:color="auto"/>
              <w:bottom w:val="single" w:sz="4" w:space="0" w:color="auto"/>
              <w:right w:val="single" w:sz="4" w:space="0" w:color="auto"/>
            </w:tcBorders>
            <w:vAlign w:val="center"/>
            <w:hideMark/>
          </w:tcPr>
          <w:p w:rsidR="00341240" w:rsidRPr="00341240" w:rsidRDefault="00341240" w:rsidP="00341240">
            <w:pPr>
              <w:spacing w:after="0" w:line="240" w:lineRule="auto"/>
              <w:rPr>
                <w:rFonts w:ascii="Times New Roman" w:eastAsia="Times New Roman" w:hAnsi="Times New Roman" w:cs="Times New Roman"/>
                <w:b/>
                <w:bCs/>
                <w:color w:val="000000"/>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341240" w:rsidRPr="00341240" w:rsidRDefault="00341240" w:rsidP="00341240">
            <w:pPr>
              <w:spacing w:after="0" w:line="240" w:lineRule="auto"/>
              <w:rPr>
                <w:rFonts w:ascii="Times New Roman" w:eastAsia="Times New Roman" w:hAnsi="Times New Roman" w:cs="Times New Roman"/>
                <w:b/>
                <w:bCs/>
                <w:color w:val="000000"/>
                <w:sz w:val="16"/>
                <w:szCs w:val="16"/>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341240" w:rsidRPr="00341240" w:rsidRDefault="00341240" w:rsidP="00341240">
            <w:pPr>
              <w:spacing w:after="0" w:line="240" w:lineRule="auto"/>
              <w:jc w:val="right"/>
              <w:rPr>
                <w:rFonts w:ascii="Times New Roman" w:eastAsia="Times New Roman" w:hAnsi="Times New Roman" w:cs="Times New Roman"/>
                <w:b/>
                <w:bCs/>
                <w:color w:val="000000"/>
                <w:sz w:val="20"/>
                <w:szCs w:val="20"/>
                <w:lang w:eastAsia="ru-RU"/>
              </w:rPr>
            </w:pPr>
          </w:p>
        </w:tc>
        <w:tc>
          <w:tcPr>
            <w:tcW w:w="1559" w:type="dxa"/>
            <w:vMerge/>
            <w:tcBorders>
              <w:top w:val="nil"/>
              <w:left w:val="single" w:sz="4" w:space="0" w:color="auto"/>
              <w:bottom w:val="single" w:sz="4" w:space="0" w:color="auto"/>
              <w:right w:val="single" w:sz="8" w:space="0" w:color="auto"/>
            </w:tcBorders>
            <w:vAlign w:val="center"/>
            <w:hideMark/>
          </w:tcPr>
          <w:p w:rsidR="00341240" w:rsidRPr="00341240" w:rsidRDefault="00341240" w:rsidP="00341240">
            <w:pPr>
              <w:spacing w:after="0" w:line="240" w:lineRule="auto"/>
              <w:jc w:val="right"/>
              <w:rPr>
                <w:rFonts w:ascii="Times New Roman" w:eastAsia="Times New Roman" w:hAnsi="Times New Roman" w:cs="Times New Roman"/>
                <w:b/>
                <w:bCs/>
                <w:color w:val="000000"/>
                <w:sz w:val="20"/>
                <w:szCs w:val="20"/>
                <w:lang w:eastAsia="ru-RU"/>
              </w:rPr>
            </w:pPr>
          </w:p>
        </w:tc>
      </w:tr>
      <w:tr w:rsidR="00341240" w:rsidRPr="00341240" w:rsidTr="00411971">
        <w:trPr>
          <w:trHeight w:val="230"/>
        </w:trPr>
        <w:tc>
          <w:tcPr>
            <w:tcW w:w="5544" w:type="dxa"/>
            <w:vMerge/>
            <w:tcBorders>
              <w:top w:val="nil"/>
              <w:left w:val="single" w:sz="8" w:space="0" w:color="auto"/>
              <w:bottom w:val="single" w:sz="4" w:space="0" w:color="auto"/>
              <w:right w:val="single" w:sz="4" w:space="0" w:color="auto"/>
            </w:tcBorders>
            <w:vAlign w:val="center"/>
            <w:hideMark/>
          </w:tcPr>
          <w:p w:rsidR="00341240" w:rsidRPr="00341240" w:rsidRDefault="00341240" w:rsidP="00341240">
            <w:pPr>
              <w:spacing w:after="0" w:line="240" w:lineRule="auto"/>
              <w:rPr>
                <w:rFonts w:ascii="Times New Roman" w:eastAsia="Times New Roman" w:hAnsi="Times New Roman" w:cs="Times New Roman"/>
                <w:b/>
                <w:bCs/>
                <w:color w:val="000000"/>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341240" w:rsidRPr="00341240" w:rsidRDefault="00341240" w:rsidP="00341240">
            <w:pPr>
              <w:spacing w:after="0" w:line="240" w:lineRule="auto"/>
              <w:rPr>
                <w:rFonts w:ascii="Times New Roman" w:eastAsia="Times New Roman" w:hAnsi="Times New Roman" w:cs="Times New Roman"/>
                <w:b/>
                <w:bCs/>
                <w:color w:val="000000"/>
                <w:sz w:val="16"/>
                <w:szCs w:val="16"/>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341240" w:rsidRPr="00341240" w:rsidRDefault="00341240" w:rsidP="00341240">
            <w:pPr>
              <w:spacing w:after="0" w:line="240" w:lineRule="auto"/>
              <w:jc w:val="right"/>
              <w:rPr>
                <w:rFonts w:ascii="Times New Roman" w:eastAsia="Times New Roman" w:hAnsi="Times New Roman" w:cs="Times New Roman"/>
                <w:b/>
                <w:bCs/>
                <w:color w:val="000000"/>
                <w:sz w:val="20"/>
                <w:szCs w:val="20"/>
                <w:lang w:eastAsia="ru-RU"/>
              </w:rPr>
            </w:pPr>
          </w:p>
        </w:tc>
        <w:tc>
          <w:tcPr>
            <w:tcW w:w="1559" w:type="dxa"/>
            <w:vMerge/>
            <w:tcBorders>
              <w:top w:val="nil"/>
              <w:left w:val="single" w:sz="4" w:space="0" w:color="auto"/>
              <w:bottom w:val="single" w:sz="4" w:space="0" w:color="auto"/>
              <w:right w:val="single" w:sz="8" w:space="0" w:color="auto"/>
            </w:tcBorders>
            <w:vAlign w:val="center"/>
            <w:hideMark/>
          </w:tcPr>
          <w:p w:rsidR="00341240" w:rsidRPr="00341240" w:rsidRDefault="00341240" w:rsidP="00341240">
            <w:pPr>
              <w:spacing w:after="0" w:line="240" w:lineRule="auto"/>
              <w:jc w:val="right"/>
              <w:rPr>
                <w:rFonts w:ascii="Times New Roman" w:eastAsia="Times New Roman" w:hAnsi="Times New Roman" w:cs="Times New Roman"/>
                <w:b/>
                <w:bCs/>
                <w:color w:val="000000"/>
                <w:sz w:val="20"/>
                <w:szCs w:val="20"/>
                <w:lang w:eastAsia="ru-RU"/>
              </w:rPr>
            </w:pPr>
          </w:p>
        </w:tc>
      </w:tr>
      <w:tr w:rsidR="00341240" w:rsidRPr="00341240" w:rsidTr="00411971">
        <w:trPr>
          <w:trHeight w:val="528"/>
        </w:trPr>
        <w:tc>
          <w:tcPr>
            <w:tcW w:w="5544" w:type="dxa"/>
            <w:tcBorders>
              <w:top w:val="nil"/>
              <w:left w:val="single" w:sz="8" w:space="0" w:color="auto"/>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Комиссионные доходы (в т. ч. за клиринговое обслуживание)</w:t>
            </w:r>
          </w:p>
        </w:tc>
        <w:tc>
          <w:tcPr>
            <w:tcW w:w="992" w:type="dxa"/>
            <w:tcBorders>
              <w:top w:val="nil"/>
              <w:left w:val="nil"/>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6"/>
                <w:szCs w:val="16"/>
                <w:lang w:eastAsia="ru-RU"/>
              </w:rPr>
            </w:pPr>
            <w:r w:rsidRPr="00341240">
              <w:rPr>
                <w:rFonts w:ascii="Times New Roman" w:eastAsia="Times New Roman" w:hAnsi="Times New Roman" w:cs="Times New Roman"/>
                <w:b/>
                <w:bCs/>
                <w:color w:val="000000"/>
                <w:sz w:val="16"/>
                <w:szCs w:val="16"/>
                <w:lang w:eastAsia="ru-RU"/>
              </w:rPr>
              <w:t>129 %</w:t>
            </w:r>
          </w:p>
        </w:tc>
        <w:tc>
          <w:tcPr>
            <w:tcW w:w="1276" w:type="dxa"/>
            <w:tcBorders>
              <w:top w:val="nil"/>
              <w:left w:val="nil"/>
              <w:bottom w:val="single" w:sz="4" w:space="0" w:color="auto"/>
              <w:right w:val="single" w:sz="4"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5 900 548</w:t>
            </w:r>
          </w:p>
        </w:tc>
        <w:tc>
          <w:tcPr>
            <w:tcW w:w="1559" w:type="dxa"/>
            <w:tcBorders>
              <w:top w:val="nil"/>
              <w:left w:val="nil"/>
              <w:bottom w:val="single" w:sz="4" w:space="0" w:color="auto"/>
              <w:right w:val="single" w:sz="8"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4 575 888</w:t>
            </w:r>
          </w:p>
        </w:tc>
      </w:tr>
      <w:tr w:rsidR="00341240" w:rsidRPr="00341240" w:rsidTr="00411971">
        <w:trPr>
          <w:trHeight w:val="264"/>
        </w:trPr>
        <w:tc>
          <w:tcPr>
            <w:tcW w:w="5544" w:type="dxa"/>
            <w:tcBorders>
              <w:top w:val="nil"/>
              <w:left w:val="single" w:sz="8" w:space="0" w:color="auto"/>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Комиссионные расходы</w:t>
            </w:r>
          </w:p>
        </w:tc>
        <w:tc>
          <w:tcPr>
            <w:tcW w:w="992" w:type="dxa"/>
            <w:tcBorders>
              <w:top w:val="nil"/>
              <w:left w:val="nil"/>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6"/>
                <w:szCs w:val="16"/>
                <w:highlight w:val="yellow"/>
                <w:lang w:eastAsia="ru-RU"/>
              </w:rPr>
            </w:pPr>
            <w:r w:rsidRPr="00341240">
              <w:rPr>
                <w:rFonts w:ascii="Times New Roman" w:eastAsia="Times New Roman" w:hAnsi="Times New Roman" w:cs="Times New Roman"/>
                <w:b/>
                <w:bCs/>
                <w:color w:val="000000"/>
                <w:sz w:val="16"/>
                <w:szCs w:val="16"/>
                <w:lang w:eastAsia="ru-RU"/>
              </w:rPr>
              <w:t>125 %</w:t>
            </w:r>
          </w:p>
        </w:tc>
        <w:tc>
          <w:tcPr>
            <w:tcW w:w="1276" w:type="dxa"/>
            <w:tcBorders>
              <w:top w:val="nil"/>
              <w:left w:val="nil"/>
              <w:bottom w:val="single" w:sz="4" w:space="0" w:color="auto"/>
              <w:right w:val="single" w:sz="4"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105 524</w:t>
            </w:r>
          </w:p>
        </w:tc>
        <w:tc>
          <w:tcPr>
            <w:tcW w:w="1559" w:type="dxa"/>
            <w:tcBorders>
              <w:top w:val="nil"/>
              <w:left w:val="nil"/>
              <w:bottom w:val="single" w:sz="4" w:space="0" w:color="auto"/>
              <w:right w:val="single" w:sz="8"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84 248</w:t>
            </w:r>
          </w:p>
        </w:tc>
      </w:tr>
      <w:tr w:rsidR="00341240" w:rsidRPr="00341240" w:rsidTr="00411971">
        <w:trPr>
          <w:trHeight w:val="792"/>
        </w:trPr>
        <w:tc>
          <w:tcPr>
            <w:tcW w:w="5544" w:type="dxa"/>
            <w:tcBorders>
              <w:top w:val="nil"/>
              <w:left w:val="single" w:sz="8" w:space="0" w:color="auto"/>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xml:space="preserve">Чистые доходы от операций с финансовыми  активами, оцениваемыми по справедливой стоимости через прибыль или убыток </w:t>
            </w:r>
          </w:p>
        </w:tc>
        <w:tc>
          <w:tcPr>
            <w:tcW w:w="992" w:type="dxa"/>
            <w:tcBorders>
              <w:top w:val="nil"/>
              <w:left w:val="nil"/>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6"/>
                <w:szCs w:val="16"/>
                <w:highlight w:val="yellow"/>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151 923</w:t>
            </w:r>
          </w:p>
        </w:tc>
        <w:tc>
          <w:tcPr>
            <w:tcW w:w="1559" w:type="dxa"/>
            <w:tcBorders>
              <w:top w:val="nil"/>
              <w:left w:val="nil"/>
              <w:bottom w:val="single" w:sz="4" w:space="0" w:color="auto"/>
              <w:right w:val="single" w:sz="8"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923 191</w:t>
            </w:r>
          </w:p>
        </w:tc>
      </w:tr>
      <w:tr w:rsidR="00341240" w:rsidRPr="00341240" w:rsidTr="00411971">
        <w:trPr>
          <w:trHeight w:val="528"/>
        </w:trPr>
        <w:tc>
          <w:tcPr>
            <w:tcW w:w="5544" w:type="dxa"/>
            <w:tcBorders>
              <w:top w:val="nil"/>
              <w:left w:val="single" w:sz="8" w:space="0" w:color="auto"/>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Чистые доходы от операций с ценными бумагами, удерживаемыми до погашения</w:t>
            </w:r>
          </w:p>
        </w:tc>
        <w:tc>
          <w:tcPr>
            <w:tcW w:w="992" w:type="dxa"/>
            <w:tcBorders>
              <w:top w:val="nil"/>
              <w:left w:val="nil"/>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6"/>
                <w:szCs w:val="16"/>
                <w:lang w:eastAsia="ru-RU"/>
              </w:rPr>
            </w:pPr>
            <w:r w:rsidRPr="00341240">
              <w:rPr>
                <w:rFonts w:ascii="Times New Roman" w:eastAsia="Times New Roman" w:hAnsi="Times New Roman" w:cs="Times New Roman"/>
                <w:b/>
                <w:bCs/>
                <w:color w:val="000000"/>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0</w:t>
            </w:r>
          </w:p>
        </w:tc>
        <w:tc>
          <w:tcPr>
            <w:tcW w:w="1559" w:type="dxa"/>
            <w:tcBorders>
              <w:top w:val="nil"/>
              <w:left w:val="nil"/>
              <w:bottom w:val="single" w:sz="4" w:space="0" w:color="auto"/>
              <w:right w:val="single" w:sz="8"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0</w:t>
            </w:r>
          </w:p>
        </w:tc>
      </w:tr>
      <w:tr w:rsidR="00341240" w:rsidRPr="00341240" w:rsidTr="00411971">
        <w:trPr>
          <w:trHeight w:val="528"/>
        </w:trPr>
        <w:tc>
          <w:tcPr>
            <w:tcW w:w="5544" w:type="dxa"/>
            <w:tcBorders>
              <w:top w:val="nil"/>
              <w:left w:val="single" w:sz="8" w:space="0" w:color="auto"/>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Чистые доходы от операций с ценными бумагами, имеющимися в наличии для продажи</w:t>
            </w:r>
          </w:p>
        </w:tc>
        <w:tc>
          <w:tcPr>
            <w:tcW w:w="992" w:type="dxa"/>
            <w:tcBorders>
              <w:top w:val="nil"/>
              <w:left w:val="nil"/>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6"/>
                <w:szCs w:val="16"/>
                <w:lang w:eastAsia="ru-RU"/>
              </w:rPr>
            </w:pPr>
            <w:r w:rsidRPr="00341240">
              <w:rPr>
                <w:rFonts w:ascii="Times New Roman" w:eastAsia="Times New Roman" w:hAnsi="Times New Roman" w:cs="Times New Roman"/>
                <w:b/>
                <w:bCs/>
                <w:color w:val="000000"/>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-130 049</w:t>
            </w:r>
          </w:p>
        </w:tc>
        <w:tc>
          <w:tcPr>
            <w:tcW w:w="1559" w:type="dxa"/>
            <w:tcBorders>
              <w:top w:val="nil"/>
              <w:left w:val="nil"/>
              <w:bottom w:val="single" w:sz="4" w:space="0" w:color="auto"/>
              <w:right w:val="single" w:sz="8"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- 1 403 198</w:t>
            </w:r>
          </w:p>
        </w:tc>
      </w:tr>
      <w:tr w:rsidR="00341240" w:rsidRPr="00341240" w:rsidTr="00411971">
        <w:trPr>
          <w:trHeight w:val="264"/>
        </w:trPr>
        <w:tc>
          <w:tcPr>
            <w:tcW w:w="554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xml:space="preserve">Чистые доходы от операций с иностранной валютой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6"/>
                <w:szCs w:val="16"/>
                <w:lang w:eastAsia="ru-RU"/>
              </w:rPr>
            </w:pPr>
            <w:r w:rsidRPr="00341240">
              <w:rPr>
                <w:rFonts w:ascii="Times New Roman" w:eastAsia="Times New Roman" w:hAnsi="Times New Roman" w:cs="Times New Roman"/>
                <w:b/>
                <w:bCs/>
                <w:color w:val="000000"/>
                <w:sz w:val="16"/>
                <w:szCs w:val="16"/>
                <w:lang w:eastAsia="ru-RU"/>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1 449 616</w:t>
            </w:r>
          </w:p>
        </w:tc>
        <w:tc>
          <w:tcPr>
            <w:tcW w:w="1559" w:type="dxa"/>
            <w:tcBorders>
              <w:top w:val="single" w:sz="4" w:space="0" w:color="auto"/>
              <w:left w:val="nil"/>
              <w:bottom w:val="single" w:sz="4" w:space="0" w:color="auto"/>
              <w:right w:val="single" w:sz="8"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5 875 263</w:t>
            </w:r>
          </w:p>
        </w:tc>
      </w:tr>
      <w:tr w:rsidR="00341240" w:rsidRPr="00341240" w:rsidTr="00411971">
        <w:trPr>
          <w:trHeight w:val="264"/>
        </w:trPr>
        <w:tc>
          <w:tcPr>
            <w:tcW w:w="5544" w:type="dxa"/>
            <w:tcBorders>
              <w:top w:val="nil"/>
              <w:left w:val="single" w:sz="8" w:space="0" w:color="auto"/>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xml:space="preserve">Чистые доходы от переоценки иностранной валюты </w:t>
            </w:r>
          </w:p>
        </w:tc>
        <w:tc>
          <w:tcPr>
            <w:tcW w:w="992" w:type="dxa"/>
            <w:tcBorders>
              <w:top w:val="nil"/>
              <w:left w:val="nil"/>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6"/>
                <w:szCs w:val="16"/>
                <w:lang w:eastAsia="ru-RU"/>
              </w:rPr>
            </w:pPr>
            <w:r w:rsidRPr="00341240">
              <w:rPr>
                <w:rFonts w:ascii="Times New Roman" w:eastAsia="Times New Roman" w:hAnsi="Times New Roman" w:cs="Times New Roman"/>
                <w:b/>
                <w:bCs/>
                <w:color w:val="000000"/>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-1 277 140</w:t>
            </w:r>
          </w:p>
        </w:tc>
        <w:tc>
          <w:tcPr>
            <w:tcW w:w="1559" w:type="dxa"/>
            <w:tcBorders>
              <w:top w:val="nil"/>
              <w:left w:val="nil"/>
              <w:bottom w:val="single" w:sz="4" w:space="0" w:color="auto"/>
              <w:right w:val="single" w:sz="8"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-6 125 614</w:t>
            </w:r>
          </w:p>
        </w:tc>
      </w:tr>
      <w:tr w:rsidR="00341240" w:rsidRPr="00341240" w:rsidTr="00411971">
        <w:trPr>
          <w:trHeight w:val="528"/>
        </w:trPr>
        <w:tc>
          <w:tcPr>
            <w:tcW w:w="5544" w:type="dxa"/>
            <w:tcBorders>
              <w:top w:val="nil"/>
              <w:left w:val="single" w:sz="8" w:space="0" w:color="auto"/>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Изменение резерва на возможные потери по ценным бумагам, удерживаемые до погашения</w:t>
            </w:r>
          </w:p>
        </w:tc>
        <w:tc>
          <w:tcPr>
            <w:tcW w:w="992" w:type="dxa"/>
            <w:tcBorders>
              <w:top w:val="nil"/>
              <w:left w:val="nil"/>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6"/>
                <w:szCs w:val="16"/>
                <w:lang w:eastAsia="ru-RU"/>
              </w:rPr>
            </w:pPr>
            <w:r w:rsidRPr="00341240">
              <w:rPr>
                <w:rFonts w:ascii="Times New Roman" w:eastAsia="Times New Roman" w:hAnsi="Times New Roman" w:cs="Times New Roman"/>
                <w:b/>
                <w:bCs/>
                <w:color w:val="000000"/>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0</w:t>
            </w:r>
          </w:p>
        </w:tc>
        <w:tc>
          <w:tcPr>
            <w:tcW w:w="1559" w:type="dxa"/>
            <w:tcBorders>
              <w:top w:val="nil"/>
              <w:left w:val="nil"/>
              <w:bottom w:val="single" w:sz="4" w:space="0" w:color="auto"/>
              <w:right w:val="single" w:sz="8"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0</w:t>
            </w:r>
          </w:p>
        </w:tc>
      </w:tr>
      <w:tr w:rsidR="00341240" w:rsidRPr="00341240" w:rsidTr="00411971">
        <w:trPr>
          <w:trHeight w:val="264"/>
        </w:trPr>
        <w:tc>
          <w:tcPr>
            <w:tcW w:w="5544" w:type="dxa"/>
            <w:tcBorders>
              <w:top w:val="nil"/>
              <w:left w:val="single" w:sz="8" w:space="0" w:color="auto"/>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Резервы под обесценение прочих активов</w:t>
            </w:r>
          </w:p>
        </w:tc>
        <w:tc>
          <w:tcPr>
            <w:tcW w:w="992" w:type="dxa"/>
            <w:tcBorders>
              <w:top w:val="nil"/>
              <w:left w:val="nil"/>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6"/>
                <w:szCs w:val="16"/>
                <w:lang w:eastAsia="ru-RU"/>
              </w:rPr>
            </w:pPr>
            <w:r w:rsidRPr="00341240">
              <w:rPr>
                <w:rFonts w:ascii="Times New Roman" w:eastAsia="Times New Roman" w:hAnsi="Times New Roman" w:cs="Times New Roman"/>
                <w:b/>
                <w:bCs/>
                <w:color w:val="000000"/>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41 794</w:t>
            </w:r>
          </w:p>
        </w:tc>
        <w:tc>
          <w:tcPr>
            <w:tcW w:w="1559" w:type="dxa"/>
            <w:tcBorders>
              <w:top w:val="nil"/>
              <w:left w:val="nil"/>
              <w:bottom w:val="single" w:sz="4" w:space="0" w:color="auto"/>
              <w:right w:val="single" w:sz="8"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-40 840</w:t>
            </w:r>
          </w:p>
        </w:tc>
      </w:tr>
      <w:tr w:rsidR="00341240" w:rsidRPr="00341240" w:rsidTr="00411971">
        <w:trPr>
          <w:trHeight w:val="264"/>
        </w:trPr>
        <w:tc>
          <w:tcPr>
            <w:tcW w:w="5544" w:type="dxa"/>
            <w:tcBorders>
              <w:top w:val="nil"/>
              <w:left w:val="single" w:sz="8" w:space="0" w:color="auto"/>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xml:space="preserve">Прочие операционные доходы </w:t>
            </w:r>
          </w:p>
        </w:tc>
        <w:tc>
          <w:tcPr>
            <w:tcW w:w="992" w:type="dxa"/>
            <w:tcBorders>
              <w:top w:val="nil"/>
              <w:left w:val="nil"/>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6"/>
                <w:szCs w:val="16"/>
                <w:lang w:eastAsia="ru-RU"/>
              </w:rPr>
            </w:pPr>
            <w:r w:rsidRPr="00341240">
              <w:rPr>
                <w:rFonts w:ascii="Times New Roman" w:eastAsia="Times New Roman" w:hAnsi="Times New Roman" w:cs="Times New Roman"/>
                <w:b/>
                <w:bCs/>
                <w:color w:val="000000"/>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5 052</w:t>
            </w:r>
          </w:p>
        </w:tc>
        <w:tc>
          <w:tcPr>
            <w:tcW w:w="1559" w:type="dxa"/>
            <w:tcBorders>
              <w:top w:val="nil"/>
              <w:left w:val="nil"/>
              <w:bottom w:val="single" w:sz="4" w:space="0" w:color="auto"/>
              <w:right w:val="single" w:sz="8"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63 527</w:t>
            </w:r>
          </w:p>
        </w:tc>
      </w:tr>
      <w:tr w:rsidR="00341240" w:rsidRPr="00341240" w:rsidTr="00411971">
        <w:trPr>
          <w:trHeight w:val="264"/>
        </w:trPr>
        <w:tc>
          <w:tcPr>
            <w:tcW w:w="5544" w:type="dxa"/>
            <w:tcBorders>
              <w:top w:val="nil"/>
              <w:left w:val="single" w:sz="8" w:space="0" w:color="auto"/>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Чистые доходы (расходы)</w:t>
            </w:r>
          </w:p>
        </w:tc>
        <w:tc>
          <w:tcPr>
            <w:tcW w:w="992" w:type="dxa"/>
            <w:tcBorders>
              <w:top w:val="nil"/>
              <w:left w:val="nil"/>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6"/>
                <w:szCs w:val="16"/>
                <w:lang w:eastAsia="ru-RU"/>
              </w:rPr>
            </w:pPr>
            <w:r w:rsidRPr="00341240">
              <w:rPr>
                <w:rFonts w:ascii="Times New Roman" w:eastAsia="Times New Roman" w:hAnsi="Times New Roman" w:cs="Times New Roman"/>
                <w:b/>
                <w:bCs/>
                <w:color w:val="000000"/>
                <w:sz w:val="16"/>
                <w:szCs w:val="16"/>
                <w:lang w:eastAsia="ru-RU"/>
              </w:rPr>
              <w:t>200 %</w:t>
            </w:r>
          </w:p>
        </w:tc>
        <w:tc>
          <w:tcPr>
            <w:tcW w:w="1276" w:type="dxa"/>
            <w:tcBorders>
              <w:top w:val="nil"/>
              <w:left w:val="nil"/>
              <w:bottom w:val="single" w:sz="4" w:space="0" w:color="auto"/>
              <w:right w:val="single" w:sz="4"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29 270 946</w:t>
            </w:r>
          </w:p>
        </w:tc>
        <w:tc>
          <w:tcPr>
            <w:tcW w:w="1559" w:type="dxa"/>
            <w:tcBorders>
              <w:top w:val="nil"/>
              <w:left w:val="nil"/>
              <w:bottom w:val="single" w:sz="4" w:space="0" w:color="auto"/>
              <w:right w:val="single" w:sz="8"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14 604 233</w:t>
            </w:r>
          </w:p>
        </w:tc>
      </w:tr>
      <w:tr w:rsidR="00341240" w:rsidRPr="00341240" w:rsidTr="00411971">
        <w:trPr>
          <w:trHeight w:val="264"/>
        </w:trPr>
        <w:tc>
          <w:tcPr>
            <w:tcW w:w="5544" w:type="dxa"/>
            <w:tcBorders>
              <w:top w:val="nil"/>
              <w:left w:val="single" w:sz="8" w:space="0" w:color="auto"/>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xml:space="preserve">Операционные расходы </w:t>
            </w:r>
          </w:p>
        </w:tc>
        <w:tc>
          <w:tcPr>
            <w:tcW w:w="992" w:type="dxa"/>
            <w:tcBorders>
              <w:top w:val="nil"/>
              <w:left w:val="nil"/>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6"/>
                <w:szCs w:val="16"/>
                <w:lang w:eastAsia="ru-RU"/>
              </w:rPr>
            </w:pPr>
            <w:r w:rsidRPr="00341240">
              <w:rPr>
                <w:rFonts w:ascii="Times New Roman" w:eastAsia="Times New Roman" w:hAnsi="Times New Roman" w:cs="Times New Roman"/>
                <w:b/>
                <w:bCs/>
                <w:color w:val="000000"/>
                <w:sz w:val="16"/>
                <w:szCs w:val="16"/>
                <w:lang w:eastAsia="ru-RU"/>
              </w:rPr>
              <w:t>116 %</w:t>
            </w:r>
          </w:p>
        </w:tc>
        <w:tc>
          <w:tcPr>
            <w:tcW w:w="1276" w:type="dxa"/>
            <w:tcBorders>
              <w:top w:val="nil"/>
              <w:left w:val="nil"/>
              <w:bottom w:val="single" w:sz="4" w:space="0" w:color="auto"/>
              <w:right w:val="single" w:sz="4"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1 186 620</w:t>
            </w:r>
          </w:p>
        </w:tc>
        <w:tc>
          <w:tcPr>
            <w:tcW w:w="1559" w:type="dxa"/>
            <w:tcBorders>
              <w:top w:val="nil"/>
              <w:left w:val="nil"/>
              <w:bottom w:val="single" w:sz="4" w:space="0" w:color="auto"/>
              <w:right w:val="single" w:sz="8"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1 021 997</w:t>
            </w:r>
          </w:p>
        </w:tc>
      </w:tr>
      <w:tr w:rsidR="00341240" w:rsidRPr="00341240" w:rsidTr="00411971">
        <w:trPr>
          <w:trHeight w:val="264"/>
        </w:trPr>
        <w:tc>
          <w:tcPr>
            <w:tcW w:w="5544" w:type="dxa"/>
            <w:tcBorders>
              <w:top w:val="nil"/>
              <w:left w:val="single" w:sz="8" w:space="0" w:color="auto"/>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 xml:space="preserve">Прибыль (убыток) до налогообложения </w:t>
            </w:r>
          </w:p>
        </w:tc>
        <w:tc>
          <w:tcPr>
            <w:tcW w:w="992" w:type="dxa"/>
            <w:tcBorders>
              <w:top w:val="nil"/>
              <w:left w:val="nil"/>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6"/>
                <w:szCs w:val="16"/>
                <w:lang w:eastAsia="ru-RU"/>
              </w:rPr>
            </w:pPr>
            <w:r w:rsidRPr="00341240">
              <w:rPr>
                <w:rFonts w:ascii="Times New Roman" w:eastAsia="Times New Roman" w:hAnsi="Times New Roman" w:cs="Times New Roman"/>
                <w:b/>
                <w:bCs/>
                <w:color w:val="000000"/>
                <w:sz w:val="16"/>
                <w:szCs w:val="16"/>
                <w:lang w:eastAsia="ru-RU"/>
              </w:rPr>
              <w:t>207 %</w:t>
            </w:r>
          </w:p>
        </w:tc>
        <w:tc>
          <w:tcPr>
            <w:tcW w:w="1276" w:type="dxa"/>
            <w:tcBorders>
              <w:top w:val="nil"/>
              <w:left w:val="nil"/>
              <w:bottom w:val="single" w:sz="4" w:space="0" w:color="auto"/>
              <w:right w:val="single" w:sz="4"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28 084 326</w:t>
            </w:r>
          </w:p>
        </w:tc>
        <w:tc>
          <w:tcPr>
            <w:tcW w:w="1559" w:type="dxa"/>
            <w:tcBorders>
              <w:top w:val="nil"/>
              <w:left w:val="nil"/>
              <w:bottom w:val="single" w:sz="4" w:space="0" w:color="auto"/>
              <w:right w:val="single" w:sz="8"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13 582 236</w:t>
            </w:r>
          </w:p>
        </w:tc>
      </w:tr>
      <w:tr w:rsidR="00341240" w:rsidRPr="00341240" w:rsidTr="00411971">
        <w:trPr>
          <w:trHeight w:val="264"/>
        </w:trPr>
        <w:tc>
          <w:tcPr>
            <w:tcW w:w="5544" w:type="dxa"/>
            <w:tcBorders>
              <w:top w:val="nil"/>
              <w:left w:val="single" w:sz="8" w:space="0" w:color="auto"/>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Возмещение (расход) по налогам</w:t>
            </w:r>
          </w:p>
        </w:tc>
        <w:tc>
          <w:tcPr>
            <w:tcW w:w="992" w:type="dxa"/>
            <w:tcBorders>
              <w:top w:val="nil"/>
              <w:left w:val="nil"/>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6"/>
                <w:szCs w:val="16"/>
                <w:lang w:eastAsia="ru-RU"/>
              </w:rPr>
            </w:pPr>
            <w:r w:rsidRPr="00341240">
              <w:rPr>
                <w:rFonts w:ascii="Times New Roman" w:eastAsia="Times New Roman" w:hAnsi="Times New Roman" w:cs="Times New Roman"/>
                <w:b/>
                <w:bCs/>
                <w:color w:val="000000"/>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5 437 891</w:t>
            </w:r>
          </w:p>
        </w:tc>
        <w:tc>
          <w:tcPr>
            <w:tcW w:w="1559" w:type="dxa"/>
            <w:tcBorders>
              <w:top w:val="nil"/>
              <w:left w:val="nil"/>
              <w:bottom w:val="single" w:sz="4" w:space="0" w:color="auto"/>
              <w:right w:val="single" w:sz="8"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2 661 291</w:t>
            </w:r>
          </w:p>
        </w:tc>
      </w:tr>
      <w:tr w:rsidR="00341240" w:rsidRPr="00341240" w:rsidTr="00411971">
        <w:trPr>
          <w:trHeight w:val="264"/>
        </w:trPr>
        <w:tc>
          <w:tcPr>
            <w:tcW w:w="5544" w:type="dxa"/>
            <w:tcBorders>
              <w:top w:val="nil"/>
              <w:left w:val="single" w:sz="8" w:space="0" w:color="auto"/>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rPr>
                <w:rFonts w:ascii="Times New Roman" w:eastAsia="Times New Roman" w:hAnsi="Times New Roman" w:cs="Times New Roman"/>
                <w:b/>
                <w:bCs/>
                <w:color w:val="000000"/>
                <w:sz w:val="20"/>
                <w:szCs w:val="20"/>
                <w:lang w:eastAsia="ru-RU"/>
              </w:rPr>
            </w:pPr>
            <w:r w:rsidRPr="00341240">
              <w:rPr>
                <w:rFonts w:ascii="Times New Roman" w:eastAsia="Times New Roman" w:hAnsi="Times New Roman" w:cs="Times New Roman"/>
                <w:b/>
                <w:bCs/>
                <w:color w:val="000000"/>
                <w:sz w:val="20"/>
                <w:szCs w:val="20"/>
                <w:lang w:eastAsia="ru-RU"/>
              </w:rPr>
              <w:t>Прибыль (убыток) после налогообложения</w:t>
            </w:r>
          </w:p>
        </w:tc>
        <w:tc>
          <w:tcPr>
            <w:tcW w:w="992" w:type="dxa"/>
            <w:tcBorders>
              <w:top w:val="nil"/>
              <w:left w:val="nil"/>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6"/>
                <w:szCs w:val="16"/>
                <w:lang w:eastAsia="ru-RU"/>
              </w:rPr>
            </w:pPr>
            <w:r w:rsidRPr="00341240">
              <w:rPr>
                <w:rFonts w:ascii="Times New Roman" w:eastAsia="Times New Roman" w:hAnsi="Times New Roman" w:cs="Times New Roman"/>
                <w:b/>
                <w:bCs/>
                <w:color w:val="000000"/>
                <w:sz w:val="16"/>
                <w:szCs w:val="16"/>
                <w:lang w:eastAsia="ru-RU"/>
              </w:rPr>
              <w:t>207 %</w:t>
            </w:r>
          </w:p>
        </w:tc>
        <w:tc>
          <w:tcPr>
            <w:tcW w:w="1276" w:type="dxa"/>
            <w:tcBorders>
              <w:top w:val="nil"/>
              <w:left w:val="nil"/>
              <w:bottom w:val="single" w:sz="4" w:space="0" w:color="auto"/>
              <w:right w:val="single" w:sz="4"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b/>
                <w:bCs/>
                <w:color w:val="000000"/>
                <w:sz w:val="20"/>
                <w:szCs w:val="20"/>
                <w:lang w:eastAsia="ru-RU"/>
              </w:rPr>
            </w:pPr>
            <w:r w:rsidRPr="00341240">
              <w:rPr>
                <w:rFonts w:ascii="Times New Roman" w:eastAsia="Times New Roman" w:hAnsi="Times New Roman" w:cs="Times New Roman"/>
                <w:b/>
                <w:bCs/>
                <w:color w:val="000000"/>
                <w:sz w:val="20"/>
                <w:szCs w:val="20"/>
                <w:lang w:eastAsia="ru-RU"/>
              </w:rPr>
              <w:t>22 646 435</w:t>
            </w:r>
          </w:p>
        </w:tc>
        <w:tc>
          <w:tcPr>
            <w:tcW w:w="1559" w:type="dxa"/>
            <w:tcBorders>
              <w:top w:val="nil"/>
              <w:left w:val="nil"/>
              <w:bottom w:val="single" w:sz="4" w:space="0" w:color="auto"/>
              <w:right w:val="single" w:sz="8"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b/>
                <w:bCs/>
                <w:color w:val="000000"/>
                <w:sz w:val="20"/>
                <w:szCs w:val="20"/>
                <w:lang w:eastAsia="ru-RU"/>
              </w:rPr>
            </w:pPr>
            <w:r w:rsidRPr="00341240">
              <w:rPr>
                <w:rFonts w:ascii="Times New Roman" w:eastAsia="Times New Roman" w:hAnsi="Times New Roman" w:cs="Times New Roman"/>
                <w:b/>
                <w:bCs/>
                <w:color w:val="000000"/>
                <w:sz w:val="20"/>
                <w:szCs w:val="20"/>
                <w:lang w:eastAsia="ru-RU"/>
              </w:rPr>
              <w:t>10 920 945</w:t>
            </w:r>
          </w:p>
        </w:tc>
      </w:tr>
      <w:tr w:rsidR="00341240" w:rsidRPr="00341240" w:rsidTr="00411971">
        <w:trPr>
          <w:trHeight w:val="528"/>
        </w:trPr>
        <w:tc>
          <w:tcPr>
            <w:tcW w:w="5544" w:type="dxa"/>
            <w:tcBorders>
              <w:top w:val="nil"/>
              <w:left w:val="single" w:sz="8" w:space="0" w:color="auto"/>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rPr>
                <w:rFonts w:ascii="Times New Roman" w:eastAsia="Times New Roman" w:hAnsi="Times New Roman" w:cs="Times New Roman"/>
                <w:b/>
                <w:bCs/>
                <w:color w:val="000000"/>
                <w:sz w:val="20"/>
                <w:szCs w:val="20"/>
                <w:lang w:eastAsia="ru-RU"/>
              </w:rPr>
            </w:pPr>
            <w:r w:rsidRPr="00341240">
              <w:rPr>
                <w:rFonts w:ascii="Times New Roman" w:eastAsia="Times New Roman" w:hAnsi="Times New Roman" w:cs="Times New Roman"/>
                <w:b/>
                <w:bCs/>
                <w:color w:val="000000"/>
                <w:sz w:val="20"/>
                <w:szCs w:val="20"/>
                <w:lang w:eastAsia="ru-RU"/>
              </w:rPr>
              <w:t>Выплаты из прибыли после налогообложения, всего, в том числе:</w:t>
            </w:r>
          </w:p>
        </w:tc>
        <w:tc>
          <w:tcPr>
            <w:tcW w:w="992" w:type="dxa"/>
            <w:tcBorders>
              <w:top w:val="nil"/>
              <w:left w:val="nil"/>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6"/>
                <w:szCs w:val="16"/>
                <w:lang w:eastAsia="ru-RU"/>
              </w:rPr>
            </w:pPr>
            <w:r w:rsidRPr="00341240">
              <w:rPr>
                <w:rFonts w:ascii="Times New Roman" w:eastAsia="Times New Roman" w:hAnsi="Times New Roman" w:cs="Times New Roman"/>
                <w:b/>
                <w:bCs/>
                <w:color w:val="000000"/>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b/>
                <w:bCs/>
                <w:color w:val="000000"/>
                <w:sz w:val="20"/>
                <w:szCs w:val="20"/>
                <w:lang w:eastAsia="ru-RU"/>
              </w:rPr>
            </w:pPr>
            <w:r w:rsidRPr="00341240">
              <w:rPr>
                <w:rFonts w:ascii="Times New Roman" w:eastAsia="Times New Roman" w:hAnsi="Times New Roman" w:cs="Times New Roman"/>
                <w:b/>
                <w:bCs/>
                <w:color w:val="000000"/>
                <w:sz w:val="20"/>
                <w:szCs w:val="20"/>
                <w:lang w:eastAsia="ru-RU"/>
              </w:rPr>
              <w:t>0</w:t>
            </w:r>
          </w:p>
        </w:tc>
        <w:tc>
          <w:tcPr>
            <w:tcW w:w="1559" w:type="dxa"/>
            <w:tcBorders>
              <w:top w:val="nil"/>
              <w:left w:val="nil"/>
              <w:bottom w:val="single" w:sz="4" w:space="0" w:color="auto"/>
              <w:right w:val="single" w:sz="8"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b/>
                <w:bCs/>
                <w:color w:val="000000"/>
                <w:sz w:val="20"/>
                <w:szCs w:val="20"/>
                <w:lang w:eastAsia="ru-RU"/>
              </w:rPr>
            </w:pPr>
            <w:r w:rsidRPr="00341240">
              <w:rPr>
                <w:rFonts w:ascii="Times New Roman" w:eastAsia="Times New Roman" w:hAnsi="Times New Roman" w:cs="Times New Roman"/>
                <w:b/>
                <w:bCs/>
                <w:color w:val="000000"/>
                <w:sz w:val="20"/>
                <w:szCs w:val="20"/>
                <w:lang w:eastAsia="ru-RU"/>
              </w:rPr>
              <w:t>0</w:t>
            </w:r>
          </w:p>
        </w:tc>
      </w:tr>
      <w:tr w:rsidR="00341240" w:rsidRPr="00341240" w:rsidTr="00411971">
        <w:trPr>
          <w:trHeight w:val="264"/>
        </w:trPr>
        <w:tc>
          <w:tcPr>
            <w:tcW w:w="5544" w:type="dxa"/>
            <w:tcBorders>
              <w:top w:val="nil"/>
              <w:left w:val="single" w:sz="8" w:space="0" w:color="auto"/>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распределение между акционерами в виде дивидендов</w:t>
            </w:r>
          </w:p>
        </w:tc>
        <w:tc>
          <w:tcPr>
            <w:tcW w:w="992" w:type="dxa"/>
            <w:tcBorders>
              <w:top w:val="nil"/>
              <w:left w:val="nil"/>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6"/>
                <w:szCs w:val="16"/>
                <w:lang w:eastAsia="ru-RU"/>
              </w:rPr>
            </w:pPr>
            <w:r w:rsidRPr="00341240">
              <w:rPr>
                <w:rFonts w:ascii="Times New Roman" w:eastAsia="Times New Roman" w:hAnsi="Times New Roman" w:cs="Times New Roman"/>
                <w:b/>
                <w:bCs/>
                <w:color w:val="000000"/>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b/>
                <w:bCs/>
                <w:color w:val="000000"/>
                <w:sz w:val="20"/>
                <w:szCs w:val="20"/>
                <w:lang w:eastAsia="ru-RU"/>
              </w:rPr>
            </w:pPr>
            <w:r w:rsidRPr="00341240">
              <w:rPr>
                <w:rFonts w:ascii="Times New Roman" w:eastAsia="Times New Roman" w:hAnsi="Times New Roman" w:cs="Times New Roman"/>
                <w:b/>
                <w:bCs/>
                <w:color w:val="000000"/>
                <w:sz w:val="20"/>
                <w:szCs w:val="20"/>
                <w:lang w:eastAsia="ru-RU"/>
              </w:rPr>
              <w:t>0</w:t>
            </w:r>
          </w:p>
        </w:tc>
        <w:tc>
          <w:tcPr>
            <w:tcW w:w="1559" w:type="dxa"/>
            <w:tcBorders>
              <w:top w:val="nil"/>
              <w:left w:val="nil"/>
              <w:bottom w:val="single" w:sz="4" w:space="0" w:color="auto"/>
              <w:right w:val="single" w:sz="8"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b/>
                <w:bCs/>
                <w:color w:val="000000"/>
                <w:sz w:val="20"/>
                <w:szCs w:val="20"/>
                <w:lang w:eastAsia="ru-RU"/>
              </w:rPr>
            </w:pPr>
            <w:r w:rsidRPr="00341240">
              <w:rPr>
                <w:rFonts w:ascii="Times New Roman" w:eastAsia="Times New Roman" w:hAnsi="Times New Roman" w:cs="Times New Roman"/>
                <w:b/>
                <w:bCs/>
                <w:color w:val="000000"/>
                <w:sz w:val="20"/>
                <w:szCs w:val="20"/>
                <w:lang w:eastAsia="ru-RU"/>
              </w:rPr>
              <w:t>0</w:t>
            </w:r>
          </w:p>
        </w:tc>
      </w:tr>
      <w:tr w:rsidR="00341240" w:rsidRPr="00341240" w:rsidTr="00411971">
        <w:trPr>
          <w:trHeight w:val="540"/>
        </w:trPr>
        <w:tc>
          <w:tcPr>
            <w:tcW w:w="5544" w:type="dxa"/>
            <w:tcBorders>
              <w:top w:val="nil"/>
              <w:left w:val="single" w:sz="8" w:space="0" w:color="auto"/>
              <w:bottom w:val="nil"/>
              <w:right w:val="single" w:sz="4" w:space="0" w:color="auto"/>
            </w:tcBorders>
            <w:shd w:val="clear" w:color="auto" w:fill="auto"/>
            <w:vAlign w:val="center"/>
            <w:hideMark/>
          </w:tcPr>
          <w:p w:rsidR="00341240" w:rsidRPr="00341240" w:rsidRDefault="00341240" w:rsidP="00341240">
            <w:pPr>
              <w:spacing w:after="0" w:line="240" w:lineRule="auto"/>
              <w:rPr>
                <w:rFonts w:ascii="Times New Roman" w:eastAsia="Times New Roman" w:hAnsi="Times New Roman" w:cs="Times New Roman"/>
                <w:color w:val="000000"/>
                <w:sz w:val="20"/>
                <w:szCs w:val="20"/>
                <w:lang w:eastAsia="ru-RU"/>
              </w:rPr>
            </w:pPr>
            <w:r w:rsidRPr="00341240">
              <w:rPr>
                <w:rFonts w:ascii="Times New Roman" w:eastAsia="Times New Roman" w:hAnsi="Times New Roman" w:cs="Times New Roman"/>
                <w:color w:val="000000"/>
                <w:sz w:val="20"/>
                <w:szCs w:val="20"/>
                <w:lang w:eastAsia="ru-RU"/>
              </w:rPr>
              <w:t>отчисления на формирование и пополнение резервного фонда</w:t>
            </w:r>
          </w:p>
        </w:tc>
        <w:tc>
          <w:tcPr>
            <w:tcW w:w="992" w:type="dxa"/>
            <w:tcBorders>
              <w:top w:val="nil"/>
              <w:left w:val="nil"/>
              <w:bottom w:val="nil"/>
              <w:right w:val="single" w:sz="4" w:space="0" w:color="auto"/>
            </w:tcBorders>
            <w:shd w:val="clear" w:color="auto" w:fill="auto"/>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6"/>
                <w:szCs w:val="16"/>
                <w:lang w:eastAsia="ru-RU"/>
              </w:rPr>
            </w:pPr>
            <w:r w:rsidRPr="00341240">
              <w:rPr>
                <w:rFonts w:ascii="Times New Roman" w:eastAsia="Times New Roman" w:hAnsi="Times New Roman" w:cs="Times New Roman"/>
                <w:b/>
                <w:bCs/>
                <w:color w:val="000000"/>
                <w:sz w:val="16"/>
                <w:szCs w:val="16"/>
                <w:lang w:eastAsia="ru-RU"/>
              </w:rPr>
              <w:t> </w:t>
            </w:r>
          </w:p>
        </w:tc>
        <w:tc>
          <w:tcPr>
            <w:tcW w:w="1276" w:type="dxa"/>
            <w:tcBorders>
              <w:top w:val="nil"/>
              <w:left w:val="nil"/>
              <w:bottom w:val="nil"/>
              <w:right w:val="single" w:sz="4"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b/>
                <w:bCs/>
                <w:color w:val="000000"/>
                <w:sz w:val="20"/>
                <w:szCs w:val="20"/>
                <w:lang w:eastAsia="ru-RU"/>
              </w:rPr>
            </w:pPr>
            <w:r w:rsidRPr="00341240">
              <w:rPr>
                <w:rFonts w:ascii="Times New Roman" w:eastAsia="Times New Roman" w:hAnsi="Times New Roman" w:cs="Times New Roman"/>
                <w:b/>
                <w:bCs/>
                <w:color w:val="000000"/>
                <w:sz w:val="20"/>
                <w:szCs w:val="20"/>
                <w:lang w:eastAsia="ru-RU"/>
              </w:rPr>
              <w:t xml:space="preserve">                              0   </w:t>
            </w:r>
          </w:p>
        </w:tc>
        <w:tc>
          <w:tcPr>
            <w:tcW w:w="1559" w:type="dxa"/>
            <w:tcBorders>
              <w:top w:val="nil"/>
              <w:left w:val="nil"/>
              <w:bottom w:val="nil"/>
              <w:right w:val="single" w:sz="8" w:space="0" w:color="auto"/>
            </w:tcBorders>
            <w:shd w:val="clear" w:color="auto" w:fill="auto"/>
            <w:noWrap/>
            <w:vAlign w:val="center"/>
            <w:hideMark/>
          </w:tcPr>
          <w:p w:rsidR="00341240" w:rsidRPr="00341240" w:rsidRDefault="00341240" w:rsidP="00341240">
            <w:pPr>
              <w:spacing w:after="0" w:line="240" w:lineRule="auto"/>
              <w:jc w:val="right"/>
              <w:rPr>
                <w:rFonts w:ascii="Times New Roman" w:eastAsia="Times New Roman" w:hAnsi="Times New Roman" w:cs="Times New Roman"/>
                <w:b/>
                <w:bCs/>
                <w:color w:val="000000"/>
                <w:sz w:val="20"/>
                <w:szCs w:val="20"/>
                <w:lang w:eastAsia="ru-RU"/>
              </w:rPr>
            </w:pPr>
          </w:p>
          <w:p w:rsidR="00341240" w:rsidRPr="00341240" w:rsidRDefault="00341240" w:rsidP="00341240">
            <w:pPr>
              <w:spacing w:after="0" w:line="240" w:lineRule="auto"/>
              <w:jc w:val="right"/>
              <w:rPr>
                <w:rFonts w:ascii="Times New Roman" w:eastAsia="Times New Roman" w:hAnsi="Times New Roman" w:cs="Times New Roman"/>
                <w:b/>
                <w:bCs/>
                <w:color w:val="000000"/>
                <w:sz w:val="20"/>
                <w:szCs w:val="20"/>
                <w:lang w:eastAsia="ru-RU"/>
              </w:rPr>
            </w:pPr>
            <w:r w:rsidRPr="00341240">
              <w:rPr>
                <w:rFonts w:ascii="Times New Roman" w:eastAsia="Times New Roman" w:hAnsi="Times New Roman" w:cs="Times New Roman"/>
                <w:b/>
                <w:bCs/>
                <w:color w:val="000000"/>
                <w:sz w:val="20"/>
                <w:szCs w:val="20"/>
                <w:lang w:eastAsia="ru-RU"/>
              </w:rPr>
              <w:t>0</w:t>
            </w:r>
          </w:p>
        </w:tc>
      </w:tr>
      <w:tr w:rsidR="00341240" w:rsidRPr="00341240" w:rsidTr="00411971">
        <w:trPr>
          <w:trHeight w:val="552"/>
        </w:trPr>
        <w:tc>
          <w:tcPr>
            <w:tcW w:w="554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341240" w:rsidRPr="00341240" w:rsidRDefault="00341240" w:rsidP="00341240">
            <w:pPr>
              <w:spacing w:after="0" w:line="240" w:lineRule="auto"/>
              <w:rPr>
                <w:rFonts w:ascii="Times New Roman" w:eastAsia="Times New Roman" w:hAnsi="Times New Roman" w:cs="Times New Roman"/>
                <w:b/>
                <w:bCs/>
                <w:color w:val="000000"/>
                <w:sz w:val="20"/>
                <w:szCs w:val="20"/>
                <w:lang w:eastAsia="ru-RU"/>
              </w:rPr>
            </w:pPr>
            <w:r w:rsidRPr="00341240">
              <w:rPr>
                <w:rFonts w:ascii="Times New Roman" w:eastAsia="Times New Roman" w:hAnsi="Times New Roman" w:cs="Times New Roman"/>
                <w:b/>
                <w:bCs/>
                <w:color w:val="000000"/>
                <w:sz w:val="20"/>
                <w:szCs w:val="20"/>
                <w:lang w:eastAsia="ru-RU"/>
              </w:rPr>
              <w:t>Неиспользованная прибыль (убыток) после налогообложения</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341240" w:rsidRPr="00341240" w:rsidRDefault="00341240" w:rsidP="00341240">
            <w:pPr>
              <w:spacing w:after="0" w:line="240" w:lineRule="auto"/>
              <w:rPr>
                <w:rFonts w:ascii="Times New Roman" w:eastAsia="Times New Roman" w:hAnsi="Times New Roman" w:cs="Times New Roman"/>
                <w:b/>
                <w:bCs/>
                <w:sz w:val="16"/>
                <w:szCs w:val="16"/>
                <w:lang w:eastAsia="ru-RU"/>
              </w:rPr>
            </w:pPr>
            <w:r w:rsidRPr="00341240">
              <w:rPr>
                <w:rFonts w:ascii="Times New Roman" w:eastAsia="Times New Roman" w:hAnsi="Times New Roman" w:cs="Times New Roman"/>
                <w:b/>
                <w:bCs/>
                <w:sz w:val="16"/>
                <w:szCs w:val="16"/>
                <w:lang w:eastAsia="ru-RU"/>
              </w:rPr>
              <w:t> </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rsidR="00341240" w:rsidRPr="00341240" w:rsidRDefault="00341240" w:rsidP="00341240">
            <w:pPr>
              <w:spacing w:after="0" w:line="240" w:lineRule="auto"/>
              <w:jc w:val="right"/>
              <w:rPr>
                <w:rFonts w:ascii="Times New Roman" w:eastAsia="Times New Roman" w:hAnsi="Times New Roman" w:cs="Times New Roman"/>
                <w:b/>
                <w:bCs/>
                <w:sz w:val="20"/>
                <w:szCs w:val="20"/>
                <w:lang w:eastAsia="ru-RU"/>
              </w:rPr>
            </w:pPr>
            <w:r w:rsidRPr="00341240">
              <w:rPr>
                <w:rFonts w:ascii="Times New Roman" w:eastAsia="Times New Roman" w:hAnsi="Times New Roman" w:cs="Times New Roman"/>
                <w:b/>
                <w:bCs/>
                <w:sz w:val="20"/>
                <w:szCs w:val="20"/>
                <w:lang w:eastAsia="ru-RU"/>
              </w:rPr>
              <w:t xml:space="preserve">22 646 435 </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rsidR="00341240" w:rsidRPr="00341240" w:rsidRDefault="00341240" w:rsidP="00341240">
            <w:pPr>
              <w:spacing w:after="0" w:line="240" w:lineRule="auto"/>
              <w:jc w:val="right"/>
              <w:rPr>
                <w:rFonts w:ascii="Times New Roman" w:eastAsia="Times New Roman" w:hAnsi="Times New Roman" w:cs="Times New Roman"/>
                <w:b/>
                <w:bCs/>
                <w:sz w:val="20"/>
                <w:szCs w:val="20"/>
                <w:lang w:eastAsia="ru-RU"/>
              </w:rPr>
            </w:pPr>
            <w:r w:rsidRPr="00341240">
              <w:rPr>
                <w:rFonts w:ascii="Times New Roman" w:eastAsia="Times New Roman" w:hAnsi="Times New Roman" w:cs="Times New Roman"/>
                <w:b/>
                <w:bCs/>
                <w:sz w:val="20"/>
                <w:szCs w:val="20"/>
                <w:lang w:eastAsia="ru-RU"/>
              </w:rPr>
              <w:t>10 920 945</w:t>
            </w:r>
          </w:p>
        </w:tc>
      </w:tr>
    </w:tbl>
    <w:p w:rsidR="00341240" w:rsidRPr="00341240" w:rsidRDefault="00341240" w:rsidP="00341240">
      <w:pPr>
        <w:spacing w:after="0" w:line="240" w:lineRule="auto"/>
        <w:rPr>
          <w:rFonts w:ascii="Times New Roman" w:eastAsia="Times New Roman" w:hAnsi="Times New Roman" w:cs="Times New Roman"/>
          <w:sz w:val="24"/>
          <w:szCs w:val="24"/>
          <w:lang w:eastAsia="ru-RU"/>
        </w:rPr>
      </w:pPr>
    </w:p>
    <w:p w:rsidR="00341240" w:rsidRPr="00341240" w:rsidRDefault="00341240" w:rsidP="00341240">
      <w:pPr>
        <w:spacing w:after="0" w:line="240" w:lineRule="auto"/>
        <w:jc w:val="center"/>
        <w:rPr>
          <w:rFonts w:ascii="Times New Roman" w:eastAsia="Times New Roman" w:hAnsi="Times New Roman" w:cs="Times New Roman"/>
          <w:b/>
          <w:i/>
          <w:sz w:val="24"/>
          <w:szCs w:val="24"/>
          <w:lang w:eastAsia="ru-RU"/>
        </w:rPr>
      </w:pPr>
      <w:r w:rsidRPr="00341240">
        <w:rPr>
          <w:rFonts w:ascii="Times New Roman" w:eastAsia="Times New Roman" w:hAnsi="Times New Roman" w:cs="Times New Roman"/>
          <w:b/>
          <w:i/>
          <w:sz w:val="24"/>
          <w:szCs w:val="24"/>
          <w:lang w:eastAsia="ru-RU"/>
        </w:rPr>
        <w:t>Динамика изменения собственных средств (капитала) Банка и основных показателей, включаемых в расчет капитала (тыс. руб.)</w:t>
      </w:r>
    </w:p>
    <w:p w:rsidR="00341240" w:rsidRPr="00341240" w:rsidRDefault="00341240" w:rsidP="00341240">
      <w:pPr>
        <w:spacing w:after="0" w:line="240" w:lineRule="auto"/>
        <w:jc w:val="center"/>
        <w:rPr>
          <w:rFonts w:ascii="Times New Roman" w:eastAsia="Times New Roman" w:hAnsi="Times New Roman" w:cs="Times New Roman"/>
          <w:b/>
          <w:i/>
          <w:sz w:val="24"/>
          <w:szCs w:val="24"/>
          <w:lang w:eastAsia="ru-RU"/>
        </w:rPr>
      </w:pPr>
    </w:p>
    <w:p w:rsidR="00341240" w:rsidRPr="00341240" w:rsidRDefault="00341240" w:rsidP="00341240">
      <w:pPr>
        <w:spacing w:after="0" w:line="240" w:lineRule="auto"/>
        <w:ind w:firstLine="476"/>
        <w:jc w:val="both"/>
        <w:rPr>
          <w:rFonts w:ascii="Times New Roman" w:eastAsia="MS Mincho" w:hAnsi="Times New Roman" w:cs="Times New Roman"/>
          <w:noProof/>
          <w:snapToGrid w:val="0"/>
          <w:sz w:val="24"/>
          <w:szCs w:val="24"/>
          <w:lang w:eastAsia="x-none"/>
        </w:rPr>
      </w:pPr>
      <w:r w:rsidRPr="00341240">
        <w:rPr>
          <w:rFonts w:ascii="Times New Roman" w:eastAsia="MS Mincho" w:hAnsi="Times New Roman" w:cs="Times New Roman"/>
          <w:noProof/>
          <w:snapToGrid w:val="0"/>
          <w:sz w:val="24"/>
          <w:szCs w:val="24"/>
          <w:lang w:eastAsia="x-none"/>
        </w:rPr>
        <w:t xml:space="preserve">Банк осуществляет управление капиталом, исходя из необходимости продолжения своей деятельности, соблюдения необходимого баланса между обеспечением финансовой устойчивости при любых экономических условиях функционирования его бизнеса, снижением издержек участников рынка и обеспечением прибыльности вложений акционеров на высоком уровне. </w:t>
      </w:r>
    </w:p>
    <w:p w:rsidR="00341240" w:rsidRPr="00341240" w:rsidRDefault="00341240" w:rsidP="00341240">
      <w:pPr>
        <w:tabs>
          <w:tab w:val="left" w:pos="600"/>
        </w:tabs>
        <w:spacing w:after="240" w:line="240" w:lineRule="auto"/>
        <w:ind w:firstLine="709"/>
        <w:jc w:val="both"/>
        <w:rPr>
          <w:rFonts w:ascii="Times New Roman" w:eastAsia="MS Mincho" w:hAnsi="Times New Roman" w:cs="Times New Roman"/>
          <w:sz w:val="24"/>
          <w:szCs w:val="24"/>
          <w:lang w:eastAsia="ja-JP"/>
        </w:rPr>
      </w:pPr>
      <w:r w:rsidRPr="00341240">
        <w:rPr>
          <w:rFonts w:ascii="Times New Roman" w:eastAsia="MS Mincho" w:hAnsi="Times New Roman" w:cs="Times New Roman"/>
          <w:sz w:val="24"/>
          <w:szCs w:val="24"/>
          <w:lang w:eastAsia="ja-JP"/>
        </w:rPr>
        <w:t>Являясь компанией Группы Московская Биржа, в отчетном периоде Банк осуществлял управление капиталом, руководствуясь  задачами, определенными Стратегией Группы на 2012-2015 годы в области развития централизованного клиринга и повышения надежности Центрального контрагента. Принимая во внимание необходимость соблюдения регулятивных требований к капиталу кредитных организаций, Банк осуществлял прогнозирование величины капитала с учетом темпов роста операций на биржевых рынках Группы, роста объемов депонируемых участниками клиринга средств для обеспечения исполнения обязательств по сделкам, а также с учетом величины рисков, принимаемых в связи с реализацией приоритетных проектов Группы, предусматривающих осуществление централизованного клиринга с участием Банка.  При прогнозировании величины капитала и уровня его достаточности, Банк ориентировался также на планируемые выплаты дивидендов в соответствии с дивидендной политикой Группы.</w:t>
      </w:r>
    </w:p>
    <w:tbl>
      <w:tblPr>
        <w:tblStyle w:val="aff7"/>
        <w:tblW w:w="0" w:type="auto"/>
        <w:tblInd w:w="108" w:type="dxa"/>
        <w:tblLook w:val="04A0" w:firstRow="1" w:lastRow="0" w:firstColumn="1" w:lastColumn="0" w:noHBand="0" w:noVBand="1"/>
      </w:tblPr>
      <w:tblGrid>
        <w:gridCol w:w="5245"/>
        <w:gridCol w:w="1985"/>
        <w:gridCol w:w="2126"/>
      </w:tblGrid>
      <w:tr w:rsidR="00341240" w:rsidRPr="00341240" w:rsidTr="00411971">
        <w:tc>
          <w:tcPr>
            <w:tcW w:w="5245" w:type="dxa"/>
          </w:tcPr>
          <w:p w:rsidR="00341240" w:rsidRPr="00341240" w:rsidRDefault="00341240" w:rsidP="00341240">
            <w:pPr>
              <w:widowControl w:val="0"/>
              <w:tabs>
                <w:tab w:val="left" w:pos="1056"/>
              </w:tabs>
              <w:autoSpaceDE w:val="0"/>
              <w:autoSpaceDN w:val="0"/>
              <w:adjustRightInd w:val="0"/>
              <w:jc w:val="center"/>
              <w:rPr>
                <w:rFonts w:ascii="Times New Roman" w:eastAsia="MS Mincho" w:hAnsi="Times New Roman"/>
                <w:b/>
                <w:sz w:val="18"/>
                <w:szCs w:val="18"/>
              </w:rPr>
            </w:pPr>
            <w:r w:rsidRPr="00341240">
              <w:rPr>
                <w:rFonts w:ascii="Times New Roman" w:eastAsia="MS Mincho" w:hAnsi="Times New Roman"/>
                <w:b/>
                <w:sz w:val="18"/>
                <w:szCs w:val="18"/>
              </w:rPr>
              <w:t>Наименование статьи</w:t>
            </w:r>
          </w:p>
        </w:tc>
        <w:tc>
          <w:tcPr>
            <w:tcW w:w="1985" w:type="dxa"/>
          </w:tcPr>
          <w:p w:rsidR="00341240" w:rsidRPr="00341240" w:rsidRDefault="00341240" w:rsidP="00341240">
            <w:pPr>
              <w:widowControl w:val="0"/>
              <w:autoSpaceDE w:val="0"/>
              <w:autoSpaceDN w:val="0"/>
              <w:adjustRightInd w:val="0"/>
              <w:jc w:val="center"/>
              <w:rPr>
                <w:rFonts w:ascii="Times New Roman" w:eastAsia="MS Mincho" w:hAnsi="Times New Roman"/>
                <w:b/>
                <w:sz w:val="18"/>
                <w:szCs w:val="18"/>
              </w:rPr>
            </w:pPr>
            <w:r w:rsidRPr="00341240">
              <w:rPr>
                <w:rFonts w:ascii="Times New Roman" w:eastAsia="MS Mincho" w:hAnsi="Times New Roman"/>
                <w:b/>
                <w:sz w:val="18"/>
                <w:szCs w:val="18"/>
              </w:rPr>
              <w:t>01.01.2016</w:t>
            </w:r>
          </w:p>
        </w:tc>
        <w:tc>
          <w:tcPr>
            <w:tcW w:w="2126" w:type="dxa"/>
          </w:tcPr>
          <w:p w:rsidR="00341240" w:rsidRPr="00341240" w:rsidRDefault="00341240" w:rsidP="00341240">
            <w:pPr>
              <w:widowControl w:val="0"/>
              <w:autoSpaceDE w:val="0"/>
              <w:autoSpaceDN w:val="0"/>
              <w:adjustRightInd w:val="0"/>
              <w:jc w:val="center"/>
              <w:rPr>
                <w:rFonts w:ascii="Times New Roman" w:eastAsia="MS Mincho" w:hAnsi="Times New Roman"/>
                <w:b/>
                <w:sz w:val="18"/>
                <w:szCs w:val="18"/>
              </w:rPr>
            </w:pPr>
            <w:r w:rsidRPr="00341240">
              <w:rPr>
                <w:rFonts w:ascii="Times New Roman" w:eastAsia="MS Mincho" w:hAnsi="Times New Roman"/>
                <w:b/>
                <w:sz w:val="18"/>
                <w:szCs w:val="18"/>
              </w:rPr>
              <w:t>01.01.2015</w:t>
            </w:r>
          </w:p>
        </w:tc>
      </w:tr>
      <w:tr w:rsidR="00341240" w:rsidRPr="00341240" w:rsidTr="00411971">
        <w:tc>
          <w:tcPr>
            <w:tcW w:w="5245" w:type="dxa"/>
          </w:tcPr>
          <w:p w:rsidR="00341240" w:rsidRPr="00341240" w:rsidRDefault="00341240" w:rsidP="00341240">
            <w:pPr>
              <w:jc w:val="both"/>
              <w:rPr>
                <w:rFonts w:ascii="Times New Roman" w:eastAsia="MS Mincho" w:hAnsi="Times New Roman"/>
                <w:noProof/>
                <w:snapToGrid w:val="0"/>
                <w:sz w:val="18"/>
                <w:szCs w:val="18"/>
                <w:lang w:eastAsia="x-none"/>
              </w:rPr>
            </w:pPr>
            <w:r w:rsidRPr="00341240">
              <w:rPr>
                <w:rFonts w:ascii="Times New Roman" w:eastAsia="MS Mincho" w:hAnsi="Times New Roman"/>
                <w:noProof/>
                <w:snapToGrid w:val="0"/>
                <w:sz w:val="18"/>
                <w:szCs w:val="18"/>
                <w:lang w:eastAsia="x-none"/>
              </w:rPr>
              <w:t>Собственные средства (Капитал), итого,</w:t>
            </w:r>
          </w:p>
        </w:tc>
        <w:tc>
          <w:tcPr>
            <w:tcW w:w="1985" w:type="dxa"/>
          </w:tcPr>
          <w:p w:rsidR="00341240" w:rsidRPr="00341240" w:rsidRDefault="00341240" w:rsidP="00341240">
            <w:pPr>
              <w:jc w:val="right"/>
              <w:rPr>
                <w:rFonts w:ascii="Times New Roman" w:eastAsia="MS Mincho" w:hAnsi="Times New Roman"/>
                <w:noProof/>
                <w:snapToGrid w:val="0"/>
                <w:sz w:val="16"/>
                <w:szCs w:val="16"/>
                <w:lang w:eastAsia="x-none"/>
              </w:rPr>
            </w:pPr>
            <w:r w:rsidRPr="00341240">
              <w:rPr>
                <w:rFonts w:ascii="Times New Roman" w:eastAsia="MS Mincho" w:hAnsi="Times New Roman"/>
                <w:noProof/>
                <w:snapToGrid w:val="0"/>
                <w:sz w:val="16"/>
                <w:szCs w:val="16"/>
                <w:lang w:eastAsia="x-none"/>
              </w:rPr>
              <w:t>54 130 884</w:t>
            </w:r>
          </w:p>
        </w:tc>
        <w:tc>
          <w:tcPr>
            <w:tcW w:w="2126" w:type="dxa"/>
          </w:tcPr>
          <w:p w:rsidR="00341240" w:rsidRPr="00341240" w:rsidRDefault="00341240" w:rsidP="00341240">
            <w:pPr>
              <w:jc w:val="right"/>
              <w:rPr>
                <w:rFonts w:ascii="Times New Roman" w:eastAsia="MS Mincho" w:hAnsi="Times New Roman"/>
                <w:noProof/>
                <w:snapToGrid w:val="0"/>
                <w:sz w:val="16"/>
                <w:szCs w:val="16"/>
                <w:lang w:eastAsia="x-none"/>
              </w:rPr>
            </w:pPr>
            <w:r w:rsidRPr="00341240">
              <w:rPr>
                <w:rFonts w:ascii="Times New Roman" w:eastAsia="MS Mincho" w:hAnsi="Times New Roman"/>
                <w:noProof/>
                <w:snapToGrid w:val="0"/>
                <w:sz w:val="16"/>
                <w:szCs w:val="16"/>
                <w:lang w:eastAsia="x-none"/>
              </w:rPr>
              <w:t>38 542 136</w:t>
            </w:r>
          </w:p>
        </w:tc>
      </w:tr>
      <w:tr w:rsidR="00341240" w:rsidRPr="00341240" w:rsidTr="00411971">
        <w:tc>
          <w:tcPr>
            <w:tcW w:w="5245" w:type="dxa"/>
          </w:tcPr>
          <w:p w:rsidR="00341240" w:rsidRPr="00341240" w:rsidRDefault="00341240" w:rsidP="00341240">
            <w:pPr>
              <w:jc w:val="both"/>
              <w:rPr>
                <w:rFonts w:ascii="Times New Roman" w:eastAsia="MS Mincho" w:hAnsi="Times New Roman"/>
                <w:noProof/>
                <w:snapToGrid w:val="0"/>
                <w:sz w:val="18"/>
                <w:szCs w:val="18"/>
                <w:lang w:eastAsia="x-none"/>
              </w:rPr>
            </w:pPr>
            <w:r w:rsidRPr="00341240">
              <w:rPr>
                <w:rFonts w:ascii="Times New Roman" w:eastAsia="MS Mincho" w:hAnsi="Times New Roman"/>
                <w:noProof/>
                <w:snapToGrid w:val="0"/>
                <w:sz w:val="18"/>
                <w:szCs w:val="18"/>
                <w:lang w:eastAsia="x-none"/>
              </w:rPr>
              <w:t>в т.ч.:</w:t>
            </w:r>
          </w:p>
        </w:tc>
        <w:tc>
          <w:tcPr>
            <w:tcW w:w="1985" w:type="dxa"/>
          </w:tcPr>
          <w:p w:rsidR="00341240" w:rsidRPr="00341240" w:rsidRDefault="00341240" w:rsidP="00341240">
            <w:pPr>
              <w:jc w:val="right"/>
              <w:rPr>
                <w:rFonts w:ascii="Times New Roman" w:eastAsia="MS Mincho" w:hAnsi="Times New Roman"/>
                <w:noProof/>
                <w:snapToGrid w:val="0"/>
                <w:sz w:val="16"/>
                <w:szCs w:val="16"/>
                <w:lang w:eastAsia="x-none"/>
              </w:rPr>
            </w:pPr>
          </w:p>
        </w:tc>
        <w:tc>
          <w:tcPr>
            <w:tcW w:w="2126" w:type="dxa"/>
          </w:tcPr>
          <w:p w:rsidR="00341240" w:rsidRPr="00341240" w:rsidRDefault="00341240" w:rsidP="00341240">
            <w:pPr>
              <w:jc w:val="right"/>
              <w:rPr>
                <w:rFonts w:ascii="Times New Roman" w:eastAsia="MS Mincho" w:hAnsi="Times New Roman"/>
                <w:noProof/>
                <w:snapToGrid w:val="0"/>
                <w:sz w:val="16"/>
                <w:szCs w:val="16"/>
                <w:lang w:eastAsia="x-none"/>
              </w:rPr>
            </w:pPr>
          </w:p>
        </w:tc>
      </w:tr>
      <w:tr w:rsidR="00341240" w:rsidRPr="00341240" w:rsidTr="00411971">
        <w:tc>
          <w:tcPr>
            <w:tcW w:w="5245" w:type="dxa"/>
          </w:tcPr>
          <w:p w:rsidR="00341240" w:rsidRPr="00341240" w:rsidRDefault="00341240" w:rsidP="00341240">
            <w:pPr>
              <w:jc w:val="both"/>
              <w:rPr>
                <w:rFonts w:ascii="Times New Roman" w:eastAsia="MS Mincho" w:hAnsi="Times New Roman"/>
                <w:noProof/>
                <w:snapToGrid w:val="0"/>
                <w:sz w:val="18"/>
                <w:szCs w:val="18"/>
                <w:lang w:eastAsia="x-none"/>
              </w:rPr>
            </w:pPr>
            <w:r w:rsidRPr="00341240">
              <w:rPr>
                <w:rFonts w:ascii="Times New Roman" w:eastAsia="MS Mincho" w:hAnsi="Times New Roman"/>
                <w:noProof/>
                <w:snapToGrid w:val="0"/>
                <w:sz w:val="18"/>
                <w:szCs w:val="18"/>
                <w:lang w:eastAsia="x-none"/>
              </w:rPr>
              <w:t>Базовый капитал</w:t>
            </w:r>
          </w:p>
        </w:tc>
        <w:tc>
          <w:tcPr>
            <w:tcW w:w="1985" w:type="dxa"/>
          </w:tcPr>
          <w:p w:rsidR="00341240" w:rsidRPr="00341240" w:rsidRDefault="00341240" w:rsidP="00341240">
            <w:pPr>
              <w:jc w:val="right"/>
              <w:rPr>
                <w:rFonts w:ascii="Times New Roman" w:eastAsia="MS Mincho" w:hAnsi="Times New Roman"/>
                <w:noProof/>
                <w:snapToGrid w:val="0"/>
                <w:sz w:val="16"/>
                <w:szCs w:val="16"/>
                <w:lang w:eastAsia="x-none"/>
              </w:rPr>
            </w:pPr>
            <w:r w:rsidRPr="00341240">
              <w:rPr>
                <w:rFonts w:ascii="Times New Roman" w:eastAsia="MS Mincho" w:hAnsi="Times New Roman"/>
                <w:noProof/>
                <w:snapToGrid w:val="0"/>
                <w:sz w:val="16"/>
                <w:szCs w:val="16"/>
                <w:lang w:eastAsia="x-none"/>
              </w:rPr>
              <w:t>31 346 599</w:t>
            </w:r>
          </w:p>
        </w:tc>
        <w:tc>
          <w:tcPr>
            <w:tcW w:w="2126" w:type="dxa"/>
          </w:tcPr>
          <w:p w:rsidR="00341240" w:rsidRPr="00341240" w:rsidRDefault="00341240" w:rsidP="00341240">
            <w:pPr>
              <w:jc w:val="right"/>
              <w:rPr>
                <w:rFonts w:ascii="Times New Roman" w:eastAsia="MS Mincho" w:hAnsi="Times New Roman"/>
                <w:noProof/>
                <w:snapToGrid w:val="0"/>
                <w:sz w:val="16"/>
                <w:szCs w:val="16"/>
                <w:lang w:eastAsia="x-none"/>
              </w:rPr>
            </w:pPr>
            <w:r w:rsidRPr="00341240">
              <w:rPr>
                <w:rFonts w:ascii="Times New Roman" w:eastAsia="MS Mincho" w:hAnsi="Times New Roman"/>
                <w:noProof/>
                <w:snapToGrid w:val="0"/>
                <w:sz w:val="16"/>
                <w:szCs w:val="16"/>
                <w:lang w:eastAsia="x-none"/>
              </w:rPr>
              <w:t>27 688 179</w:t>
            </w:r>
          </w:p>
        </w:tc>
      </w:tr>
      <w:tr w:rsidR="00341240" w:rsidRPr="00341240" w:rsidTr="00411971">
        <w:tc>
          <w:tcPr>
            <w:tcW w:w="5245" w:type="dxa"/>
          </w:tcPr>
          <w:p w:rsidR="00341240" w:rsidRPr="00341240" w:rsidRDefault="00341240" w:rsidP="00341240">
            <w:pPr>
              <w:jc w:val="both"/>
              <w:rPr>
                <w:rFonts w:ascii="Times New Roman" w:eastAsia="MS Mincho" w:hAnsi="Times New Roman"/>
                <w:noProof/>
                <w:snapToGrid w:val="0"/>
                <w:sz w:val="18"/>
                <w:szCs w:val="18"/>
                <w:lang w:eastAsia="x-none"/>
              </w:rPr>
            </w:pPr>
            <w:r w:rsidRPr="00341240">
              <w:rPr>
                <w:rFonts w:ascii="Times New Roman" w:eastAsia="MS Mincho" w:hAnsi="Times New Roman"/>
                <w:noProof/>
                <w:snapToGrid w:val="0"/>
                <w:sz w:val="18"/>
                <w:szCs w:val="18"/>
                <w:lang w:eastAsia="x-none"/>
              </w:rPr>
              <w:t>Основной капитал</w:t>
            </w:r>
          </w:p>
        </w:tc>
        <w:tc>
          <w:tcPr>
            <w:tcW w:w="1985" w:type="dxa"/>
          </w:tcPr>
          <w:p w:rsidR="00341240" w:rsidRPr="00341240" w:rsidRDefault="00341240" w:rsidP="00341240">
            <w:pPr>
              <w:jc w:val="right"/>
              <w:rPr>
                <w:rFonts w:ascii="Times New Roman" w:eastAsia="MS Mincho" w:hAnsi="Times New Roman"/>
                <w:noProof/>
                <w:snapToGrid w:val="0"/>
                <w:sz w:val="16"/>
                <w:szCs w:val="16"/>
                <w:lang w:eastAsia="x-none"/>
              </w:rPr>
            </w:pPr>
            <w:r w:rsidRPr="00341240">
              <w:rPr>
                <w:rFonts w:ascii="Times New Roman" w:eastAsia="MS Mincho" w:hAnsi="Times New Roman"/>
                <w:noProof/>
                <w:snapToGrid w:val="0"/>
                <w:sz w:val="16"/>
                <w:szCs w:val="16"/>
                <w:lang w:eastAsia="x-none"/>
              </w:rPr>
              <w:t>31 346 599</w:t>
            </w:r>
          </w:p>
        </w:tc>
        <w:tc>
          <w:tcPr>
            <w:tcW w:w="2126" w:type="dxa"/>
          </w:tcPr>
          <w:p w:rsidR="00341240" w:rsidRPr="00341240" w:rsidRDefault="00341240" w:rsidP="00341240">
            <w:pPr>
              <w:jc w:val="right"/>
              <w:rPr>
                <w:rFonts w:ascii="Times New Roman" w:eastAsia="MS Mincho" w:hAnsi="Times New Roman"/>
                <w:noProof/>
                <w:snapToGrid w:val="0"/>
                <w:sz w:val="16"/>
                <w:szCs w:val="16"/>
                <w:lang w:eastAsia="x-none"/>
              </w:rPr>
            </w:pPr>
            <w:r w:rsidRPr="00341240">
              <w:rPr>
                <w:rFonts w:ascii="Times New Roman" w:eastAsia="MS Mincho" w:hAnsi="Times New Roman"/>
                <w:noProof/>
                <w:snapToGrid w:val="0"/>
                <w:sz w:val="16"/>
                <w:szCs w:val="16"/>
                <w:lang w:eastAsia="x-none"/>
              </w:rPr>
              <w:t>27 688 179</w:t>
            </w:r>
          </w:p>
        </w:tc>
      </w:tr>
      <w:tr w:rsidR="00341240" w:rsidRPr="00341240" w:rsidTr="00411971">
        <w:tc>
          <w:tcPr>
            <w:tcW w:w="5245" w:type="dxa"/>
          </w:tcPr>
          <w:p w:rsidR="00341240" w:rsidRPr="00341240" w:rsidRDefault="00341240" w:rsidP="00341240">
            <w:pPr>
              <w:jc w:val="both"/>
              <w:rPr>
                <w:rFonts w:ascii="Times New Roman" w:eastAsia="MS Mincho" w:hAnsi="Times New Roman"/>
                <w:noProof/>
                <w:snapToGrid w:val="0"/>
                <w:sz w:val="18"/>
                <w:szCs w:val="18"/>
                <w:lang w:eastAsia="x-none"/>
              </w:rPr>
            </w:pPr>
            <w:r w:rsidRPr="00341240">
              <w:rPr>
                <w:rFonts w:ascii="Times New Roman" w:eastAsia="MS Mincho" w:hAnsi="Times New Roman"/>
                <w:noProof/>
                <w:snapToGrid w:val="0"/>
                <w:sz w:val="18"/>
                <w:szCs w:val="18"/>
                <w:lang w:eastAsia="x-none"/>
              </w:rPr>
              <w:t>Дополнительный капитал</w:t>
            </w:r>
          </w:p>
        </w:tc>
        <w:tc>
          <w:tcPr>
            <w:tcW w:w="1985" w:type="dxa"/>
          </w:tcPr>
          <w:p w:rsidR="00341240" w:rsidRPr="00341240" w:rsidRDefault="00341240" w:rsidP="00341240">
            <w:pPr>
              <w:jc w:val="right"/>
              <w:rPr>
                <w:rFonts w:ascii="Times New Roman" w:eastAsia="MS Mincho" w:hAnsi="Times New Roman"/>
                <w:noProof/>
                <w:snapToGrid w:val="0"/>
                <w:sz w:val="16"/>
                <w:szCs w:val="16"/>
                <w:lang w:eastAsia="x-none"/>
              </w:rPr>
            </w:pPr>
            <w:r w:rsidRPr="00341240">
              <w:rPr>
                <w:rFonts w:ascii="Times New Roman" w:eastAsia="MS Mincho" w:hAnsi="Times New Roman"/>
                <w:noProof/>
                <w:snapToGrid w:val="0"/>
                <w:sz w:val="16"/>
                <w:szCs w:val="16"/>
                <w:lang w:eastAsia="x-none"/>
              </w:rPr>
              <w:t>22 784 285</w:t>
            </w:r>
          </w:p>
        </w:tc>
        <w:tc>
          <w:tcPr>
            <w:tcW w:w="2126" w:type="dxa"/>
          </w:tcPr>
          <w:p w:rsidR="00341240" w:rsidRPr="00341240" w:rsidRDefault="00341240" w:rsidP="00341240">
            <w:pPr>
              <w:jc w:val="right"/>
              <w:rPr>
                <w:rFonts w:ascii="Times New Roman" w:eastAsia="MS Mincho" w:hAnsi="Times New Roman"/>
                <w:noProof/>
                <w:snapToGrid w:val="0"/>
                <w:sz w:val="16"/>
                <w:szCs w:val="16"/>
                <w:lang w:eastAsia="x-none"/>
              </w:rPr>
            </w:pPr>
            <w:r w:rsidRPr="00341240">
              <w:rPr>
                <w:rFonts w:ascii="Times New Roman" w:eastAsia="MS Mincho" w:hAnsi="Times New Roman"/>
                <w:noProof/>
                <w:snapToGrid w:val="0"/>
                <w:sz w:val="16"/>
                <w:szCs w:val="16"/>
                <w:lang w:eastAsia="x-none"/>
              </w:rPr>
              <w:t>10 853 957</w:t>
            </w:r>
          </w:p>
        </w:tc>
      </w:tr>
    </w:tbl>
    <w:p w:rsidR="00341240" w:rsidRPr="00341240" w:rsidRDefault="00341240" w:rsidP="00341240">
      <w:pPr>
        <w:spacing w:after="0" w:line="240" w:lineRule="auto"/>
        <w:ind w:firstLine="476"/>
        <w:jc w:val="both"/>
        <w:rPr>
          <w:rFonts w:ascii="Times New Roman" w:eastAsia="Calibri" w:hAnsi="Times New Roman" w:cs="Times New Roman"/>
          <w:sz w:val="24"/>
          <w:szCs w:val="24"/>
        </w:rPr>
      </w:pPr>
      <w:bookmarkStart w:id="1" w:name="_Toc321828812"/>
      <w:bookmarkStart w:id="2" w:name="_Toc321829105"/>
      <w:bookmarkStart w:id="3" w:name="_Toc321829397"/>
      <w:bookmarkStart w:id="4" w:name="_Toc321829689"/>
      <w:bookmarkStart w:id="5" w:name="_Toc321829919"/>
      <w:bookmarkStart w:id="6" w:name="_Toc321837644"/>
      <w:bookmarkStart w:id="7" w:name="_Toc321845107"/>
      <w:bookmarkStart w:id="8" w:name="_Toc321912527"/>
      <w:bookmarkStart w:id="9" w:name="_Toc321828813"/>
      <w:bookmarkStart w:id="10" w:name="_Toc321829106"/>
      <w:bookmarkStart w:id="11" w:name="_Toc321829398"/>
      <w:bookmarkStart w:id="12" w:name="_Toc321829690"/>
      <w:bookmarkStart w:id="13" w:name="_Toc321829920"/>
      <w:bookmarkStart w:id="14" w:name="_Toc321837645"/>
      <w:bookmarkStart w:id="15" w:name="_Toc321845108"/>
      <w:bookmarkStart w:id="16" w:name="_Toc321912528"/>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Pr="00341240">
        <w:rPr>
          <w:rFonts w:ascii="Times New Roman" w:eastAsia="Calibri" w:hAnsi="Times New Roman" w:cs="Times New Roman"/>
          <w:sz w:val="24"/>
          <w:szCs w:val="24"/>
        </w:rPr>
        <w:t>В отчетном периоде Банк в полном объеме выполнял все предусмотренные требования к достаточности капитала.</w:t>
      </w:r>
    </w:p>
    <w:p w:rsidR="00341240" w:rsidRPr="00341240" w:rsidRDefault="00341240" w:rsidP="00341240">
      <w:pPr>
        <w:spacing w:after="0" w:line="240" w:lineRule="auto"/>
        <w:ind w:firstLine="476"/>
        <w:jc w:val="both"/>
        <w:rPr>
          <w:rFonts w:ascii="Times New Roman" w:eastAsia="Calibri" w:hAnsi="Times New Roman" w:cs="Times New Roman"/>
          <w:sz w:val="24"/>
          <w:szCs w:val="24"/>
        </w:rPr>
      </w:pPr>
    </w:p>
    <w:p w:rsidR="00341240" w:rsidRPr="00341240" w:rsidRDefault="00341240" w:rsidP="00341240">
      <w:pPr>
        <w:spacing w:after="0" w:line="240" w:lineRule="auto"/>
        <w:ind w:firstLine="476"/>
        <w:jc w:val="both"/>
        <w:rPr>
          <w:rFonts w:ascii="Times New Roman" w:eastAsia="Calibri" w:hAnsi="Times New Roman" w:cs="Times New Roman"/>
        </w:rPr>
      </w:pPr>
    </w:p>
    <w:p w:rsidR="00341240" w:rsidRPr="00341240" w:rsidRDefault="00341240" w:rsidP="00341240">
      <w:pPr>
        <w:spacing w:after="0" w:line="240" w:lineRule="auto"/>
        <w:ind w:firstLine="476"/>
        <w:jc w:val="both"/>
        <w:rPr>
          <w:rFonts w:ascii="Times New Roman" w:eastAsia="Calibri" w:hAnsi="Times New Roman" w:cs="Times New Roman"/>
        </w:rPr>
      </w:pPr>
    </w:p>
    <w:tbl>
      <w:tblPr>
        <w:tblW w:w="9367" w:type="dxa"/>
        <w:tblInd w:w="93" w:type="dxa"/>
        <w:tblLook w:val="04A0" w:firstRow="1" w:lastRow="0" w:firstColumn="1" w:lastColumn="0" w:noHBand="0" w:noVBand="1"/>
      </w:tblPr>
      <w:tblGrid>
        <w:gridCol w:w="1179"/>
        <w:gridCol w:w="781"/>
        <w:gridCol w:w="944"/>
        <w:gridCol w:w="979"/>
        <w:gridCol w:w="914"/>
        <w:gridCol w:w="914"/>
        <w:gridCol w:w="914"/>
        <w:gridCol w:w="914"/>
        <w:gridCol w:w="914"/>
        <w:gridCol w:w="914"/>
      </w:tblGrid>
      <w:tr w:rsidR="00341240" w:rsidRPr="00341240" w:rsidTr="00411971">
        <w:trPr>
          <w:trHeight w:val="242"/>
        </w:trPr>
        <w:tc>
          <w:tcPr>
            <w:tcW w:w="117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6"/>
                <w:szCs w:val="16"/>
                <w:lang w:val="en-US"/>
              </w:rPr>
            </w:pPr>
            <w:r w:rsidRPr="00341240">
              <w:rPr>
                <w:rFonts w:ascii="Times New Roman" w:eastAsia="Times New Roman" w:hAnsi="Times New Roman" w:cs="Times New Roman"/>
                <w:b/>
                <w:bCs/>
                <w:color w:val="000000"/>
                <w:sz w:val="16"/>
                <w:szCs w:val="16"/>
                <w:lang w:val="en-US"/>
              </w:rPr>
              <w:t>Год</w:t>
            </w:r>
          </w:p>
        </w:tc>
        <w:tc>
          <w:tcPr>
            <w:tcW w:w="781" w:type="dxa"/>
            <w:tcBorders>
              <w:top w:val="single" w:sz="8" w:space="0" w:color="auto"/>
              <w:left w:val="nil"/>
              <w:bottom w:val="single" w:sz="8" w:space="0" w:color="auto"/>
              <w:right w:val="single" w:sz="8" w:space="0" w:color="auto"/>
            </w:tcBorders>
            <w:shd w:val="clear" w:color="000000" w:fill="FFFFFF"/>
            <w:noWrap/>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6"/>
                <w:szCs w:val="16"/>
                <w:lang w:val="en-US"/>
              </w:rPr>
            </w:pPr>
            <w:r w:rsidRPr="00341240">
              <w:rPr>
                <w:rFonts w:ascii="Times New Roman" w:eastAsia="Times New Roman" w:hAnsi="Times New Roman" w:cs="Times New Roman"/>
                <w:b/>
                <w:bCs/>
                <w:color w:val="000000"/>
                <w:sz w:val="16"/>
                <w:szCs w:val="16"/>
                <w:lang w:val="en-US"/>
              </w:rPr>
              <w:t>2007</w:t>
            </w:r>
          </w:p>
        </w:tc>
        <w:tc>
          <w:tcPr>
            <w:tcW w:w="944" w:type="dxa"/>
            <w:tcBorders>
              <w:top w:val="single" w:sz="8" w:space="0" w:color="auto"/>
              <w:left w:val="nil"/>
              <w:bottom w:val="single" w:sz="8" w:space="0" w:color="auto"/>
              <w:right w:val="single" w:sz="8" w:space="0" w:color="auto"/>
            </w:tcBorders>
            <w:shd w:val="clear" w:color="000000" w:fill="FFFFFF"/>
            <w:noWrap/>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6"/>
                <w:szCs w:val="16"/>
                <w:lang w:val="en-US"/>
              </w:rPr>
            </w:pPr>
            <w:r w:rsidRPr="00341240">
              <w:rPr>
                <w:rFonts w:ascii="Times New Roman" w:eastAsia="Times New Roman" w:hAnsi="Times New Roman" w:cs="Times New Roman"/>
                <w:b/>
                <w:bCs/>
                <w:color w:val="000000"/>
                <w:sz w:val="16"/>
                <w:szCs w:val="16"/>
                <w:lang w:val="en-US"/>
              </w:rPr>
              <w:t>2008</w:t>
            </w:r>
          </w:p>
        </w:tc>
        <w:tc>
          <w:tcPr>
            <w:tcW w:w="979" w:type="dxa"/>
            <w:tcBorders>
              <w:top w:val="single" w:sz="8" w:space="0" w:color="auto"/>
              <w:left w:val="nil"/>
              <w:bottom w:val="single" w:sz="8" w:space="0" w:color="auto"/>
              <w:right w:val="single" w:sz="8" w:space="0" w:color="auto"/>
            </w:tcBorders>
            <w:shd w:val="clear" w:color="000000" w:fill="FFFFFF"/>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6"/>
                <w:szCs w:val="16"/>
                <w:lang w:val="en-US"/>
              </w:rPr>
            </w:pPr>
            <w:r w:rsidRPr="00341240">
              <w:rPr>
                <w:rFonts w:ascii="Times New Roman" w:eastAsia="Times New Roman" w:hAnsi="Times New Roman" w:cs="Times New Roman"/>
                <w:b/>
                <w:bCs/>
                <w:color w:val="000000"/>
                <w:sz w:val="16"/>
                <w:szCs w:val="16"/>
                <w:lang w:val="en-US"/>
              </w:rPr>
              <w:t>2009</w:t>
            </w:r>
          </w:p>
        </w:tc>
        <w:tc>
          <w:tcPr>
            <w:tcW w:w="914" w:type="dxa"/>
            <w:tcBorders>
              <w:top w:val="single" w:sz="8" w:space="0" w:color="auto"/>
              <w:left w:val="nil"/>
              <w:bottom w:val="single" w:sz="8" w:space="0" w:color="auto"/>
              <w:right w:val="single" w:sz="8" w:space="0" w:color="auto"/>
            </w:tcBorders>
            <w:shd w:val="clear" w:color="000000" w:fill="FFFFFF"/>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6"/>
                <w:szCs w:val="16"/>
                <w:lang w:val="en-US"/>
              </w:rPr>
            </w:pPr>
            <w:r w:rsidRPr="00341240">
              <w:rPr>
                <w:rFonts w:ascii="Times New Roman" w:eastAsia="Times New Roman" w:hAnsi="Times New Roman" w:cs="Times New Roman"/>
                <w:b/>
                <w:bCs/>
                <w:color w:val="000000"/>
                <w:sz w:val="16"/>
                <w:szCs w:val="16"/>
                <w:lang w:val="en-US"/>
              </w:rPr>
              <w:t>2010</w:t>
            </w:r>
          </w:p>
        </w:tc>
        <w:tc>
          <w:tcPr>
            <w:tcW w:w="914" w:type="dxa"/>
            <w:tcBorders>
              <w:top w:val="single" w:sz="8" w:space="0" w:color="auto"/>
              <w:left w:val="nil"/>
              <w:bottom w:val="single" w:sz="8" w:space="0" w:color="auto"/>
              <w:right w:val="single" w:sz="8" w:space="0" w:color="auto"/>
            </w:tcBorders>
            <w:shd w:val="clear" w:color="000000" w:fill="FFFFFF"/>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6"/>
                <w:szCs w:val="16"/>
                <w:lang w:val="en-US"/>
              </w:rPr>
            </w:pPr>
            <w:r w:rsidRPr="00341240">
              <w:rPr>
                <w:rFonts w:ascii="Times New Roman" w:eastAsia="Times New Roman" w:hAnsi="Times New Roman" w:cs="Times New Roman"/>
                <w:b/>
                <w:bCs/>
                <w:color w:val="000000"/>
                <w:sz w:val="16"/>
                <w:szCs w:val="16"/>
                <w:lang w:val="en-US"/>
              </w:rPr>
              <w:t>2011</w:t>
            </w:r>
          </w:p>
        </w:tc>
        <w:tc>
          <w:tcPr>
            <w:tcW w:w="914" w:type="dxa"/>
            <w:tcBorders>
              <w:top w:val="single" w:sz="8" w:space="0" w:color="auto"/>
              <w:left w:val="nil"/>
              <w:bottom w:val="single" w:sz="8" w:space="0" w:color="auto"/>
              <w:right w:val="single" w:sz="8" w:space="0" w:color="auto"/>
            </w:tcBorders>
            <w:shd w:val="clear" w:color="000000" w:fill="FFFFFF"/>
            <w:noWrap/>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6"/>
                <w:szCs w:val="16"/>
                <w:lang w:val="en-US"/>
              </w:rPr>
            </w:pPr>
            <w:r w:rsidRPr="00341240">
              <w:rPr>
                <w:rFonts w:ascii="Times New Roman" w:eastAsia="Times New Roman" w:hAnsi="Times New Roman" w:cs="Times New Roman"/>
                <w:b/>
                <w:bCs/>
                <w:color w:val="000000"/>
                <w:sz w:val="16"/>
                <w:szCs w:val="16"/>
                <w:lang w:val="en-US"/>
              </w:rPr>
              <w:t>2012</w:t>
            </w:r>
          </w:p>
        </w:tc>
        <w:tc>
          <w:tcPr>
            <w:tcW w:w="914" w:type="dxa"/>
            <w:tcBorders>
              <w:top w:val="single" w:sz="8" w:space="0" w:color="auto"/>
              <w:left w:val="nil"/>
              <w:bottom w:val="single" w:sz="8" w:space="0" w:color="auto"/>
              <w:right w:val="single" w:sz="8" w:space="0" w:color="auto"/>
            </w:tcBorders>
            <w:shd w:val="clear" w:color="000000" w:fill="FFFFFF"/>
            <w:noWrap/>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6"/>
                <w:szCs w:val="16"/>
                <w:lang w:val="en-US"/>
              </w:rPr>
            </w:pPr>
            <w:r w:rsidRPr="00341240">
              <w:rPr>
                <w:rFonts w:ascii="Times New Roman" w:eastAsia="Times New Roman" w:hAnsi="Times New Roman" w:cs="Times New Roman"/>
                <w:b/>
                <w:bCs/>
                <w:color w:val="000000"/>
                <w:sz w:val="16"/>
                <w:szCs w:val="16"/>
                <w:lang w:val="en-US"/>
              </w:rPr>
              <w:t>2013</w:t>
            </w:r>
          </w:p>
        </w:tc>
        <w:tc>
          <w:tcPr>
            <w:tcW w:w="914" w:type="dxa"/>
            <w:tcBorders>
              <w:top w:val="single" w:sz="8" w:space="0" w:color="auto"/>
              <w:left w:val="nil"/>
              <w:bottom w:val="single" w:sz="8" w:space="0" w:color="auto"/>
              <w:right w:val="single" w:sz="8" w:space="0" w:color="auto"/>
            </w:tcBorders>
            <w:shd w:val="clear" w:color="000000" w:fill="FFFFFF"/>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6"/>
                <w:szCs w:val="16"/>
                <w:lang w:val="en-US"/>
              </w:rPr>
            </w:pPr>
            <w:r w:rsidRPr="00341240">
              <w:rPr>
                <w:rFonts w:ascii="Times New Roman" w:eastAsia="Times New Roman" w:hAnsi="Times New Roman" w:cs="Times New Roman"/>
                <w:b/>
                <w:bCs/>
                <w:color w:val="000000"/>
                <w:sz w:val="16"/>
                <w:szCs w:val="16"/>
                <w:lang w:val="en-US"/>
              </w:rPr>
              <w:t>2014</w:t>
            </w:r>
          </w:p>
        </w:tc>
        <w:tc>
          <w:tcPr>
            <w:tcW w:w="914" w:type="dxa"/>
            <w:tcBorders>
              <w:top w:val="single" w:sz="8" w:space="0" w:color="auto"/>
              <w:left w:val="nil"/>
              <w:bottom w:val="single" w:sz="8" w:space="0" w:color="auto"/>
              <w:right w:val="single" w:sz="8" w:space="0" w:color="auto"/>
            </w:tcBorders>
            <w:shd w:val="clear" w:color="000000" w:fill="FFFFFF"/>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6"/>
                <w:szCs w:val="16"/>
                <w:lang w:val="en-US"/>
              </w:rPr>
            </w:pPr>
            <w:r w:rsidRPr="00341240">
              <w:rPr>
                <w:rFonts w:ascii="Times New Roman" w:eastAsia="Times New Roman" w:hAnsi="Times New Roman" w:cs="Times New Roman"/>
                <w:b/>
                <w:bCs/>
                <w:color w:val="000000"/>
                <w:sz w:val="16"/>
                <w:szCs w:val="16"/>
                <w:lang w:val="en-US"/>
              </w:rPr>
              <w:t>2015</w:t>
            </w:r>
          </w:p>
        </w:tc>
      </w:tr>
      <w:tr w:rsidR="00341240" w:rsidRPr="00341240" w:rsidTr="00411971">
        <w:trPr>
          <w:trHeight w:val="651"/>
        </w:trPr>
        <w:tc>
          <w:tcPr>
            <w:tcW w:w="1179" w:type="dxa"/>
            <w:tcBorders>
              <w:top w:val="nil"/>
              <w:left w:val="single" w:sz="8" w:space="0" w:color="auto"/>
              <w:bottom w:val="single" w:sz="8" w:space="0" w:color="auto"/>
              <w:right w:val="single" w:sz="8" w:space="0" w:color="auto"/>
            </w:tcBorders>
            <w:shd w:val="clear" w:color="auto" w:fill="auto"/>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6"/>
                <w:szCs w:val="16"/>
                <w:lang w:val="en-US"/>
              </w:rPr>
            </w:pPr>
            <w:r w:rsidRPr="00341240">
              <w:rPr>
                <w:rFonts w:ascii="Times New Roman" w:eastAsia="Times New Roman" w:hAnsi="Times New Roman" w:cs="Times New Roman"/>
                <w:b/>
                <w:bCs/>
                <w:color w:val="000000"/>
                <w:sz w:val="16"/>
                <w:szCs w:val="16"/>
                <w:lang w:val="en-US"/>
              </w:rPr>
              <w:t>Собственные средства (капитал)</w:t>
            </w:r>
          </w:p>
        </w:tc>
        <w:tc>
          <w:tcPr>
            <w:tcW w:w="781" w:type="dxa"/>
            <w:tcBorders>
              <w:top w:val="nil"/>
              <w:left w:val="nil"/>
              <w:bottom w:val="single" w:sz="8" w:space="0" w:color="auto"/>
              <w:right w:val="single" w:sz="8" w:space="0" w:color="auto"/>
            </w:tcBorders>
            <w:shd w:val="clear" w:color="000000" w:fill="FFFFFF"/>
            <w:noWrap/>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4"/>
                <w:szCs w:val="14"/>
                <w:lang w:val="en-US"/>
              </w:rPr>
            </w:pPr>
            <w:r w:rsidRPr="00341240">
              <w:rPr>
                <w:rFonts w:ascii="Times New Roman" w:eastAsia="Times New Roman" w:hAnsi="Times New Roman" w:cs="Times New Roman"/>
                <w:b/>
                <w:bCs/>
                <w:color w:val="000000"/>
                <w:sz w:val="14"/>
                <w:szCs w:val="14"/>
                <w:lang w:val="en-US"/>
              </w:rPr>
              <w:t>715 875</w:t>
            </w:r>
          </w:p>
        </w:tc>
        <w:tc>
          <w:tcPr>
            <w:tcW w:w="944" w:type="dxa"/>
            <w:tcBorders>
              <w:top w:val="nil"/>
              <w:left w:val="nil"/>
              <w:bottom w:val="single" w:sz="8" w:space="0" w:color="auto"/>
              <w:right w:val="single" w:sz="8" w:space="0" w:color="auto"/>
            </w:tcBorders>
            <w:shd w:val="clear" w:color="000000" w:fill="FFFFFF"/>
            <w:noWrap/>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4"/>
                <w:szCs w:val="14"/>
                <w:lang w:val="en-US"/>
              </w:rPr>
            </w:pPr>
            <w:r w:rsidRPr="00341240">
              <w:rPr>
                <w:rFonts w:ascii="Times New Roman" w:eastAsia="Times New Roman" w:hAnsi="Times New Roman" w:cs="Times New Roman"/>
                <w:b/>
                <w:bCs/>
                <w:color w:val="000000"/>
                <w:sz w:val="14"/>
                <w:szCs w:val="14"/>
                <w:lang w:val="en-US"/>
              </w:rPr>
              <w:t>2 131 622</w:t>
            </w:r>
          </w:p>
        </w:tc>
        <w:tc>
          <w:tcPr>
            <w:tcW w:w="979" w:type="dxa"/>
            <w:tcBorders>
              <w:top w:val="nil"/>
              <w:left w:val="nil"/>
              <w:bottom w:val="single" w:sz="8" w:space="0" w:color="auto"/>
              <w:right w:val="single" w:sz="8" w:space="0" w:color="auto"/>
            </w:tcBorders>
            <w:shd w:val="clear" w:color="000000" w:fill="FFFFFF"/>
            <w:noWrap/>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4"/>
                <w:szCs w:val="14"/>
                <w:lang w:val="en-US"/>
              </w:rPr>
            </w:pPr>
            <w:r w:rsidRPr="00341240">
              <w:rPr>
                <w:rFonts w:ascii="Times New Roman" w:eastAsia="Times New Roman" w:hAnsi="Times New Roman" w:cs="Times New Roman"/>
                <w:b/>
                <w:bCs/>
                <w:color w:val="000000"/>
                <w:sz w:val="14"/>
                <w:szCs w:val="14"/>
                <w:lang w:val="en-US"/>
              </w:rPr>
              <w:t>4 251 640</w:t>
            </w:r>
          </w:p>
        </w:tc>
        <w:tc>
          <w:tcPr>
            <w:tcW w:w="914" w:type="dxa"/>
            <w:tcBorders>
              <w:top w:val="nil"/>
              <w:left w:val="nil"/>
              <w:bottom w:val="single" w:sz="8" w:space="0" w:color="auto"/>
              <w:right w:val="single" w:sz="8" w:space="0" w:color="auto"/>
            </w:tcBorders>
            <w:shd w:val="clear" w:color="000000" w:fill="FFFFFF"/>
            <w:noWrap/>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4"/>
                <w:szCs w:val="14"/>
                <w:lang w:val="en-US"/>
              </w:rPr>
            </w:pPr>
            <w:r w:rsidRPr="00341240">
              <w:rPr>
                <w:rFonts w:ascii="Times New Roman" w:eastAsia="Times New Roman" w:hAnsi="Times New Roman" w:cs="Times New Roman"/>
                <w:b/>
                <w:bCs/>
                <w:color w:val="000000"/>
                <w:sz w:val="14"/>
                <w:szCs w:val="14"/>
                <w:lang w:val="en-US"/>
              </w:rPr>
              <w:t>8 126 112</w:t>
            </w:r>
          </w:p>
        </w:tc>
        <w:tc>
          <w:tcPr>
            <w:tcW w:w="914" w:type="dxa"/>
            <w:tcBorders>
              <w:top w:val="nil"/>
              <w:left w:val="nil"/>
              <w:bottom w:val="single" w:sz="8" w:space="0" w:color="auto"/>
              <w:right w:val="single" w:sz="8" w:space="0" w:color="auto"/>
            </w:tcBorders>
            <w:shd w:val="clear" w:color="000000" w:fill="FFFFFF"/>
            <w:noWrap/>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4"/>
                <w:szCs w:val="14"/>
                <w:lang w:val="en-US"/>
              </w:rPr>
            </w:pPr>
            <w:r w:rsidRPr="00341240">
              <w:rPr>
                <w:rFonts w:ascii="Times New Roman" w:eastAsia="Times New Roman" w:hAnsi="Times New Roman" w:cs="Times New Roman"/>
                <w:b/>
                <w:bCs/>
                <w:color w:val="000000"/>
                <w:sz w:val="14"/>
                <w:szCs w:val="14"/>
                <w:lang w:val="en-US"/>
              </w:rPr>
              <w:t>9 999 913</w:t>
            </w:r>
          </w:p>
        </w:tc>
        <w:tc>
          <w:tcPr>
            <w:tcW w:w="914" w:type="dxa"/>
            <w:tcBorders>
              <w:top w:val="nil"/>
              <w:left w:val="nil"/>
              <w:bottom w:val="single" w:sz="8" w:space="0" w:color="auto"/>
              <w:right w:val="single" w:sz="8" w:space="0" w:color="auto"/>
            </w:tcBorders>
            <w:shd w:val="clear" w:color="000000" w:fill="FFFFFF"/>
            <w:noWrap/>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4"/>
                <w:szCs w:val="14"/>
                <w:lang w:val="en-US"/>
              </w:rPr>
            </w:pPr>
            <w:r w:rsidRPr="00341240">
              <w:rPr>
                <w:rFonts w:ascii="Times New Roman" w:eastAsia="Times New Roman" w:hAnsi="Times New Roman" w:cs="Times New Roman"/>
                <w:b/>
                <w:bCs/>
                <w:color w:val="000000"/>
                <w:sz w:val="14"/>
                <w:szCs w:val="14"/>
                <w:lang w:val="en-US"/>
              </w:rPr>
              <w:t>13 501 400</w:t>
            </w:r>
          </w:p>
        </w:tc>
        <w:tc>
          <w:tcPr>
            <w:tcW w:w="914" w:type="dxa"/>
            <w:tcBorders>
              <w:top w:val="nil"/>
              <w:left w:val="nil"/>
              <w:bottom w:val="single" w:sz="8" w:space="0" w:color="auto"/>
              <w:right w:val="single" w:sz="8" w:space="0" w:color="auto"/>
            </w:tcBorders>
            <w:shd w:val="clear" w:color="000000" w:fill="FFFFFF"/>
            <w:noWrap/>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4"/>
                <w:szCs w:val="14"/>
                <w:lang w:val="en-US"/>
              </w:rPr>
            </w:pPr>
            <w:r w:rsidRPr="00341240">
              <w:rPr>
                <w:rFonts w:ascii="Times New Roman" w:eastAsia="Times New Roman" w:hAnsi="Times New Roman" w:cs="Times New Roman"/>
                <w:b/>
                <w:bCs/>
                <w:color w:val="000000"/>
                <w:sz w:val="14"/>
                <w:szCs w:val="14"/>
                <w:lang w:val="en-US"/>
              </w:rPr>
              <w:t>28 839 271</w:t>
            </w:r>
          </w:p>
        </w:tc>
        <w:tc>
          <w:tcPr>
            <w:tcW w:w="914" w:type="dxa"/>
            <w:tcBorders>
              <w:top w:val="nil"/>
              <w:left w:val="nil"/>
              <w:bottom w:val="single" w:sz="8" w:space="0" w:color="auto"/>
              <w:right w:val="single" w:sz="8" w:space="0" w:color="auto"/>
            </w:tcBorders>
            <w:shd w:val="clear" w:color="000000" w:fill="FFFFFF"/>
            <w:noWrap/>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4"/>
                <w:szCs w:val="14"/>
                <w:lang w:val="en-US"/>
              </w:rPr>
            </w:pPr>
            <w:r w:rsidRPr="00341240">
              <w:rPr>
                <w:rFonts w:ascii="Times New Roman" w:eastAsia="Times New Roman" w:hAnsi="Times New Roman" w:cs="Times New Roman"/>
                <w:b/>
                <w:bCs/>
                <w:color w:val="000000"/>
                <w:sz w:val="14"/>
                <w:szCs w:val="14"/>
                <w:lang w:val="en-US"/>
              </w:rPr>
              <w:t>38 542 136</w:t>
            </w:r>
          </w:p>
        </w:tc>
        <w:tc>
          <w:tcPr>
            <w:tcW w:w="914" w:type="dxa"/>
            <w:tcBorders>
              <w:top w:val="nil"/>
              <w:left w:val="nil"/>
              <w:bottom w:val="single" w:sz="8" w:space="0" w:color="auto"/>
              <w:right w:val="single" w:sz="8" w:space="0" w:color="auto"/>
            </w:tcBorders>
            <w:shd w:val="clear" w:color="000000" w:fill="FFFFFF"/>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4"/>
                <w:szCs w:val="14"/>
                <w:lang w:val="en-US"/>
              </w:rPr>
            </w:pPr>
            <w:r w:rsidRPr="00341240">
              <w:rPr>
                <w:rFonts w:ascii="Times New Roman" w:eastAsia="Times New Roman" w:hAnsi="Times New Roman" w:cs="Times New Roman"/>
                <w:b/>
                <w:bCs/>
                <w:color w:val="000000"/>
                <w:sz w:val="14"/>
                <w:szCs w:val="14"/>
                <w:lang w:val="en-US"/>
              </w:rPr>
              <w:t>54 130 884</w:t>
            </w:r>
          </w:p>
        </w:tc>
      </w:tr>
      <w:tr w:rsidR="00341240" w:rsidRPr="00341240" w:rsidTr="00411971">
        <w:trPr>
          <w:trHeight w:val="242"/>
        </w:trPr>
        <w:tc>
          <w:tcPr>
            <w:tcW w:w="1179" w:type="dxa"/>
            <w:tcBorders>
              <w:top w:val="nil"/>
              <w:left w:val="single" w:sz="8" w:space="0" w:color="auto"/>
              <w:bottom w:val="single" w:sz="8" w:space="0" w:color="auto"/>
              <w:right w:val="single" w:sz="8" w:space="0" w:color="auto"/>
            </w:tcBorders>
            <w:shd w:val="clear" w:color="auto" w:fill="auto"/>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6"/>
                <w:szCs w:val="16"/>
                <w:lang w:val="en-US"/>
              </w:rPr>
            </w:pPr>
            <w:r w:rsidRPr="00341240">
              <w:rPr>
                <w:rFonts w:ascii="Times New Roman" w:eastAsia="Times New Roman" w:hAnsi="Times New Roman" w:cs="Times New Roman"/>
                <w:b/>
                <w:bCs/>
                <w:color w:val="000000"/>
                <w:sz w:val="16"/>
                <w:szCs w:val="16"/>
                <w:lang w:val="en-US"/>
              </w:rPr>
              <w:t>Прибыль</w:t>
            </w:r>
          </w:p>
        </w:tc>
        <w:tc>
          <w:tcPr>
            <w:tcW w:w="781" w:type="dxa"/>
            <w:tcBorders>
              <w:top w:val="nil"/>
              <w:left w:val="nil"/>
              <w:bottom w:val="single" w:sz="8" w:space="0" w:color="auto"/>
              <w:right w:val="single" w:sz="8" w:space="0" w:color="auto"/>
            </w:tcBorders>
            <w:shd w:val="clear" w:color="000000" w:fill="FFFFFF"/>
            <w:noWrap/>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4"/>
                <w:szCs w:val="14"/>
                <w:lang w:val="en-US"/>
              </w:rPr>
            </w:pPr>
            <w:r w:rsidRPr="00341240">
              <w:rPr>
                <w:rFonts w:ascii="Times New Roman" w:eastAsia="Times New Roman" w:hAnsi="Times New Roman" w:cs="Times New Roman"/>
                <w:b/>
                <w:bCs/>
                <w:color w:val="000000"/>
                <w:sz w:val="14"/>
                <w:szCs w:val="14"/>
                <w:lang w:val="en-US"/>
              </w:rPr>
              <w:t>15 258</w:t>
            </w:r>
          </w:p>
        </w:tc>
        <w:tc>
          <w:tcPr>
            <w:tcW w:w="944" w:type="dxa"/>
            <w:tcBorders>
              <w:top w:val="nil"/>
              <w:left w:val="nil"/>
              <w:bottom w:val="single" w:sz="8" w:space="0" w:color="auto"/>
              <w:right w:val="single" w:sz="8" w:space="0" w:color="auto"/>
            </w:tcBorders>
            <w:shd w:val="clear" w:color="000000" w:fill="FFFFFF"/>
            <w:noWrap/>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4"/>
                <w:szCs w:val="14"/>
                <w:lang w:val="en-US"/>
              </w:rPr>
            </w:pPr>
            <w:r w:rsidRPr="00341240">
              <w:rPr>
                <w:rFonts w:ascii="Times New Roman" w:eastAsia="Times New Roman" w:hAnsi="Times New Roman" w:cs="Times New Roman"/>
                <w:b/>
                <w:bCs/>
                <w:color w:val="000000"/>
                <w:sz w:val="14"/>
                <w:szCs w:val="14"/>
                <w:lang w:val="en-US"/>
              </w:rPr>
              <w:t>373 478</w:t>
            </w:r>
          </w:p>
        </w:tc>
        <w:tc>
          <w:tcPr>
            <w:tcW w:w="979" w:type="dxa"/>
            <w:tcBorders>
              <w:top w:val="nil"/>
              <w:left w:val="nil"/>
              <w:bottom w:val="single" w:sz="8" w:space="0" w:color="auto"/>
              <w:right w:val="single" w:sz="8" w:space="0" w:color="auto"/>
            </w:tcBorders>
            <w:shd w:val="clear" w:color="000000" w:fill="FFFFFF"/>
            <w:noWrap/>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4"/>
                <w:szCs w:val="14"/>
                <w:lang w:val="en-US"/>
              </w:rPr>
            </w:pPr>
            <w:r w:rsidRPr="00341240">
              <w:rPr>
                <w:rFonts w:ascii="Times New Roman" w:eastAsia="Times New Roman" w:hAnsi="Times New Roman" w:cs="Times New Roman"/>
                <w:b/>
                <w:bCs/>
                <w:color w:val="000000"/>
                <w:sz w:val="14"/>
                <w:szCs w:val="14"/>
                <w:lang w:val="en-US"/>
              </w:rPr>
              <w:t>937 956</w:t>
            </w:r>
          </w:p>
        </w:tc>
        <w:tc>
          <w:tcPr>
            <w:tcW w:w="914" w:type="dxa"/>
            <w:tcBorders>
              <w:top w:val="nil"/>
              <w:left w:val="nil"/>
              <w:bottom w:val="single" w:sz="8" w:space="0" w:color="auto"/>
              <w:right w:val="single" w:sz="8" w:space="0" w:color="auto"/>
            </w:tcBorders>
            <w:shd w:val="clear" w:color="000000" w:fill="FFFFFF"/>
            <w:noWrap/>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4"/>
                <w:szCs w:val="14"/>
                <w:lang w:val="en-US"/>
              </w:rPr>
            </w:pPr>
            <w:r w:rsidRPr="00341240">
              <w:rPr>
                <w:rFonts w:ascii="Times New Roman" w:eastAsia="Times New Roman" w:hAnsi="Times New Roman" w:cs="Times New Roman"/>
                <w:b/>
                <w:bCs/>
                <w:color w:val="000000"/>
                <w:sz w:val="14"/>
                <w:szCs w:val="14"/>
                <w:lang w:val="en-US"/>
              </w:rPr>
              <w:t>1 738 448</w:t>
            </w:r>
          </w:p>
        </w:tc>
        <w:tc>
          <w:tcPr>
            <w:tcW w:w="914" w:type="dxa"/>
            <w:tcBorders>
              <w:top w:val="nil"/>
              <w:left w:val="nil"/>
              <w:bottom w:val="single" w:sz="8" w:space="0" w:color="auto"/>
              <w:right w:val="single" w:sz="8" w:space="0" w:color="auto"/>
            </w:tcBorders>
            <w:shd w:val="clear" w:color="000000" w:fill="FFFFFF"/>
            <w:noWrap/>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4"/>
                <w:szCs w:val="14"/>
                <w:lang w:val="en-US"/>
              </w:rPr>
            </w:pPr>
            <w:r w:rsidRPr="00341240">
              <w:rPr>
                <w:rFonts w:ascii="Times New Roman" w:eastAsia="Times New Roman" w:hAnsi="Times New Roman" w:cs="Times New Roman"/>
                <w:b/>
                <w:bCs/>
                <w:color w:val="000000"/>
                <w:sz w:val="14"/>
                <w:szCs w:val="14"/>
                <w:lang w:val="en-US"/>
              </w:rPr>
              <w:t>3 615 799</w:t>
            </w:r>
          </w:p>
        </w:tc>
        <w:tc>
          <w:tcPr>
            <w:tcW w:w="914" w:type="dxa"/>
            <w:tcBorders>
              <w:top w:val="nil"/>
              <w:left w:val="nil"/>
              <w:bottom w:val="single" w:sz="8" w:space="0" w:color="auto"/>
              <w:right w:val="single" w:sz="8" w:space="0" w:color="auto"/>
            </w:tcBorders>
            <w:shd w:val="clear" w:color="000000" w:fill="FFFFFF"/>
            <w:noWrap/>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4"/>
                <w:szCs w:val="14"/>
                <w:lang w:val="en-US"/>
              </w:rPr>
            </w:pPr>
            <w:r w:rsidRPr="00341240">
              <w:rPr>
                <w:rFonts w:ascii="Times New Roman" w:eastAsia="Times New Roman" w:hAnsi="Times New Roman" w:cs="Times New Roman"/>
                <w:b/>
                <w:bCs/>
                <w:color w:val="000000"/>
                <w:sz w:val="14"/>
                <w:szCs w:val="14"/>
                <w:lang w:val="en-US"/>
              </w:rPr>
              <w:t>7 034 380</w:t>
            </w:r>
          </w:p>
        </w:tc>
        <w:tc>
          <w:tcPr>
            <w:tcW w:w="914" w:type="dxa"/>
            <w:tcBorders>
              <w:top w:val="nil"/>
              <w:left w:val="nil"/>
              <w:bottom w:val="single" w:sz="8" w:space="0" w:color="auto"/>
              <w:right w:val="single" w:sz="8" w:space="0" w:color="auto"/>
            </w:tcBorders>
            <w:shd w:val="clear" w:color="000000" w:fill="FFFFFF"/>
            <w:noWrap/>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4"/>
                <w:szCs w:val="14"/>
                <w:lang w:val="en-US"/>
              </w:rPr>
            </w:pPr>
            <w:r w:rsidRPr="00341240">
              <w:rPr>
                <w:rFonts w:ascii="Times New Roman" w:eastAsia="Times New Roman" w:hAnsi="Times New Roman" w:cs="Times New Roman"/>
                <w:b/>
                <w:bCs/>
                <w:color w:val="000000"/>
                <w:sz w:val="14"/>
                <w:szCs w:val="14"/>
                <w:lang w:val="en-US"/>
              </w:rPr>
              <w:t>13 350 109</w:t>
            </w:r>
          </w:p>
        </w:tc>
        <w:tc>
          <w:tcPr>
            <w:tcW w:w="914" w:type="dxa"/>
            <w:tcBorders>
              <w:top w:val="nil"/>
              <w:left w:val="nil"/>
              <w:bottom w:val="single" w:sz="8" w:space="0" w:color="auto"/>
              <w:right w:val="single" w:sz="8" w:space="0" w:color="auto"/>
            </w:tcBorders>
            <w:shd w:val="clear" w:color="000000" w:fill="FFFFFF"/>
            <w:noWrap/>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4"/>
                <w:szCs w:val="14"/>
                <w:lang w:val="en-US"/>
              </w:rPr>
            </w:pPr>
            <w:r w:rsidRPr="00341240">
              <w:rPr>
                <w:rFonts w:ascii="Times New Roman" w:eastAsia="Times New Roman" w:hAnsi="Times New Roman" w:cs="Times New Roman"/>
                <w:b/>
                <w:bCs/>
                <w:color w:val="000000"/>
                <w:sz w:val="14"/>
                <w:szCs w:val="14"/>
                <w:lang w:val="en-US"/>
              </w:rPr>
              <w:t>20 914 899</w:t>
            </w:r>
          </w:p>
        </w:tc>
        <w:tc>
          <w:tcPr>
            <w:tcW w:w="914" w:type="dxa"/>
            <w:tcBorders>
              <w:top w:val="nil"/>
              <w:left w:val="nil"/>
              <w:bottom w:val="single" w:sz="8" w:space="0" w:color="auto"/>
              <w:right w:val="single" w:sz="8" w:space="0" w:color="auto"/>
            </w:tcBorders>
            <w:shd w:val="clear" w:color="000000" w:fill="FFFFFF"/>
            <w:vAlign w:val="center"/>
            <w:hideMark/>
          </w:tcPr>
          <w:p w:rsidR="00341240" w:rsidRPr="00341240" w:rsidRDefault="00341240" w:rsidP="00341240">
            <w:pPr>
              <w:spacing w:after="0" w:line="240" w:lineRule="auto"/>
              <w:jc w:val="center"/>
              <w:rPr>
                <w:rFonts w:ascii="Times New Roman" w:eastAsia="Times New Roman" w:hAnsi="Times New Roman" w:cs="Times New Roman"/>
                <w:b/>
                <w:bCs/>
                <w:sz w:val="14"/>
                <w:szCs w:val="14"/>
                <w:lang w:val="en-US"/>
              </w:rPr>
            </w:pPr>
            <w:r w:rsidRPr="00341240">
              <w:rPr>
                <w:rFonts w:ascii="Times New Roman" w:eastAsia="Times New Roman" w:hAnsi="Times New Roman" w:cs="Times New Roman"/>
                <w:b/>
                <w:bCs/>
                <w:sz w:val="14"/>
                <w:szCs w:val="14"/>
                <w:lang w:val="en-US"/>
              </w:rPr>
              <w:t>43 766 172</w:t>
            </w:r>
          </w:p>
        </w:tc>
      </w:tr>
      <w:tr w:rsidR="00341240" w:rsidRPr="00341240" w:rsidTr="00411971">
        <w:trPr>
          <w:trHeight w:val="439"/>
        </w:trPr>
        <w:tc>
          <w:tcPr>
            <w:tcW w:w="1179" w:type="dxa"/>
            <w:tcBorders>
              <w:top w:val="nil"/>
              <w:left w:val="single" w:sz="8" w:space="0" w:color="auto"/>
              <w:bottom w:val="nil"/>
              <w:right w:val="single" w:sz="8" w:space="0" w:color="auto"/>
            </w:tcBorders>
            <w:shd w:val="clear" w:color="auto" w:fill="auto"/>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6"/>
                <w:szCs w:val="16"/>
                <w:lang w:val="en-US"/>
              </w:rPr>
            </w:pPr>
            <w:r w:rsidRPr="00341240">
              <w:rPr>
                <w:rFonts w:ascii="Times New Roman" w:eastAsia="Times New Roman" w:hAnsi="Times New Roman" w:cs="Times New Roman"/>
                <w:b/>
                <w:bCs/>
                <w:color w:val="000000"/>
                <w:sz w:val="16"/>
                <w:szCs w:val="16"/>
                <w:lang w:val="en-US"/>
              </w:rPr>
              <w:t>Уставный капитал</w:t>
            </w:r>
          </w:p>
        </w:tc>
        <w:tc>
          <w:tcPr>
            <w:tcW w:w="781" w:type="dxa"/>
            <w:tcBorders>
              <w:top w:val="nil"/>
              <w:left w:val="nil"/>
              <w:bottom w:val="nil"/>
              <w:right w:val="single" w:sz="8" w:space="0" w:color="auto"/>
            </w:tcBorders>
            <w:shd w:val="clear" w:color="000000" w:fill="FFFFFF"/>
            <w:noWrap/>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4"/>
                <w:szCs w:val="14"/>
                <w:lang w:val="en-US"/>
              </w:rPr>
            </w:pPr>
            <w:r w:rsidRPr="00341240">
              <w:rPr>
                <w:rFonts w:ascii="Times New Roman" w:eastAsia="Times New Roman" w:hAnsi="Times New Roman" w:cs="Times New Roman"/>
                <w:b/>
                <w:bCs/>
                <w:color w:val="000000"/>
                <w:sz w:val="14"/>
                <w:szCs w:val="14"/>
                <w:lang w:val="en-US"/>
              </w:rPr>
              <w:t>700 000</w:t>
            </w:r>
          </w:p>
        </w:tc>
        <w:tc>
          <w:tcPr>
            <w:tcW w:w="944" w:type="dxa"/>
            <w:tcBorders>
              <w:top w:val="nil"/>
              <w:left w:val="nil"/>
              <w:bottom w:val="nil"/>
              <w:right w:val="single" w:sz="8" w:space="0" w:color="auto"/>
            </w:tcBorders>
            <w:shd w:val="clear" w:color="000000" w:fill="FFFFFF"/>
            <w:noWrap/>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4"/>
                <w:szCs w:val="14"/>
                <w:lang w:val="en-US"/>
              </w:rPr>
            </w:pPr>
            <w:r w:rsidRPr="00341240">
              <w:rPr>
                <w:rFonts w:ascii="Times New Roman" w:eastAsia="Times New Roman" w:hAnsi="Times New Roman" w:cs="Times New Roman"/>
                <w:b/>
                <w:bCs/>
                <w:color w:val="000000"/>
                <w:sz w:val="14"/>
                <w:szCs w:val="14"/>
                <w:lang w:val="en-US"/>
              </w:rPr>
              <w:t>1 735 000</w:t>
            </w:r>
          </w:p>
        </w:tc>
        <w:tc>
          <w:tcPr>
            <w:tcW w:w="979" w:type="dxa"/>
            <w:tcBorders>
              <w:top w:val="nil"/>
              <w:left w:val="nil"/>
              <w:bottom w:val="nil"/>
              <w:right w:val="single" w:sz="8" w:space="0" w:color="auto"/>
            </w:tcBorders>
            <w:shd w:val="clear" w:color="000000" w:fill="FFFFFF"/>
            <w:noWrap/>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4"/>
                <w:szCs w:val="14"/>
                <w:lang w:val="en-US"/>
              </w:rPr>
            </w:pPr>
            <w:r w:rsidRPr="00341240">
              <w:rPr>
                <w:rFonts w:ascii="Times New Roman" w:eastAsia="Times New Roman" w:hAnsi="Times New Roman" w:cs="Times New Roman"/>
                <w:b/>
                <w:bCs/>
                <w:color w:val="000000"/>
                <w:sz w:val="14"/>
                <w:szCs w:val="14"/>
                <w:lang w:val="en-US"/>
              </w:rPr>
              <w:t>1 735 000</w:t>
            </w:r>
          </w:p>
        </w:tc>
        <w:tc>
          <w:tcPr>
            <w:tcW w:w="914" w:type="dxa"/>
            <w:tcBorders>
              <w:top w:val="nil"/>
              <w:left w:val="nil"/>
              <w:bottom w:val="nil"/>
              <w:right w:val="single" w:sz="8" w:space="0" w:color="auto"/>
            </w:tcBorders>
            <w:shd w:val="clear" w:color="000000" w:fill="FFFFFF"/>
            <w:noWrap/>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4"/>
                <w:szCs w:val="14"/>
                <w:lang w:val="en-US"/>
              </w:rPr>
            </w:pPr>
            <w:r w:rsidRPr="00341240">
              <w:rPr>
                <w:rFonts w:ascii="Times New Roman" w:eastAsia="Times New Roman" w:hAnsi="Times New Roman" w:cs="Times New Roman"/>
                <w:b/>
                <w:bCs/>
                <w:color w:val="000000"/>
                <w:sz w:val="14"/>
                <w:szCs w:val="14"/>
                <w:lang w:val="en-US"/>
              </w:rPr>
              <w:t>4 435 000</w:t>
            </w:r>
          </w:p>
        </w:tc>
        <w:tc>
          <w:tcPr>
            <w:tcW w:w="914" w:type="dxa"/>
            <w:tcBorders>
              <w:top w:val="nil"/>
              <w:left w:val="nil"/>
              <w:bottom w:val="nil"/>
              <w:right w:val="single" w:sz="8" w:space="0" w:color="auto"/>
            </w:tcBorders>
            <w:shd w:val="clear" w:color="000000" w:fill="FFFFFF"/>
            <w:noWrap/>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4"/>
                <w:szCs w:val="14"/>
                <w:lang w:val="en-US"/>
              </w:rPr>
            </w:pPr>
            <w:r w:rsidRPr="00341240">
              <w:rPr>
                <w:rFonts w:ascii="Times New Roman" w:eastAsia="Times New Roman" w:hAnsi="Times New Roman" w:cs="Times New Roman"/>
                <w:b/>
                <w:bCs/>
                <w:color w:val="000000"/>
                <w:sz w:val="14"/>
                <w:szCs w:val="14"/>
                <w:lang w:val="en-US"/>
              </w:rPr>
              <w:t>6 170 000</w:t>
            </w:r>
          </w:p>
        </w:tc>
        <w:tc>
          <w:tcPr>
            <w:tcW w:w="914" w:type="dxa"/>
            <w:tcBorders>
              <w:top w:val="nil"/>
              <w:left w:val="nil"/>
              <w:bottom w:val="nil"/>
              <w:right w:val="single" w:sz="8" w:space="0" w:color="auto"/>
            </w:tcBorders>
            <w:shd w:val="clear" w:color="000000" w:fill="FFFFFF"/>
            <w:noWrap/>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4"/>
                <w:szCs w:val="14"/>
                <w:lang w:val="en-US"/>
              </w:rPr>
            </w:pPr>
            <w:r w:rsidRPr="00341240">
              <w:rPr>
                <w:rFonts w:ascii="Times New Roman" w:eastAsia="Times New Roman" w:hAnsi="Times New Roman" w:cs="Times New Roman"/>
                <w:b/>
                <w:bCs/>
                <w:color w:val="000000"/>
                <w:sz w:val="14"/>
                <w:szCs w:val="14"/>
                <w:lang w:val="en-US"/>
              </w:rPr>
              <w:t>6 170 000</w:t>
            </w:r>
          </w:p>
        </w:tc>
        <w:tc>
          <w:tcPr>
            <w:tcW w:w="914" w:type="dxa"/>
            <w:tcBorders>
              <w:top w:val="nil"/>
              <w:left w:val="nil"/>
              <w:bottom w:val="nil"/>
              <w:right w:val="single" w:sz="8" w:space="0" w:color="auto"/>
            </w:tcBorders>
            <w:shd w:val="clear" w:color="000000" w:fill="FFFFFF"/>
            <w:noWrap/>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4"/>
                <w:szCs w:val="14"/>
                <w:lang w:val="en-US"/>
              </w:rPr>
            </w:pPr>
            <w:r w:rsidRPr="00341240">
              <w:rPr>
                <w:rFonts w:ascii="Times New Roman" w:eastAsia="Times New Roman" w:hAnsi="Times New Roman" w:cs="Times New Roman"/>
                <w:b/>
                <w:bCs/>
                <w:color w:val="000000"/>
                <w:sz w:val="14"/>
                <w:szCs w:val="14"/>
                <w:lang w:val="en-US"/>
              </w:rPr>
              <w:t>15 170 000</w:t>
            </w:r>
          </w:p>
        </w:tc>
        <w:tc>
          <w:tcPr>
            <w:tcW w:w="914" w:type="dxa"/>
            <w:tcBorders>
              <w:top w:val="nil"/>
              <w:left w:val="nil"/>
              <w:bottom w:val="nil"/>
              <w:right w:val="single" w:sz="8" w:space="0" w:color="auto"/>
            </w:tcBorders>
            <w:shd w:val="clear" w:color="000000" w:fill="FFFFFF"/>
            <w:noWrap/>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4"/>
                <w:szCs w:val="14"/>
                <w:lang w:val="en-US"/>
              </w:rPr>
            </w:pPr>
            <w:r w:rsidRPr="00341240">
              <w:rPr>
                <w:rFonts w:ascii="Times New Roman" w:eastAsia="Times New Roman" w:hAnsi="Times New Roman" w:cs="Times New Roman"/>
                <w:b/>
                <w:bCs/>
                <w:color w:val="000000"/>
                <w:sz w:val="14"/>
                <w:szCs w:val="14"/>
                <w:lang w:val="en-US"/>
              </w:rPr>
              <w:t>16 670 000</w:t>
            </w:r>
          </w:p>
        </w:tc>
        <w:tc>
          <w:tcPr>
            <w:tcW w:w="914" w:type="dxa"/>
            <w:tcBorders>
              <w:top w:val="nil"/>
              <w:left w:val="nil"/>
              <w:bottom w:val="nil"/>
              <w:right w:val="single" w:sz="8" w:space="0" w:color="auto"/>
            </w:tcBorders>
            <w:shd w:val="clear" w:color="000000" w:fill="FFFFFF"/>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4"/>
                <w:szCs w:val="14"/>
                <w:lang w:val="en-US"/>
              </w:rPr>
            </w:pPr>
            <w:r w:rsidRPr="00341240">
              <w:rPr>
                <w:rFonts w:ascii="Times New Roman" w:eastAsia="Times New Roman" w:hAnsi="Times New Roman" w:cs="Times New Roman"/>
                <w:b/>
                <w:bCs/>
                <w:color w:val="000000"/>
                <w:sz w:val="14"/>
                <w:szCs w:val="14"/>
                <w:lang w:val="en-US"/>
              </w:rPr>
              <w:t>16 670 000</w:t>
            </w:r>
          </w:p>
        </w:tc>
      </w:tr>
      <w:tr w:rsidR="00341240" w:rsidRPr="00341240" w:rsidTr="00411971">
        <w:trPr>
          <w:trHeight w:val="439"/>
        </w:trPr>
        <w:tc>
          <w:tcPr>
            <w:tcW w:w="1179" w:type="dxa"/>
            <w:tcBorders>
              <w:top w:val="single" w:sz="8" w:space="0" w:color="auto"/>
              <w:left w:val="single" w:sz="8" w:space="0" w:color="auto"/>
              <w:bottom w:val="nil"/>
              <w:right w:val="single" w:sz="4" w:space="0" w:color="auto"/>
            </w:tcBorders>
            <w:shd w:val="clear" w:color="auto" w:fill="auto"/>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6"/>
                <w:szCs w:val="16"/>
                <w:lang w:val="en-US"/>
              </w:rPr>
            </w:pPr>
            <w:r w:rsidRPr="00341240">
              <w:rPr>
                <w:rFonts w:ascii="Times New Roman" w:eastAsia="Times New Roman" w:hAnsi="Times New Roman" w:cs="Times New Roman"/>
                <w:b/>
                <w:bCs/>
                <w:color w:val="000000"/>
                <w:sz w:val="16"/>
                <w:szCs w:val="16"/>
                <w:lang w:val="en-US"/>
              </w:rPr>
              <w:t>Резервный фонд</w:t>
            </w:r>
          </w:p>
        </w:tc>
        <w:tc>
          <w:tcPr>
            <w:tcW w:w="781" w:type="dxa"/>
            <w:tcBorders>
              <w:top w:val="single" w:sz="8" w:space="0" w:color="auto"/>
              <w:left w:val="nil"/>
              <w:bottom w:val="nil"/>
              <w:right w:val="single" w:sz="4" w:space="0" w:color="auto"/>
            </w:tcBorders>
            <w:shd w:val="clear" w:color="auto" w:fill="auto"/>
            <w:noWrap/>
            <w:vAlign w:val="bottom"/>
            <w:hideMark/>
          </w:tcPr>
          <w:p w:rsidR="00341240" w:rsidRPr="00341240" w:rsidRDefault="00341240" w:rsidP="00341240">
            <w:pPr>
              <w:spacing w:after="0" w:line="240" w:lineRule="auto"/>
              <w:jc w:val="right"/>
              <w:rPr>
                <w:rFonts w:ascii="Times New Roman" w:eastAsia="Times New Roman" w:hAnsi="Times New Roman" w:cs="Times New Roman"/>
                <w:b/>
                <w:color w:val="000000"/>
                <w:sz w:val="14"/>
                <w:szCs w:val="14"/>
                <w:lang w:val="en-US"/>
              </w:rPr>
            </w:pPr>
            <w:r w:rsidRPr="00341240">
              <w:rPr>
                <w:rFonts w:ascii="Times New Roman" w:eastAsia="Times New Roman" w:hAnsi="Times New Roman" w:cs="Times New Roman"/>
                <w:b/>
                <w:color w:val="000000"/>
                <w:sz w:val="14"/>
                <w:szCs w:val="14"/>
                <w:lang w:val="en-US"/>
              </w:rPr>
              <w:t>1 262</w:t>
            </w:r>
          </w:p>
        </w:tc>
        <w:tc>
          <w:tcPr>
            <w:tcW w:w="944" w:type="dxa"/>
            <w:tcBorders>
              <w:top w:val="single" w:sz="8" w:space="0" w:color="auto"/>
              <w:left w:val="nil"/>
              <w:bottom w:val="nil"/>
              <w:right w:val="single" w:sz="4" w:space="0" w:color="auto"/>
            </w:tcBorders>
            <w:shd w:val="clear" w:color="auto" w:fill="auto"/>
            <w:noWrap/>
            <w:vAlign w:val="bottom"/>
            <w:hideMark/>
          </w:tcPr>
          <w:p w:rsidR="00341240" w:rsidRPr="00341240" w:rsidRDefault="00341240" w:rsidP="00341240">
            <w:pPr>
              <w:spacing w:after="0" w:line="240" w:lineRule="auto"/>
              <w:jc w:val="right"/>
              <w:rPr>
                <w:rFonts w:ascii="Times New Roman" w:eastAsia="Times New Roman" w:hAnsi="Times New Roman" w:cs="Times New Roman"/>
                <w:b/>
                <w:color w:val="000000"/>
                <w:sz w:val="14"/>
                <w:szCs w:val="14"/>
                <w:lang w:val="en-US"/>
              </w:rPr>
            </w:pPr>
            <w:r w:rsidRPr="00341240">
              <w:rPr>
                <w:rFonts w:ascii="Times New Roman" w:eastAsia="Times New Roman" w:hAnsi="Times New Roman" w:cs="Times New Roman"/>
                <w:b/>
                <w:color w:val="000000"/>
                <w:sz w:val="14"/>
                <w:szCs w:val="14"/>
                <w:lang w:val="en-US"/>
              </w:rPr>
              <w:t>24 704</w:t>
            </w:r>
          </w:p>
        </w:tc>
        <w:tc>
          <w:tcPr>
            <w:tcW w:w="979" w:type="dxa"/>
            <w:tcBorders>
              <w:top w:val="single" w:sz="8" w:space="0" w:color="auto"/>
              <w:left w:val="nil"/>
              <w:bottom w:val="nil"/>
              <w:right w:val="single" w:sz="4" w:space="0" w:color="auto"/>
            </w:tcBorders>
            <w:shd w:val="clear" w:color="auto" w:fill="auto"/>
            <w:noWrap/>
            <w:vAlign w:val="bottom"/>
            <w:hideMark/>
          </w:tcPr>
          <w:p w:rsidR="00341240" w:rsidRPr="00341240" w:rsidRDefault="00341240" w:rsidP="00341240">
            <w:pPr>
              <w:spacing w:after="0" w:line="240" w:lineRule="auto"/>
              <w:jc w:val="right"/>
              <w:rPr>
                <w:rFonts w:ascii="Times New Roman" w:eastAsia="Times New Roman" w:hAnsi="Times New Roman" w:cs="Times New Roman"/>
                <w:b/>
                <w:color w:val="000000"/>
                <w:sz w:val="14"/>
                <w:szCs w:val="14"/>
                <w:lang w:val="en-US"/>
              </w:rPr>
            </w:pPr>
            <w:r w:rsidRPr="00341240">
              <w:rPr>
                <w:rFonts w:ascii="Times New Roman" w:eastAsia="Times New Roman" w:hAnsi="Times New Roman" w:cs="Times New Roman"/>
                <w:b/>
                <w:color w:val="000000"/>
                <w:sz w:val="14"/>
                <w:szCs w:val="14"/>
                <w:lang w:val="en-US"/>
              </w:rPr>
              <w:t>86 750</w:t>
            </w:r>
          </w:p>
        </w:tc>
        <w:tc>
          <w:tcPr>
            <w:tcW w:w="914" w:type="dxa"/>
            <w:tcBorders>
              <w:top w:val="single" w:sz="8" w:space="0" w:color="auto"/>
              <w:left w:val="nil"/>
              <w:bottom w:val="nil"/>
              <w:right w:val="single" w:sz="4" w:space="0" w:color="auto"/>
            </w:tcBorders>
            <w:shd w:val="clear" w:color="auto" w:fill="auto"/>
            <w:noWrap/>
            <w:vAlign w:val="bottom"/>
            <w:hideMark/>
          </w:tcPr>
          <w:p w:rsidR="00341240" w:rsidRPr="00341240" w:rsidRDefault="00341240" w:rsidP="00341240">
            <w:pPr>
              <w:spacing w:after="0" w:line="240" w:lineRule="auto"/>
              <w:jc w:val="right"/>
              <w:rPr>
                <w:rFonts w:ascii="Times New Roman" w:eastAsia="Times New Roman" w:hAnsi="Times New Roman" w:cs="Times New Roman"/>
                <w:b/>
                <w:color w:val="000000"/>
                <w:sz w:val="14"/>
                <w:szCs w:val="14"/>
                <w:lang w:val="en-US"/>
              </w:rPr>
            </w:pPr>
            <w:r w:rsidRPr="00341240">
              <w:rPr>
                <w:rFonts w:ascii="Times New Roman" w:eastAsia="Times New Roman" w:hAnsi="Times New Roman" w:cs="Times New Roman"/>
                <w:b/>
                <w:color w:val="000000"/>
                <w:sz w:val="14"/>
                <w:szCs w:val="14"/>
                <w:lang w:val="en-US"/>
              </w:rPr>
              <w:t>221 750</w:t>
            </w:r>
          </w:p>
        </w:tc>
        <w:tc>
          <w:tcPr>
            <w:tcW w:w="914" w:type="dxa"/>
            <w:tcBorders>
              <w:top w:val="single" w:sz="8" w:space="0" w:color="auto"/>
              <w:left w:val="nil"/>
              <w:bottom w:val="nil"/>
              <w:right w:val="single" w:sz="4" w:space="0" w:color="auto"/>
            </w:tcBorders>
            <w:shd w:val="clear" w:color="auto" w:fill="auto"/>
            <w:noWrap/>
            <w:vAlign w:val="bottom"/>
            <w:hideMark/>
          </w:tcPr>
          <w:p w:rsidR="00341240" w:rsidRPr="00341240" w:rsidRDefault="00341240" w:rsidP="00341240">
            <w:pPr>
              <w:spacing w:after="0" w:line="240" w:lineRule="auto"/>
              <w:jc w:val="right"/>
              <w:rPr>
                <w:rFonts w:ascii="Times New Roman" w:eastAsia="Times New Roman" w:hAnsi="Times New Roman" w:cs="Times New Roman"/>
                <w:b/>
                <w:color w:val="000000"/>
                <w:sz w:val="14"/>
                <w:szCs w:val="14"/>
                <w:lang w:val="en-US"/>
              </w:rPr>
            </w:pPr>
            <w:r w:rsidRPr="00341240">
              <w:rPr>
                <w:rFonts w:ascii="Times New Roman" w:eastAsia="Times New Roman" w:hAnsi="Times New Roman" w:cs="Times New Roman"/>
                <w:b/>
                <w:color w:val="000000"/>
                <w:sz w:val="14"/>
                <w:szCs w:val="14"/>
                <w:lang w:val="en-US"/>
              </w:rPr>
              <w:t>308 500</w:t>
            </w:r>
          </w:p>
        </w:tc>
        <w:tc>
          <w:tcPr>
            <w:tcW w:w="914" w:type="dxa"/>
            <w:tcBorders>
              <w:top w:val="single" w:sz="8" w:space="0" w:color="auto"/>
              <w:left w:val="nil"/>
              <w:bottom w:val="nil"/>
              <w:right w:val="single" w:sz="4" w:space="0" w:color="auto"/>
            </w:tcBorders>
            <w:shd w:val="clear" w:color="auto" w:fill="auto"/>
            <w:noWrap/>
            <w:vAlign w:val="bottom"/>
            <w:hideMark/>
          </w:tcPr>
          <w:p w:rsidR="00341240" w:rsidRPr="00341240" w:rsidRDefault="00341240" w:rsidP="00341240">
            <w:pPr>
              <w:spacing w:after="0" w:line="240" w:lineRule="auto"/>
              <w:jc w:val="right"/>
              <w:rPr>
                <w:rFonts w:ascii="Times New Roman" w:eastAsia="Times New Roman" w:hAnsi="Times New Roman" w:cs="Times New Roman"/>
                <w:b/>
                <w:color w:val="000000"/>
                <w:sz w:val="14"/>
                <w:szCs w:val="14"/>
                <w:lang w:val="en-US"/>
              </w:rPr>
            </w:pPr>
            <w:r w:rsidRPr="00341240">
              <w:rPr>
                <w:rFonts w:ascii="Times New Roman" w:eastAsia="Times New Roman" w:hAnsi="Times New Roman" w:cs="Times New Roman"/>
                <w:b/>
                <w:color w:val="000000"/>
                <w:sz w:val="14"/>
                <w:szCs w:val="14"/>
                <w:lang w:val="en-US"/>
              </w:rPr>
              <w:t>308 500</w:t>
            </w:r>
          </w:p>
        </w:tc>
        <w:tc>
          <w:tcPr>
            <w:tcW w:w="914" w:type="dxa"/>
            <w:tcBorders>
              <w:top w:val="single" w:sz="8" w:space="0" w:color="auto"/>
              <w:left w:val="nil"/>
              <w:bottom w:val="nil"/>
              <w:right w:val="single" w:sz="4" w:space="0" w:color="auto"/>
            </w:tcBorders>
            <w:shd w:val="clear" w:color="auto" w:fill="auto"/>
            <w:noWrap/>
            <w:vAlign w:val="bottom"/>
            <w:hideMark/>
          </w:tcPr>
          <w:p w:rsidR="00341240" w:rsidRPr="00341240" w:rsidRDefault="00341240" w:rsidP="00341240">
            <w:pPr>
              <w:spacing w:after="0" w:line="240" w:lineRule="auto"/>
              <w:jc w:val="right"/>
              <w:rPr>
                <w:rFonts w:ascii="Times New Roman" w:eastAsia="Times New Roman" w:hAnsi="Times New Roman" w:cs="Times New Roman"/>
                <w:b/>
                <w:color w:val="000000"/>
                <w:sz w:val="14"/>
                <w:szCs w:val="14"/>
                <w:lang w:val="en-US"/>
              </w:rPr>
            </w:pPr>
            <w:r w:rsidRPr="00341240">
              <w:rPr>
                <w:rFonts w:ascii="Times New Roman" w:eastAsia="Times New Roman" w:hAnsi="Times New Roman" w:cs="Times New Roman"/>
                <w:b/>
                <w:color w:val="000000"/>
                <w:sz w:val="14"/>
                <w:szCs w:val="14"/>
                <w:lang w:val="en-US"/>
              </w:rPr>
              <w:t>966 775</w:t>
            </w:r>
          </w:p>
        </w:tc>
        <w:tc>
          <w:tcPr>
            <w:tcW w:w="914" w:type="dxa"/>
            <w:tcBorders>
              <w:top w:val="single" w:sz="8" w:space="0" w:color="auto"/>
              <w:left w:val="nil"/>
              <w:bottom w:val="nil"/>
              <w:right w:val="single" w:sz="4" w:space="0" w:color="auto"/>
            </w:tcBorders>
            <w:shd w:val="clear" w:color="auto" w:fill="auto"/>
            <w:noWrap/>
            <w:vAlign w:val="bottom"/>
            <w:hideMark/>
          </w:tcPr>
          <w:p w:rsidR="00341240" w:rsidRPr="00341240" w:rsidRDefault="00341240" w:rsidP="00341240">
            <w:pPr>
              <w:spacing w:after="0" w:line="240" w:lineRule="auto"/>
              <w:jc w:val="right"/>
              <w:rPr>
                <w:rFonts w:ascii="Times New Roman" w:eastAsia="Times New Roman" w:hAnsi="Times New Roman" w:cs="Times New Roman"/>
                <w:b/>
                <w:color w:val="000000"/>
                <w:sz w:val="14"/>
                <w:szCs w:val="14"/>
                <w:lang w:val="en-US"/>
              </w:rPr>
            </w:pPr>
            <w:r w:rsidRPr="00341240">
              <w:rPr>
                <w:rFonts w:ascii="Times New Roman" w:eastAsia="Times New Roman" w:hAnsi="Times New Roman" w:cs="Times New Roman"/>
                <w:b/>
                <w:color w:val="000000"/>
                <w:sz w:val="14"/>
                <w:szCs w:val="14"/>
                <w:lang w:val="en-US"/>
              </w:rPr>
              <w:t>966 775</w:t>
            </w:r>
          </w:p>
        </w:tc>
        <w:tc>
          <w:tcPr>
            <w:tcW w:w="914" w:type="dxa"/>
            <w:tcBorders>
              <w:top w:val="single" w:sz="8" w:space="0" w:color="auto"/>
              <w:left w:val="nil"/>
              <w:bottom w:val="nil"/>
              <w:right w:val="single" w:sz="8" w:space="0" w:color="auto"/>
            </w:tcBorders>
            <w:shd w:val="clear" w:color="auto" w:fill="auto"/>
            <w:noWrap/>
            <w:vAlign w:val="bottom"/>
            <w:hideMark/>
          </w:tcPr>
          <w:p w:rsidR="00341240" w:rsidRPr="00341240" w:rsidRDefault="00341240" w:rsidP="00341240">
            <w:pPr>
              <w:spacing w:after="0" w:line="240" w:lineRule="auto"/>
              <w:jc w:val="right"/>
              <w:rPr>
                <w:rFonts w:ascii="Times New Roman" w:eastAsia="Times New Roman" w:hAnsi="Times New Roman" w:cs="Times New Roman"/>
                <w:b/>
                <w:color w:val="000000"/>
                <w:sz w:val="14"/>
                <w:szCs w:val="14"/>
                <w:lang w:val="en-US"/>
              </w:rPr>
            </w:pPr>
            <w:r w:rsidRPr="00341240">
              <w:rPr>
                <w:rFonts w:ascii="Times New Roman" w:eastAsia="Times New Roman" w:hAnsi="Times New Roman" w:cs="Times New Roman"/>
                <w:b/>
                <w:color w:val="000000"/>
                <w:sz w:val="14"/>
                <w:szCs w:val="14"/>
                <w:lang w:val="en-US"/>
              </w:rPr>
              <w:t>966 775</w:t>
            </w:r>
          </w:p>
        </w:tc>
      </w:tr>
      <w:tr w:rsidR="00341240" w:rsidRPr="00341240" w:rsidTr="00411971">
        <w:trPr>
          <w:trHeight w:val="242"/>
        </w:trPr>
        <w:tc>
          <w:tcPr>
            <w:tcW w:w="9367"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341240" w:rsidRPr="00341240" w:rsidRDefault="00341240" w:rsidP="00341240">
            <w:pPr>
              <w:spacing w:after="0" w:line="240" w:lineRule="auto"/>
              <w:rPr>
                <w:rFonts w:ascii="Times New Roman" w:eastAsia="Times New Roman" w:hAnsi="Times New Roman" w:cs="Times New Roman"/>
                <w:b/>
                <w:bCs/>
                <w:color w:val="000000"/>
                <w:sz w:val="16"/>
                <w:szCs w:val="16"/>
              </w:rPr>
            </w:pPr>
            <w:r w:rsidRPr="00341240">
              <w:rPr>
                <w:rFonts w:ascii="Times New Roman" w:eastAsia="Times New Roman" w:hAnsi="Times New Roman" w:cs="Times New Roman"/>
                <w:b/>
                <w:bCs/>
                <w:color w:val="000000"/>
                <w:sz w:val="16"/>
                <w:szCs w:val="16"/>
              </w:rPr>
              <w:t>Источники, уменьшающие собственные средства (капилал), в том числе:</w:t>
            </w:r>
          </w:p>
        </w:tc>
      </w:tr>
      <w:tr w:rsidR="00341240" w:rsidRPr="00341240" w:rsidTr="00411971">
        <w:trPr>
          <w:trHeight w:val="424"/>
        </w:trPr>
        <w:tc>
          <w:tcPr>
            <w:tcW w:w="1179" w:type="dxa"/>
            <w:tcBorders>
              <w:top w:val="nil"/>
              <w:left w:val="single" w:sz="8" w:space="0" w:color="auto"/>
              <w:bottom w:val="single" w:sz="4" w:space="0" w:color="auto"/>
              <w:right w:val="single" w:sz="4" w:space="0" w:color="auto"/>
            </w:tcBorders>
            <w:shd w:val="clear" w:color="auto" w:fill="auto"/>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6"/>
                <w:szCs w:val="16"/>
                <w:lang w:val="en-US"/>
              </w:rPr>
            </w:pPr>
            <w:r w:rsidRPr="00341240">
              <w:rPr>
                <w:rFonts w:ascii="Times New Roman" w:eastAsia="Times New Roman" w:hAnsi="Times New Roman" w:cs="Times New Roman"/>
                <w:b/>
                <w:bCs/>
                <w:color w:val="000000"/>
                <w:sz w:val="16"/>
                <w:szCs w:val="16"/>
                <w:lang w:val="en-US"/>
              </w:rPr>
              <w:t>Выделенный капитал</w:t>
            </w:r>
          </w:p>
        </w:tc>
        <w:tc>
          <w:tcPr>
            <w:tcW w:w="781" w:type="dxa"/>
            <w:tcBorders>
              <w:top w:val="nil"/>
              <w:left w:val="nil"/>
              <w:bottom w:val="single" w:sz="4" w:space="0" w:color="auto"/>
              <w:right w:val="single" w:sz="4" w:space="0" w:color="auto"/>
            </w:tcBorders>
            <w:shd w:val="clear" w:color="auto" w:fill="auto"/>
            <w:noWrap/>
            <w:vAlign w:val="bottom"/>
            <w:hideMark/>
          </w:tcPr>
          <w:p w:rsidR="00341240" w:rsidRPr="00341240" w:rsidRDefault="00341240" w:rsidP="00341240">
            <w:pPr>
              <w:spacing w:after="0" w:line="240" w:lineRule="auto"/>
              <w:jc w:val="right"/>
              <w:rPr>
                <w:rFonts w:ascii="Times New Roman" w:eastAsia="Times New Roman" w:hAnsi="Times New Roman" w:cs="Times New Roman"/>
                <w:b/>
                <w:color w:val="000000"/>
                <w:sz w:val="14"/>
                <w:szCs w:val="14"/>
                <w:lang w:val="en-US"/>
              </w:rPr>
            </w:pPr>
            <w:r w:rsidRPr="00341240">
              <w:rPr>
                <w:rFonts w:ascii="Times New Roman" w:eastAsia="Times New Roman" w:hAnsi="Times New Roman" w:cs="Times New Roman"/>
                <w:b/>
                <w:color w:val="000000"/>
                <w:sz w:val="14"/>
                <w:szCs w:val="14"/>
                <w:lang w:val="en-US"/>
              </w:rPr>
              <w:t>0</w:t>
            </w:r>
          </w:p>
        </w:tc>
        <w:tc>
          <w:tcPr>
            <w:tcW w:w="944" w:type="dxa"/>
            <w:tcBorders>
              <w:top w:val="nil"/>
              <w:left w:val="nil"/>
              <w:bottom w:val="single" w:sz="4" w:space="0" w:color="auto"/>
              <w:right w:val="single" w:sz="4" w:space="0" w:color="auto"/>
            </w:tcBorders>
            <w:shd w:val="clear" w:color="auto" w:fill="auto"/>
            <w:noWrap/>
            <w:vAlign w:val="bottom"/>
            <w:hideMark/>
          </w:tcPr>
          <w:p w:rsidR="00341240" w:rsidRPr="00341240" w:rsidRDefault="00341240" w:rsidP="00341240">
            <w:pPr>
              <w:spacing w:after="0" w:line="240" w:lineRule="auto"/>
              <w:jc w:val="right"/>
              <w:rPr>
                <w:rFonts w:ascii="Times New Roman" w:eastAsia="Times New Roman" w:hAnsi="Times New Roman" w:cs="Times New Roman"/>
                <w:b/>
                <w:color w:val="000000"/>
                <w:sz w:val="14"/>
                <w:szCs w:val="14"/>
                <w:lang w:val="en-US"/>
              </w:rPr>
            </w:pPr>
            <w:r w:rsidRPr="00341240">
              <w:rPr>
                <w:rFonts w:ascii="Times New Roman" w:eastAsia="Times New Roman" w:hAnsi="Times New Roman" w:cs="Times New Roman"/>
                <w:b/>
                <w:color w:val="000000"/>
                <w:sz w:val="14"/>
                <w:szCs w:val="14"/>
                <w:lang w:val="en-US"/>
              </w:rPr>
              <w:t>0</w:t>
            </w:r>
          </w:p>
        </w:tc>
        <w:tc>
          <w:tcPr>
            <w:tcW w:w="979" w:type="dxa"/>
            <w:tcBorders>
              <w:top w:val="nil"/>
              <w:left w:val="nil"/>
              <w:bottom w:val="single" w:sz="4" w:space="0" w:color="auto"/>
              <w:right w:val="single" w:sz="4" w:space="0" w:color="auto"/>
            </w:tcBorders>
            <w:shd w:val="clear" w:color="auto" w:fill="auto"/>
            <w:noWrap/>
            <w:vAlign w:val="bottom"/>
            <w:hideMark/>
          </w:tcPr>
          <w:p w:rsidR="00341240" w:rsidRPr="00341240" w:rsidRDefault="00341240" w:rsidP="00341240">
            <w:pPr>
              <w:spacing w:after="0" w:line="240" w:lineRule="auto"/>
              <w:jc w:val="right"/>
              <w:rPr>
                <w:rFonts w:ascii="Times New Roman" w:eastAsia="Times New Roman" w:hAnsi="Times New Roman" w:cs="Times New Roman"/>
                <w:b/>
                <w:color w:val="000000"/>
                <w:sz w:val="14"/>
                <w:szCs w:val="14"/>
                <w:lang w:val="en-US"/>
              </w:rPr>
            </w:pPr>
            <w:r w:rsidRPr="00341240">
              <w:rPr>
                <w:rFonts w:ascii="Times New Roman" w:eastAsia="Times New Roman" w:hAnsi="Times New Roman" w:cs="Times New Roman"/>
                <w:b/>
                <w:color w:val="000000"/>
                <w:sz w:val="14"/>
                <w:szCs w:val="14"/>
                <w:lang w:val="en-US"/>
              </w:rPr>
              <w:t>0</w:t>
            </w:r>
          </w:p>
        </w:tc>
        <w:tc>
          <w:tcPr>
            <w:tcW w:w="914" w:type="dxa"/>
            <w:tcBorders>
              <w:top w:val="nil"/>
              <w:left w:val="nil"/>
              <w:bottom w:val="single" w:sz="4" w:space="0" w:color="auto"/>
              <w:right w:val="single" w:sz="4" w:space="0" w:color="auto"/>
            </w:tcBorders>
            <w:shd w:val="clear" w:color="auto" w:fill="auto"/>
            <w:noWrap/>
            <w:vAlign w:val="bottom"/>
            <w:hideMark/>
          </w:tcPr>
          <w:p w:rsidR="00341240" w:rsidRPr="00341240" w:rsidRDefault="00341240" w:rsidP="00341240">
            <w:pPr>
              <w:spacing w:after="0" w:line="240" w:lineRule="auto"/>
              <w:jc w:val="right"/>
              <w:rPr>
                <w:rFonts w:ascii="Times New Roman" w:eastAsia="Times New Roman" w:hAnsi="Times New Roman" w:cs="Times New Roman"/>
                <w:b/>
                <w:color w:val="000000"/>
                <w:sz w:val="14"/>
                <w:szCs w:val="14"/>
                <w:lang w:val="en-US"/>
              </w:rPr>
            </w:pPr>
            <w:r w:rsidRPr="00341240">
              <w:rPr>
                <w:rFonts w:ascii="Times New Roman" w:eastAsia="Times New Roman" w:hAnsi="Times New Roman" w:cs="Times New Roman"/>
                <w:b/>
                <w:color w:val="000000"/>
                <w:sz w:val="14"/>
                <w:szCs w:val="14"/>
                <w:lang w:val="en-US"/>
              </w:rPr>
              <w:t>0</w:t>
            </w:r>
          </w:p>
        </w:tc>
        <w:tc>
          <w:tcPr>
            <w:tcW w:w="914" w:type="dxa"/>
            <w:tcBorders>
              <w:top w:val="nil"/>
              <w:left w:val="nil"/>
              <w:bottom w:val="single" w:sz="4" w:space="0" w:color="auto"/>
              <w:right w:val="single" w:sz="4" w:space="0" w:color="auto"/>
            </w:tcBorders>
            <w:shd w:val="clear" w:color="auto" w:fill="auto"/>
            <w:noWrap/>
            <w:vAlign w:val="bottom"/>
            <w:hideMark/>
          </w:tcPr>
          <w:p w:rsidR="00341240" w:rsidRPr="00341240" w:rsidRDefault="00341240" w:rsidP="00341240">
            <w:pPr>
              <w:spacing w:after="0" w:line="240" w:lineRule="auto"/>
              <w:jc w:val="right"/>
              <w:rPr>
                <w:rFonts w:ascii="Times New Roman" w:eastAsia="Times New Roman" w:hAnsi="Times New Roman" w:cs="Times New Roman"/>
                <w:b/>
                <w:color w:val="000000"/>
                <w:sz w:val="14"/>
                <w:szCs w:val="14"/>
                <w:lang w:val="en-US"/>
              </w:rPr>
            </w:pPr>
            <w:r w:rsidRPr="00341240">
              <w:rPr>
                <w:rFonts w:ascii="Times New Roman" w:eastAsia="Times New Roman" w:hAnsi="Times New Roman" w:cs="Times New Roman"/>
                <w:b/>
                <w:color w:val="000000"/>
                <w:sz w:val="14"/>
                <w:szCs w:val="14"/>
                <w:lang w:val="en-US"/>
              </w:rPr>
              <w:t>0</w:t>
            </w:r>
          </w:p>
        </w:tc>
        <w:tc>
          <w:tcPr>
            <w:tcW w:w="914" w:type="dxa"/>
            <w:tcBorders>
              <w:top w:val="nil"/>
              <w:left w:val="nil"/>
              <w:bottom w:val="single" w:sz="4" w:space="0" w:color="auto"/>
              <w:right w:val="single" w:sz="4" w:space="0" w:color="auto"/>
            </w:tcBorders>
            <w:shd w:val="clear" w:color="auto" w:fill="auto"/>
            <w:noWrap/>
            <w:vAlign w:val="bottom"/>
            <w:hideMark/>
          </w:tcPr>
          <w:p w:rsidR="00341240" w:rsidRPr="00341240" w:rsidRDefault="00341240" w:rsidP="00341240">
            <w:pPr>
              <w:spacing w:after="0" w:line="240" w:lineRule="auto"/>
              <w:jc w:val="right"/>
              <w:rPr>
                <w:rFonts w:ascii="Times New Roman" w:eastAsia="Times New Roman" w:hAnsi="Times New Roman" w:cs="Times New Roman"/>
                <w:b/>
                <w:color w:val="000000"/>
                <w:sz w:val="14"/>
                <w:szCs w:val="14"/>
                <w:lang w:val="en-US"/>
              </w:rPr>
            </w:pPr>
            <w:r w:rsidRPr="00341240">
              <w:rPr>
                <w:rFonts w:ascii="Times New Roman" w:eastAsia="Times New Roman" w:hAnsi="Times New Roman" w:cs="Times New Roman"/>
                <w:b/>
                <w:color w:val="000000"/>
                <w:sz w:val="14"/>
                <w:szCs w:val="14"/>
                <w:lang w:val="en-US"/>
              </w:rPr>
              <w:t>0</w:t>
            </w:r>
          </w:p>
        </w:tc>
        <w:tc>
          <w:tcPr>
            <w:tcW w:w="914" w:type="dxa"/>
            <w:tcBorders>
              <w:top w:val="nil"/>
              <w:left w:val="nil"/>
              <w:bottom w:val="single" w:sz="4" w:space="0" w:color="auto"/>
              <w:right w:val="single" w:sz="4" w:space="0" w:color="auto"/>
            </w:tcBorders>
            <w:shd w:val="clear" w:color="auto" w:fill="auto"/>
            <w:noWrap/>
            <w:vAlign w:val="bottom"/>
            <w:hideMark/>
          </w:tcPr>
          <w:p w:rsidR="00341240" w:rsidRPr="00341240" w:rsidRDefault="00341240" w:rsidP="00341240">
            <w:pPr>
              <w:spacing w:after="0" w:line="240" w:lineRule="auto"/>
              <w:jc w:val="right"/>
              <w:rPr>
                <w:rFonts w:ascii="Times New Roman" w:eastAsia="Times New Roman" w:hAnsi="Times New Roman" w:cs="Times New Roman"/>
                <w:b/>
                <w:color w:val="000000"/>
                <w:sz w:val="14"/>
                <w:szCs w:val="14"/>
                <w:lang w:val="en-US"/>
              </w:rPr>
            </w:pPr>
            <w:r w:rsidRPr="00341240">
              <w:rPr>
                <w:rFonts w:ascii="Times New Roman" w:eastAsia="Times New Roman" w:hAnsi="Times New Roman" w:cs="Times New Roman"/>
                <w:b/>
                <w:color w:val="000000"/>
                <w:sz w:val="14"/>
                <w:szCs w:val="14"/>
                <w:lang w:val="en-US"/>
              </w:rPr>
              <w:t>0</w:t>
            </w:r>
          </w:p>
        </w:tc>
        <w:tc>
          <w:tcPr>
            <w:tcW w:w="914" w:type="dxa"/>
            <w:tcBorders>
              <w:top w:val="nil"/>
              <w:left w:val="nil"/>
              <w:bottom w:val="single" w:sz="4" w:space="0" w:color="auto"/>
              <w:right w:val="single" w:sz="4" w:space="0" w:color="auto"/>
            </w:tcBorders>
            <w:shd w:val="clear" w:color="auto" w:fill="auto"/>
            <w:noWrap/>
            <w:vAlign w:val="bottom"/>
            <w:hideMark/>
          </w:tcPr>
          <w:p w:rsidR="00341240" w:rsidRPr="00341240" w:rsidRDefault="00341240" w:rsidP="00341240">
            <w:pPr>
              <w:spacing w:after="0" w:line="240" w:lineRule="auto"/>
              <w:jc w:val="right"/>
              <w:rPr>
                <w:rFonts w:ascii="Times New Roman" w:eastAsia="Times New Roman" w:hAnsi="Times New Roman" w:cs="Times New Roman"/>
                <w:b/>
                <w:color w:val="000000"/>
                <w:sz w:val="14"/>
                <w:szCs w:val="14"/>
                <w:lang w:val="en-US"/>
              </w:rPr>
            </w:pPr>
            <w:r w:rsidRPr="00341240">
              <w:rPr>
                <w:rFonts w:ascii="Times New Roman" w:eastAsia="Times New Roman" w:hAnsi="Times New Roman" w:cs="Times New Roman"/>
                <w:b/>
                <w:color w:val="000000"/>
                <w:sz w:val="14"/>
                <w:szCs w:val="14"/>
                <w:lang w:val="en-US"/>
              </w:rPr>
              <w:t>0</w:t>
            </w:r>
          </w:p>
        </w:tc>
        <w:tc>
          <w:tcPr>
            <w:tcW w:w="914" w:type="dxa"/>
            <w:tcBorders>
              <w:top w:val="nil"/>
              <w:left w:val="nil"/>
              <w:bottom w:val="single" w:sz="4" w:space="0" w:color="auto"/>
              <w:right w:val="single" w:sz="8" w:space="0" w:color="auto"/>
            </w:tcBorders>
            <w:shd w:val="clear" w:color="auto" w:fill="auto"/>
            <w:noWrap/>
            <w:vAlign w:val="bottom"/>
            <w:hideMark/>
          </w:tcPr>
          <w:p w:rsidR="00341240" w:rsidRPr="00341240" w:rsidRDefault="00341240" w:rsidP="00341240">
            <w:pPr>
              <w:spacing w:after="0" w:line="240" w:lineRule="auto"/>
              <w:jc w:val="right"/>
              <w:rPr>
                <w:rFonts w:ascii="Times New Roman" w:eastAsia="Times New Roman" w:hAnsi="Times New Roman" w:cs="Times New Roman"/>
                <w:b/>
                <w:color w:val="000000"/>
                <w:sz w:val="14"/>
                <w:szCs w:val="14"/>
                <w:lang w:val="en-US"/>
              </w:rPr>
            </w:pPr>
            <w:r w:rsidRPr="00341240">
              <w:rPr>
                <w:rFonts w:ascii="Times New Roman" w:eastAsia="Times New Roman" w:hAnsi="Times New Roman" w:cs="Times New Roman"/>
                <w:b/>
                <w:color w:val="000000"/>
                <w:sz w:val="14"/>
                <w:szCs w:val="14"/>
                <w:lang w:val="en-US"/>
              </w:rPr>
              <w:t>6 500 000</w:t>
            </w:r>
          </w:p>
        </w:tc>
      </w:tr>
      <w:tr w:rsidR="00341240" w:rsidRPr="00341240" w:rsidTr="00411971">
        <w:trPr>
          <w:trHeight w:val="800"/>
        </w:trPr>
        <w:tc>
          <w:tcPr>
            <w:tcW w:w="1179" w:type="dxa"/>
            <w:tcBorders>
              <w:top w:val="nil"/>
              <w:left w:val="single" w:sz="8" w:space="0" w:color="auto"/>
              <w:bottom w:val="single" w:sz="8" w:space="0" w:color="auto"/>
              <w:right w:val="single" w:sz="4" w:space="0" w:color="auto"/>
            </w:tcBorders>
            <w:shd w:val="clear" w:color="auto" w:fill="auto"/>
            <w:vAlign w:val="center"/>
            <w:hideMark/>
          </w:tcPr>
          <w:p w:rsidR="00341240" w:rsidRPr="00341240" w:rsidRDefault="00341240" w:rsidP="00341240">
            <w:pPr>
              <w:spacing w:after="0" w:line="240" w:lineRule="auto"/>
              <w:jc w:val="center"/>
              <w:rPr>
                <w:rFonts w:ascii="Times New Roman" w:eastAsia="Times New Roman" w:hAnsi="Times New Roman" w:cs="Times New Roman"/>
                <w:b/>
                <w:bCs/>
                <w:color w:val="000000"/>
                <w:sz w:val="16"/>
                <w:szCs w:val="16"/>
              </w:rPr>
            </w:pPr>
            <w:r w:rsidRPr="00341240">
              <w:rPr>
                <w:rFonts w:ascii="Times New Roman" w:eastAsia="Times New Roman" w:hAnsi="Times New Roman" w:cs="Times New Roman"/>
                <w:b/>
                <w:bCs/>
                <w:color w:val="000000"/>
                <w:sz w:val="16"/>
                <w:szCs w:val="16"/>
              </w:rPr>
              <w:t>Капитал ЦК на покрытие возможных потерь</w:t>
            </w:r>
          </w:p>
        </w:tc>
        <w:tc>
          <w:tcPr>
            <w:tcW w:w="781" w:type="dxa"/>
            <w:tcBorders>
              <w:top w:val="nil"/>
              <w:left w:val="nil"/>
              <w:bottom w:val="single" w:sz="8" w:space="0" w:color="auto"/>
              <w:right w:val="single" w:sz="4" w:space="0" w:color="auto"/>
            </w:tcBorders>
            <w:shd w:val="clear" w:color="auto" w:fill="auto"/>
            <w:noWrap/>
            <w:vAlign w:val="bottom"/>
            <w:hideMark/>
          </w:tcPr>
          <w:p w:rsidR="00341240" w:rsidRPr="00341240" w:rsidRDefault="00341240" w:rsidP="00341240">
            <w:pPr>
              <w:spacing w:after="0" w:line="240" w:lineRule="auto"/>
              <w:jc w:val="right"/>
              <w:rPr>
                <w:rFonts w:ascii="Times New Roman" w:eastAsia="Times New Roman" w:hAnsi="Times New Roman" w:cs="Times New Roman"/>
                <w:b/>
                <w:color w:val="000000"/>
                <w:sz w:val="14"/>
                <w:szCs w:val="14"/>
                <w:lang w:val="en-US"/>
              </w:rPr>
            </w:pPr>
            <w:r w:rsidRPr="00341240">
              <w:rPr>
                <w:rFonts w:ascii="Times New Roman" w:eastAsia="Times New Roman" w:hAnsi="Times New Roman" w:cs="Times New Roman"/>
                <w:b/>
                <w:color w:val="000000"/>
                <w:sz w:val="14"/>
                <w:szCs w:val="14"/>
                <w:lang w:val="en-US"/>
              </w:rPr>
              <w:t>0</w:t>
            </w:r>
          </w:p>
        </w:tc>
        <w:tc>
          <w:tcPr>
            <w:tcW w:w="944" w:type="dxa"/>
            <w:tcBorders>
              <w:top w:val="nil"/>
              <w:left w:val="nil"/>
              <w:bottom w:val="single" w:sz="8" w:space="0" w:color="auto"/>
              <w:right w:val="single" w:sz="4" w:space="0" w:color="auto"/>
            </w:tcBorders>
            <w:shd w:val="clear" w:color="auto" w:fill="auto"/>
            <w:noWrap/>
            <w:vAlign w:val="bottom"/>
            <w:hideMark/>
          </w:tcPr>
          <w:p w:rsidR="00341240" w:rsidRPr="00341240" w:rsidRDefault="00341240" w:rsidP="00341240">
            <w:pPr>
              <w:spacing w:after="0" w:line="240" w:lineRule="auto"/>
              <w:jc w:val="right"/>
              <w:rPr>
                <w:rFonts w:ascii="Times New Roman" w:eastAsia="Times New Roman" w:hAnsi="Times New Roman" w:cs="Times New Roman"/>
                <w:b/>
                <w:color w:val="000000"/>
                <w:sz w:val="14"/>
                <w:szCs w:val="14"/>
                <w:lang w:val="en-US"/>
              </w:rPr>
            </w:pPr>
            <w:r w:rsidRPr="00341240">
              <w:rPr>
                <w:rFonts w:ascii="Times New Roman" w:eastAsia="Times New Roman" w:hAnsi="Times New Roman" w:cs="Times New Roman"/>
                <w:b/>
                <w:color w:val="000000"/>
                <w:sz w:val="14"/>
                <w:szCs w:val="14"/>
                <w:lang w:val="en-US"/>
              </w:rPr>
              <w:t>0</w:t>
            </w:r>
          </w:p>
        </w:tc>
        <w:tc>
          <w:tcPr>
            <w:tcW w:w="979" w:type="dxa"/>
            <w:tcBorders>
              <w:top w:val="nil"/>
              <w:left w:val="nil"/>
              <w:bottom w:val="single" w:sz="8" w:space="0" w:color="auto"/>
              <w:right w:val="single" w:sz="4" w:space="0" w:color="auto"/>
            </w:tcBorders>
            <w:shd w:val="clear" w:color="auto" w:fill="auto"/>
            <w:noWrap/>
            <w:vAlign w:val="bottom"/>
            <w:hideMark/>
          </w:tcPr>
          <w:p w:rsidR="00341240" w:rsidRPr="00341240" w:rsidRDefault="00341240" w:rsidP="00341240">
            <w:pPr>
              <w:spacing w:after="0" w:line="240" w:lineRule="auto"/>
              <w:jc w:val="right"/>
              <w:rPr>
                <w:rFonts w:ascii="Times New Roman" w:eastAsia="Times New Roman" w:hAnsi="Times New Roman" w:cs="Times New Roman"/>
                <w:b/>
                <w:color w:val="000000"/>
                <w:sz w:val="14"/>
                <w:szCs w:val="14"/>
                <w:lang w:val="en-US"/>
              </w:rPr>
            </w:pPr>
            <w:r w:rsidRPr="00341240">
              <w:rPr>
                <w:rFonts w:ascii="Times New Roman" w:eastAsia="Times New Roman" w:hAnsi="Times New Roman" w:cs="Times New Roman"/>
                <w:b/>
                <w:color w:val="000000"/>
                <w:sz w:val="14"/>
                <w:szCs w:val="14"/>
                <w:lang w:val="en-US"/>
              </w:rPr>
              <w:t>0</w:t>
            </w:r>
          </w:p>
        </w:tc>
        <w:tc>
          <w:tcPr>
            <w:tcW w:w="914" w:type="dxa"/>
            <w:tcBorders>
              <w:top w:val="nil"/>
              <w:left w:val="nil"/>
              <w:bottom w:val="single" w:sz="8" w:space="0" w:color="auto"/>
              <w:right w:val="single" w:sz="4" w:space="0" w:color="auto"/>
            </w:tcBorders>
            <w:shd w:val="clear" w:color="auto" w:fill="auto"/>
            <w:noWrap/>
            <w:vAlign w:val="bottom"/>
            <w:hideMark/>
          </w:tcPr>
          <w:p w:rsidR="00341240" w:rsidRPr="00341240" w:rsidRDefault="00341240" w:rsidP="00341240">
            <w:pPr>
              <w:spacing w:after="0" w:line="240" w:lineRule="auto"/>
              <w:jc w:val="right"/>
              <w:rPr>
                <w:rFonts w:ascii="Times New Roman" w:eastAsia="Times New Roman" w:hAnsi="Times New Roman" w:cs="Times New Roman"/>
                <w:b/>
                <w:color w:val="000000"/>
                <w:sz w:val="14"/>
                <w:szCs w:val="14"/>
                <w:lang w:val="en-US"/>
              </w:rPr>
            </w:pPr>
            <w:r w:rsidRPr="00341240">
              <w:rPr>
                <w:rFonts w:ascii="Times New Roman" w:eastAsia="Times New Roman" w:hAnsi="Times New Roman" w:cs="Times New Roman"/>
                <w:b/>
                <w:color w:val="000000"/>
                <w:sz w:val="14"/>
                <w:szCs w:val="14"/>
                <w:lang w:val="en-US"/>
              </w:rPr>
              <w:t>0</w:t>
            </w:r>
          </w:p>
        </w:tc>
        <w:tc>
          <w:tcPr>
            <w:tcW w:w="914" w:type="dxa"/>
            <w:tcBorders>
              <w:top w:val="nil"/>
              <w:left w:val="nil"/>
              <w:bottom w:val="single" w:sz="8" w:space="0" w:color="auto"/>
              <w:right w:val="single" w:sz="4" w:space="0" w:color="auto"/>
            </w:tcBorders>
            <w:shd w:val="clear" w:color="auto" w:fill="auto"/>
            <w:noWrap/>
            <w:vAlign w:val="bottom"/>
            <w:hideMark/>
          </w:tcPr>
          <w:p w:rsidR="00341240" w:rsidRPr="00341240" w:rsidRDefault="00341240" w:rsidP="00341240">
            <w:pPr>
              <w:spacing w:after="0" w:line="240" w:lineRule="auto"/>
              <w:jc w:val="right"/>
              <w:rPr>
                <w:rFonts w:ascii="Times New Roman" w:eastAsia="Times New Roman" w:hAnsi="Times New Roman" w:cs="Times New Roman"/>
                <w:b/>
                <w:color w:val="000000"/>
                <w:sz w:val="14"/>
                <w:szCs w:val="14"/>
                <w:lang w:val="en-US"/>
              </w:rPr>
            </w:pPr>
            <w:r w:rsidRPr="00341240">
              <w:rPr>
                <w:rFonts w:ascii="Times New Roman" w:eastAsia="Times New Roman" w:hAnsi="Times New Roman" w:cs="Times New Roman"/>
                <w:b/>
                <w:color w:val="000000"/>
                <w:sz w:val="14"/>
                <w:szCs w:val="14"/>
                <w:lang w:val="en-US"/>
              </w:rPr>
              <w:t>0</w:t>
            </w:r>
          </w:p>
        </w:tc>
        <w:tc>
          <w:tcPr>
            <w:tcW w:w="914" w:type="dxa"/>
            <w:tcBorders>
              <w:top w:val="nil"/>
              <w:left w:val="nil"/>
              <w:bottom w:val="single" w:sz="8" w:space="0" w:color="auto"/>
              <w:right w:val="single" w:sz="4" w:space="0" w:color="auto"/>
            </w:tcBorders>
            <w:shd w:val="clear" w:color="auto" w:fill="auto"/>
            <w:noWrap/>
            <w:vAlign w:val="bottom"/>
            <w:hideMark/>
          </w:tcPr>
          <w:p w:rsidR="00341240" w:rsidRPr="00341240" w:rsidRDefault="00341240" w:rsidP="00341240">
            <w:pPr>
              <w:spacing w:after="0" w:line="240" w:lineRule="auto"/>
              <w:jc w:val="right"/>
              <w:rPr>
                <w:rFonts w:ascii="Times New Roman" w:eastAsia="Times New Roman" w:hAnsi="Times New Roman" w:cs="Times New Roman"/>
                <w:b/>
                <w:color w:val="000000"/>
                <w:sz w:val="14"/>
                <w:szCs w:val="14"/>
                <w:lang w:val="en-US"/>
              </w:rPr>
            </w:pPr>
            <w:r w:rsidRPr="00341240">
              <w:rPr>
                <w:rFonts w:ascii="Times New Roman" w:eastAsia="Times New Roman" w:hAnsi="Times New Roman" w:cs="Times New Roman"/>
                <w:b/>
                <w:color w:val="000000"/>
                <w:sz w:val="14"/>
                <w:szCs w:val="14"/>
                <w:lang w:val="en-US"/>
              </w:rPr>
              <w:t>0</w:t>
            </w:r>
          </w:p>
        </w:tc>
        <w:tc>
          <w:tcPr>
            <w:tcW w:w="914" w:type="dxa"/>
            <w:tcBorders>
              <w:top w:val="nil"/>
              <w:left w:val="nil"/>
              <w:bottom w:val="single" w:sz="8" w:space="0" w:color="auto"/>
              <w:right w:val="single" w:sz="4" w:space="0" w:color="auto"/>
            </w:tcBorders>
            <w:shd w:val="clear" w:color="auto" w:fill="auto"/>
            <w:noWrap/>
            <w:vAlign w:val="bottom"/>
            <w:hideMark/>
          </w:tcPr>
          <w:p w:rsidR="00341240" w:rsidRPr="00341240" w:rsidRDefault="00341240" w:rsidP="00341240">
            <w:pPr>
              <w:spacing w:after="0" w:line="240" w:lineRule="auto"/>
              <w:jc w:val="right"/>
              <w:rPr>
                <w:rFonts w:ascii="Times New Roman" w:eastAsia="Times New Roman" w:hAnsi="Times New Roman" w:cs="Times New Roman"/>
                <w:b/>
                <w:color w:val="000000"/>
                <w:sz w:val="14"/>
                <w:szCs w:val="14"/>
                <w:lang w:val="en-US"/>
              </w:rPr>
            </w:pPr>
            <w:r w:rsidRPr="00341240">
              <w:rPr>
                <w:rFonts w:ascii="Times New Roman" w:eastAsia="Times New Roman" w:hAnsi="Times New Roman" w:cs="Times New Roman"/>
                <w:b/>
                <w:color w:val="000000"/>
                <w:sz w:val="14"/>
                <w:szCs w:val="14"/>
                <w:lang w:val="en-US"/>
              </w:rPr>
              <w:t>0</w:t>
            </w:r>
          </w:p>
        </w:tc>
        <w:tc>
          <w:tcPr>
            <w:tcW w:w="914" w:type="dxa"/>
            <w:tcBorders>
              <w:top w:val="nil"/>
              <w:left w:val="nil"/>
              <w:bottom w:val="single" w:sz="8" w:space="0" w:color="auto"/>
              <w:right w:val="single" w:sz="4" w:space="0" w:color="auto"/>
            </w:tcBorders>
            <w:shd w:val="clear" w:color="auto" w:fill="auto"/>
            <w:noWrap/>
            <w:vAlign w:val="bottom"/>
            <w:hideMark/>
          </w:tcPr>
          <w:p w:rsidR="00341240" w:rsidRPr="00341240" w:rsidRDefault="00341240" w:rsidP="00341240">
            <w:pPr>
              <w:spacing w:after="0" w:line="240" w:lineRule="auto"/>
              <w:jc w:val="right"/>
              <w:rPr>
                <w:rFonts w:ascii="Times New Roman" w:eastAsia="Times New Roman" w:hAnsi="Times New Roman" w:cs="Times New Roman"/>
                <w:b/>
                <w:color w:val="000000"/>
                <w:sz w:val="14"/>
                <w:szCs w:val="14"/>
                <w:lang w:val="en-US"/>
              </w:rPr>
            </w:pPr>
            <w:r w:rsidRPr="00341240">
              <w:rPr>
                <w:rFonts w:ascii="Times New Roman" w:eastAsia="Times New Roman" w:hAnsi="Times New Roman" w:cs="Times New Roman"/>
                <w:b/>
                <w:color w:val="000000"/>
                <w:sz w:val="14"/>
                <w:szCs w:val="14"/>
                <w:lang w:val="en-US"/>
              </w:rPr>
              <w:t>0</w:t>
            </w:r>
          </w:p>
        </w:tc>
        <w:tc>
          <w:tcPr>
            <w:tcW w:w="914" w:type="dxa"/>
            <w:tcBorders>
              <w:top w:val="nil"/>
              <w:left w:val="nil"/>
              <w:bottom w:val="single" w:sz="8" w:space="0" w:color="auto"/>
              <w:right w:val="single" w:sz="8" w:space="0" w:color="auto"/>
            </w:tcBorders>
            <w:shd w:val="clear" w:color="auto" w:fill="auto"/>
            <w:noWrap/>
            <w:vAlign w:val="bottom"/>
            <w:hideMark/>
          </w:tcPr>
          <w:p w:rsidR="00341240" w:rsidRPr="00341240" w:rsidRDefault="00341240" w:rsidP="00341240">
            <w:pPr>
              <w:spacing w:after="0" w:line="240" w:lineRule="auto"/>
              <w:jc w:val="right"/>
              <w:rPr>
                <w:rFonts w:ascii="Times New Roman" w:eastAsia="Times New Roman" w:hAnsi="Times New Roman" w:cs="Times New Roman"/>
                <w:b/>
                <w:color w:val="000000"/>
                <w:sz w:val="14"/>
                <w:szCs w:val="14"/>
                <w:lang w:val="en-US"/>
              </w:rPr>
            </w:pPr>
            <w:r w:rsidRPr="00341240">
              <w:rPr>
                <w:rFonts w:ascii="Times New Roman" w:eastAsia="Times New Roman" w:hAnsi="Times New Roman" w:cs="Times New Roman"/>
                <w:b/>
                <w:color w:val="000000"/>
                <w:sz w:val="14"/>
                <w:szCs w:val="14"/>
                <w:lang w:val="en-US"/>
              </w:rPr>
              <w:t>766 498</w:t>
            </w:r>
          </w:p>
        </w:tc>
      </w:tr>
    </w:tbl>
    <w:p w:rsidR="00341240" w:rsidRPr="00341240" w:rsidRDefault="00341240" w:rsidP="00341240">
      <w:pPr>
        <w:tabs>
          <w:tab w:val="left" w:pos="360"/>
          <w:tab w:val="num" w:pos="1920"/>
        </w:tabs>
        <w:spacing w:after="0" w:line="240" w:lineRule="auto"/>
        <w:jc w:val="both"/>
        <w:rPr>
          <w:rFonts w:ascii="Times New Roman" w:eastAsia="Times New Roman" w:hAnsi="Times New Roman" w:cs="Times New Roman"/>
          <w:sz w:val="24"/>
          <w:szCs w:val="24"/>
          <w:lang w:eastAsia="ru-RU"/>
        </w:rPr>
      </w:pPr>
    </w:p>
    <w:p w:rsidR="00341240" w:rsidRPr="00341240" w:rsidRDefault="00341240" w:rsidP="00341240">
      <w:pPr>
        <w:tabs>
          <w:tab w:val="left" w:pos="360"/>
          <w:tab w:val="num" w:pos="1920"/>
        </w:tabs>
        <w:spacing w:after="0" w:line="240" w:lineRule="auto"/>
        <w:jc w:val="both"/>
        <w:rPr>
          <w:rFonts w:ascii="Times New Roman" w:eastAsia="Times New Roman" w:hAnsi="Times New Roman" w:cs="Times New Roman"/>
          <w:sz w:val="24"/>
          <w:szCs w:val="24"/>
          <w:lang w:eastAsia="ru-RU"/>
        </w:rPr>
      </w:pPr>
      <w:r w:rsidRPr="00341240">
        <w:rPr>
          <w:rFonts w:ascii="Times New Roman" w:eastAsia="Times New Roman" w:hAnsi="Times New Roman" w:cs="Times New Roman"/>
          <w:noProof/>
          <w:sz w:val="24"/>
          <w:szCs w:val="24"/>
          <w:lang w:eastAsia="ru-RU"/>
        </w:rPr>
        <w:drawing>
          <wp:anchor distT="0" distB="0" distL="114300" distR="114300" simplePos="0" relativeHeight="251684864" behindDoc="1" locked="0" layoutInCell="1" allowOverlap="1" wp14:anchorId="6DF69098" wp14:editId="27160AC3">
            <wp:simplePos x="0" y="0"/>
            <wp:positionH relativeFrom="column">
              <wp:posOffset>524510</wp:posOffset>
            </wp:positionH>
            <wp:positionV relativeFrom="paragraph">
              <wp:posOffset>7620</wp:posOffset>
            </wp:positionV>
            <wp:extent cx="5407660" cy="2219325"/>
            <wp:effectExtent l="0" t="0" r="2540" b="9525"/>
            <wp:wrapTight wrapText="bothSides">
              <wp:wrapPolygon edited="0">
                <wp:start x="0" y="0"/>
                <wp:lineTo x="0" y="21507"/>
                <wp:lineTo x="21534" y="21507"/>
                <wp:lineTo x="21534"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бственные средства (капитал).png"/>
                    <pic:cNvPicPr/>
                  </pic:nvPicPr>
                  <pic:blipFill>
                    <a:blip r:embed="rId38">
                      <a:extLst>
                        <a:ext uri="{28A0092B-C50C-407E-A947-70E740481C1C}">
                          <a14:useLocalDpi xmlns:a14="http://schemas.microsoft.com/office/drawing/2010/main" val="0"/>
                        </a:ext>
                      </a:extLst>
                    </a:blip>
                    <a:stretch>
                      <a:fillRect/>
                    </a:stretch>
                  </pic:blipFill>
                  <pic:spPr>
                    <a:xfrm>
                      <a:off x="0" y="0"/>
                      <a:ext cx="5407660" cy="2219325"/>
                    </a:xfrm>
                    <a:prstGeom prst="rect">
                      <a:avLst/>
                    </a:prstGeom>
                  </pic:spPr>
                </pic:pic>
              </a:graphicData>
            </a:graphic>
            <wp14:sizeRelH relativeFrom="margin">
              <wp14:pctWidth>0</wp14:pctWidth>
            </wp14:sizeRelH>
            <wp14:sizeRelV relativeFrom="margin">
              <wp14:pctHeight>0</wp14:pctHeight>
            </wp14:sizeRelV>
          </wp:anchor>
        </w:drawing>
      </w:r>
    </w:p>
    <w:p w:rsidR="00341240" w:rsidRPr="00341240" w:rsidRDefault="00341240" w:rsidP="00341240">
      <w:pPr>
        <w:spacing w:after="0" w:line="240" w:lineRule="auto"/>
        <w:jc w:val="both"/>
        <w:rPr>
          <w:rFonts w:ascii="Times New Roman" w:eastAsia="Times New Roman" w:hAnsi="Times New Roman" w:cs="Times New Roman"/>
          <w:b/>
          <w:bCs/>
          <w:color w:val="000000"/>
          <w:sz w:val="24"/>
          <w:szCs w:val="24"/>
        </w:rPr>
      </w:pPr>
    </w:p>
    <w:p w:rsidR="00341240" w:rsidRPr="00341240" w:rsidRDefault="00341240" w:rsidP="00341240">
      <w:pPr>
        <w:spacing w:after="0" w:line="240" w:lineRule="auto"/>
        <w:jc w:val="both"/>
        <w:rPr>
          <w:rFonts w:ascii="Times New Roman" w:eastAsia="Times New Roman" w:hAnsi="Times New Roman" w:cs="Times New Roman"/>
          <w:b/>
          <w:bCs/>
          <w:color w:val="000000"/>
          <w:sz w:val="24"/>
          <w:szCs w:val="24"/>
        </w:rPr>
      </w:pPr>
    </w:p>
    <w:p w:rsidR="00341240" w:rsidRPr="00341240" w:rsidRDefault="00341240" w:rsidP="00341240">
      <w:pPr>
        <w:spacing w:after="0" w:line="240" w:lineRule="auto"/>
        <w:jc w:val="both"/>
        <w:rPr>
          <w:rFonts w:ascii="Times New Roman" w:eastAsia="Times New Roman" w:hAnsi="Times New Roman" w:cs="Times New Roman"/>
          <w:b/>
          <w:bCs/>
          <w:color w:val="000000"/>
          <w:sz w:val="24"/>
          <w:szCs w:val="24"/>
        </w:rPr>
      </w:pPr>
      <w:r w:rsidRPr="00341240">
        <w:rPr>
          <w:noProof/>
          <w:lang w:eastAsia="ru-RU"/>
        </w:rPr>
        <mc:AlternateContent>
          <mc:Choice Requires="wps">
            <w:drawing>
              <wp:anchor distT="0" distB="0" distL="114300" distR="114300" simplePos="0" relativeHeight="251691008" behindDoc="0" locked="0" layoutInCell="1" allowOverlap="1" wp14:anchorId="7B38BD80" wp14:editId="4ACAC592">
                <wp:simplePos x="0" y="0"/>
                <wp:positionH relativeFrom="column">
                  <wp:posOffset>70485</wp:posOffset>
                </wp:positionH>
                <wp:positionV relativeFrom="paragraph">
                  <wp:posOffset>142875</wp:posOffset>
                </wp:positionV>
                <wp:extent cx="1371600" cy="396240"/>
                <wp:effectExtent l="0" t="0" r="0" b="381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6240"/>
                        </a:xfrm>
                        <a:prstGeom prst="rect">
                          <a:avLst/>
                        </a:prstGeom>
                        <a:solidFill>
                          <a:sysClr val="window" lastClr="FFFFFF">
                            <a:lumMod val="95000"/>
                          </a:sysClr>
                        </a:solidFill>
                        <a:ln w="9525">
                          <a:noFill/>
                          <a:miter lim="800000"/>
                          <a:headEnd/>
                          <a:tailEnd/>
                        </a:ln>
                      </wps:spPr>
                      <wps:txbx>
                        <w:txbxContent>
                          <w:p w:rsidR="00341240" w:rsidRPr="00E21832" w:rsidRDefault="00341240" w:rsidP="00341240">
                            <w:pPr>
                              <w:jc w:val="center"/>
                              <w:rPr>
                                <w:b/>
                                <w:sz w:val="16"/>
                                <w:szCs w:val="16"/>
                              </w:rPr>
                            </w:pPr>
                            <w:r w:rsidRPr="00E21832">
                              <w:rPr>
                                <w:rFonts w:ascii="Times New Roman" w:eastAsia="Times New Roman" w:hAnsi="Times New Roman" w:cs="Times New Roman"/>
                                <w:b/>
                                <w:bCs/>
                                <w:color w:val="000000"/>
                                <w:sz w:val="16"/>
                                <w:szCs w:val="16"/>
                                <w:lang w:val="en-US"/>
                              </w:rPr>
                              <w:t>Собственные средства (капитал)</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37" type="#_x0000_t202" style="position:absolute;left:0;text-align:left;margin-left:5.55pt;margin-top:11.25pt;width:108pt;height:31.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" fillcolor="#f2f2f2" stroked="f">
                <v:textbox>
                  <w:txbxContent>
                    <w:p w:rsidR="00341240" w:rsidRPr="00E21832" w:rsidRDefault="00341240" w:rsidP="00341240">
                      <w:pPr>
                        <w:jc w:val="center"/>
                        <w:rPr>
                          <w:b/>
                          <w:sz w:val="16"/>
                          <w:szCs w:val="16"/>
                        </w:rPr>
                      </w:pPr>
                      <w:proofErr w:type="spellStart"/>
                      <w:r w:rsidRPr="00E21832">
                        <w:rPr>
                          <w:rFonts w:ascii="Times New Roman" w:eastAsia="Times New Roman" w:hAnsi="Times New Roman" w:cs="Times New Roman"/>
                          <w:b/>
                          <w:bCs/>
                          <w:color w:val="000000"/>
                          <w:sz w:val="16"/>
                          <w:szCs w:val="16"/>
                          <w:lang w:val="en-US"/>
                        </w:rPr>
                        <w:t>Собственные</w:t>
                      </w:r>
                      <w:proofErr w:type="spellEnd"/>
                      <w:r w:rsidRPr="00E21832">
                        <w:rPr>
                          <w:rFonts w:ascii="Times New Roman" w:eastAsia="Times New Roman" w:hAnsi="Times New Roman" w:cs="Times New Roman"/>
                          <w:b/>
                          <w:bCs/>
                          <w:color w:val="000000"/>
                          <w:sz w:val="16"/>
                          <w:szCs w:val="16"/>
                          <w:lang w:val="en-US"/>
                        </w:rPr>
                        <w:t xml:space="preserve"> </w:t>
                      </w:r>
                      <w:proofErr w:type="spellStart"/>
                      <w:r w:rsidRPr="00E21832">
                        <w:rPr>
                          <w:rFonts w:ascii="Times New Roman" w:eastAsia="Times New Roman" w:hAnsi="Times New Roman" w:cs="Times New Roman"/>
                          <w:b/>
                          <w:bCs/>
                          <w:color w:val="000000"/>
                          <w:sz w:val="16"/>
                          <w:szCs w:val="16"/>
                          <w:lang w:val="en-US"/>
                        </w:rPr>
                        <w:t>средства</w:t>
                      </w:r>
                      <w:proofErr w:type="spellEnd"/>
                      <w:r w:rsidRPr="00E21832">
                        <w:rPr>
                          <w:rFonts w:ascii="Times New Roman" w:eastAsia="Times New Roman" w:hAnsi="Times New Roman" w:cs="Times New Roman"/>
                          <w:b/>
                          <w:bCs/>
                          <w:color w:val="000000"/>
                          <w:sz w:val="16"/>
                          <w:szCs w:val="16"/>
                          <w:lang w:val="en-US"/>
                        </w:rPr>
                        <w:t xml:space="preserve"> (</w:t>
                      </w:r>
                      <w:proofErr w:type="spellStart"/>
                      <w:r w:rsidRPr="00E21832">
                        <w:rPr>
                          <w:rFonts w:ascii="Times New Roman" w:eastAsia="Times New Roman" w:hAnsi="Times New Roman" w:cs="Times New Roman"/>
                          <w:b/>
                          <w:bCs/>
                          <w:color w:val="000000"/>
                          <w:sz w:val="16"/>
                          <w:szCs w:val="16"/>
                          <w:lang w:val="en-US"/>
                        </w:rPr>
                        <w:t>капитал</w:t>
                      </w:r>
                      <w:proofErr w:type="spellEnd"/>
                      <w:r w:rsidRPr="00E21832">
                        <w:rPr>
                          <w:rFonts w:ascii="Times New Roman" w:eastAsia="Times New Roman" w:hAnsi="Times New Roman" w:cs="Times New Roman"/>
                          <w:b/>
                          <w:bCs/>
                          <w:color w:val="000000"/>
                          <w:sz w:val="16"/>
                          <w:szCs w:val="16"/>
                          <w:lang w:val="en-US"/>
                        </w:rPr>
                        <w:t>)</w:t>
                      </w:r>
                    </w:p>
                  </w:txbxContent>
                </v:textbox>
              </v:shape>
            </w:pict>
          </mc:Fallback>
        </mc:AlternateContent>
      </w:r>
    </w:p>
    <w:p w:rsidR="00341240" w:rsidRPr="00341240" w:rsidRDefault="00341240" w:rsidP="00341240">
      <w:pPr>
        <w:spacing w:after="0" w:line="240" w:lineRule="auto"/>
        <w:jc w:val="both"/>
        <w:rPr>
          <w:rFonts w:ascii="Times New Roman" w:eastAsia="Times New Roman" w:hAnsi="Times New Roman" w:cs="Times New Roman"/>
          <w:b/>
          <w:bCs/>
          <w:color w:val="000000"/>
          <w:sz w:val="24"/>
          <w:szCs w:val="24"/>
        </w:rPr>
      </w:pPr>
    </w:p>
    <w:p w:rsidR="00341240" w:rsidRPr="00341240" w:rsidRDefault="00341240" w:rsidP="00341240">
      <w:pPr>
        <w:spacing w:after="0" w:line="240" w:lineRule="auto"/>
        <w:jc w:val="both"/>
        <w:rPr>
          <w:rFonts w:ascii="Times New Roman" w:eastAsia="Times New Roman" w:hAnsi="Times New Roman" w:cs="Times New Roman"/>
          <w:b/>
          <w:bCs/>
          <w:color w:val="000000"/>
          <w:sz w:val="24"/>
          <w:szCs w:val="24"/>
        </w:rPr>
      </w:pPr>
    </w:p>
    <w:p w:rsidR="00341240" w:rsidRPr="00341240" w:rsidRDefault="00341240" w:rsidP="00341240">
      <w:pPr>
        <w:spacing w:after="0" w:line="240" w:lineRule="auto"/>
        <w:jc w:val="both"/>
        <w:rPr>
          <w:rFonts w:ascii="Times New Roman" w:eastAsia="Times New Roman" w:hAnsi="Times New Roman" w:cs="Times New Roman"/>
          <w:b/>
          <w:bCs/>
          <w:color w:val="000000"/>
          <w:sz w:val="24"/>
          <w:szCs w:val="24"/>
        </w:rPr>
      </w:pPr>
    </w:p>
    <w:p w:rsidR="00341240" w:rsidRPr="00341240" w:rsidRDefault="00341240" w:rsidP="00341240">
      <w:pPr>
        <w:spacing w:after="0" w:line="240" w:lineRule="auto"/>
        <w:jc w:val="both"/>
        <w:rPr>
          <w:rFonts w:ascii="Times New Roman" w:eastAsia="Times New Roman" w:hAnsi="Times New Roman" w:cs="Times New Roman"/>
          <w:b/>
          <w:bCs/>
          <w:color w:val="000000"/>
          <w:sz w:val="24"/>
          <w:szCs w:val="24"/>
        </w:rPr>
      </w:pPr>
    </w:p>
    <w:p w:rsidR="00341240" w:rsidRPr="00341240" w:rsidRDefault="00341240" w:rsidP="00341240">
      <w:pPr>
        <w:spacing w:after="0" w:line="240" w:lineRule="auto"/>
        <w:jc w:val="both"/>
        <w:rPr>
          <w:rFonts w:ascii="Times New Roman" w:eastAsia="Times New Roman" w:hAnsi="Times New Roman" w:cs="Times New Roman"/>
          <w:b/>
          <w:bCs/>
          <w:color w:val="000000"/>
          <w:sz w:val="24"/>
          <w:szCs w:val="24"/>
        </w:rPr>
      </w:pPr>
    </w:p>
    <w:p w:rsidR="00341240" w:rsidRPr="00341240" w:rsidRDefault="00341240" w:rsidP="00341240">
      <w:pPr>
        <w:spacing w:after="0" w:line="240" w:lineRule="auto"/>
        <w:jc w:val="both"/>
        <w:rPr>
          <w:rFonts w:ascii="Times New Roman" w:eastAsia="Times New Roman" w:hAnsi="Times New Roman" w:cs="Times New Roman"/>
          <w:noProof/>
          <w:sz w:val="24"/>
          <w:szCs w:val="24"/>
        </w:rPr>
      </w:pPr>
    </w:p>
    <w:p w:rsidR="00341240" w:rsidRPr="00341240" w:rsidRDefault="00341240" w:rsidP="00341240">
      <w:pPr>
        <w:spacing w:after="0" w:line="240" w:lineRule="auto"/>
        <w:jc w:val="both"/>
        <w:rPr>
          <w:rFonts w:ascii="Times New Roman" w:eastAsia="Times New Roman" w:hAnsi="Times New Roman" w:cs="Times New Roman"/>
          <w:noProof/>
          <w:sz w:val="24"/>
          <w:szCs w:val="24"/>
        </w:rPr>
      </w:pPr>
    </w:p>
    <w:p w:rsidR="00341240" w:rsidRPr="00341240" w:rsidRDefault="00341240" w:rsidP="00341240">
      <w:pPr>
        <w:spacing w:after="0" w:line="240" w:lineRule="auto"/>
        <w:jc w:val="both"/>
        <w:rPr>
          <w:rFonts w:ascii="Times New Roman" w:eastAsia="Times New Roman" w:hAnsi="Times New Roman" w:cs="Times New Roman"/>
          <w:noProof/>
          <w:sz w:val="24"/>
          <w:szCs w:val="24"/>
        </w:rPr>
      </w:pPr>
      <w:r w:rsidRPr="00341240">
        <w:rPr>
          <w:noProof/>
          <w:lang w:eastAsia="ru-RU"/>
        </w:rPr>
        <mc:AlternateContent>
          <mc:Choice Requires="wps">
            <w:drawing>
              <wp:anchor distT="0" distB="0" distL="114300" distR="114300" simplePos="0" relativeHeight="251687936" behindDoc="0" locked="0" layoutInCell="1" allowOverlap="1" wp14:anchorId="403B1698" wp14:editId="35DE9C96">
                <wp:simplePos x="0" y="0"/>
                <wp:positionH relativeFrom="column">
                  <wp:posOffset>62865</wp:posOffset>
                </wp:positionH>
                <wp:positionV relativeFrom="paragraph">
                  <wp:posOffset>652145</wp:posOffset>
                </wp:positionV>
                <wp:extent cx="1371600" cy="228600"/>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ysClr val="window" lastClr="FFFFFF">
                            <a:lumMod val="95000"/>
                          </a:sysClr>
                        </a:solidFill>
                        <a:ln w="9525">
                          <a:noFill/>
                          <a:miter lim="800000"/>
                          <a:headEnd/>
                          <a:tailEnd/>
                        </a:ln>
                      </wps:spPr>
                      <wps:txbx>
                        <w:txbxContent>
                          <w:p w:rsidR="00341240" w:rsidRPr="00887535" w:rsidRDefault="00341240" w:rsidP="00341240">
                            <w:pPr>
                              <w:jc w:val="center"/>
                              <w:rPr>
                                <w:rFonts w:ascii="Times New Roman" w:hAnsi="Times New Roman" w:cs="Times New Roman"/>
                                <w:b/>
                                <w:sz w:val="18"/>
                                <w:szCs w:val="18"/>
                              </w:rPr>
                            </w:pPr>
                            <w:r w:rsidRPr="00887535">
                              <w:rPr>
                                <w:rFonts w:ascii="Times New Roman" w:hAnsi="Times New Roman" w:cs="Times New Roman"/>
                                <w:b/>
                                <w:sz w:val="18"/>
                                <w:szCs w:val="18"/>
                              </w:rPr>
                              <w:t>Прибыль</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4.95pt;margin-top:51.35pt;width:108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" fillcolor="#f2f2f2" stroked="f">
                <v:textbox>
                  <w:txbxContent>
                    <w:p w:rsidR="00341240" w:rsidRPr="00887535" w:rsidRDefault="00341240" w:rsidP="00341240">
                      <w:pPr>
                        <w:jc w:val="center"/>
                        <w:rPr>
                          <w:rFonts w:ascii="Times New Roman" w:hAnsi="Times New Roman" w:cs="Times New Roman"/>
                          <w:b/>
                          <w:sz w:val="18"/>
                          <w:szCs w:val="18"/>
                        </w:rPr>
                      </w:pPr>
                      <w:r w:rsidRPr="00887535">
                        <w:rPr>
                          <w:rFonts w:ascii="Times New Roman" w:hAnsi="Times New Roman" w:cs="Times New Roman"/>
                          <w:b/>
                          <w:sz w:val="18"/>
                          <w:szCs w:val="18"/>
                        </w:rPr>
                        <w:t>Прибыль</w:t>
                      </w:r>
                    </w:p>
                  </w:txbxContent>
                </v:textbox>
              </v:shape>
            </w:pict>
          </mc:Fallback>
        </mc:AlternateContent>
      </w:r>
      <w:r w:rsidRPr="00341240">
        <w:rPr>
          <w:rFonts w:ascii="Times New Roman" w:eastAsia="Times New Roman" w:hAnsi="Times New Roman" w:cs="Times New Roman"/>
          <w:noProof/>
          <w:sz w:val="24"/>
          <w:szCs w:val="24"/>
          <w:lang w:eastAsia="ru-RU"/>
        </w:rPr>
        <w:drawing>
          <wp:anchor distT="0" distB="0" distL="114300" distR="114300" simplePos="0" relativeHeight="251685888" behindDoc="1" locked="0" layoutInCell="1" allowOverlap="1" wp14:anchorId="3829F864" wp14:editId="3D2ADC43">
            <wp:simplePos x="0" y="0"/>
            <wp:positionH relativeFrom="column">
              <wp:posOffset>245745</wp:posOffset>
            </wp:positionH>
            <wp:positionV relativeFrom="paragraph">
              <wp:posOffset>52705</wp:posOffset>
            </wp:positionV>
            <wp:extent cx="5687695" cy="2465705"/>
            <wp:effectExtent l="0" t="0" r="8255" b="0"/>
            <wp:wrapTight wrapText="bothSides">
              <wp:wrapPolygon edited="0">
                <wp:start x="0" y="0"/>
                <wp:lineTo x="0" y="21361"/>
                <wp:lineTo x="21559" y="21361"/>
                <wp:lineTo x="21559"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быль.png"/>
                    <pic:cNvPicPr/>
                  </pic:nvPicPr>
                  <pic:blipFill>
                    <a:blip r:embed="rId39">
                      <a:extLst>
                        <a:ext uri="{28A0092B-C50C-407E-A947-70E740481C1C}">
                          <a14:useLocalDpi xmlns:a14="http://schemas.microsoft.com/office/drawing/2010/main" val="0"/>
                        </a:ext>
                      </a:extLst>
                    </a:blip>
                    <a:stretch>
                      <a:fillRect/>
                    </a:stretch>
                  </pic:blipFill>
                  <pic:spPr>
                    <a:xfrm>
                      <a:off x="0" y="0"/>
                      <a:ext cx="5687695" cy="2465705"/>
                    </a:xfrm>
                    <a:prstGeom prst="rect">
                      <a:avLst/>
                    </a:prstGeom>
                  </pic:spPr>
                </pic:pic>
              </a:graphicData>
            </a:graphic>
            <wp14:sizeRelH relativeFrom="margin">
              <wp14:pctWidth>0</wp14:pctWidth>
            </wp14:sizeRelH>
            <wp14:sizeRelV relativeFrom="margin">
              <wp14:pctHeight>0</wp14:pctHeight>
            </wp14:sizeRelV>
          </wp:anchor>
        </w:drawing>
      </w:r>
    </w:p>
    <w:p w:rsidR="00341240" w:rsidRPr="00341240" w:rsidRDefault="00341240" w:rsidP="00341240">
      <w:pPr>
        <w:spacing w:after="0" w:line="240" w:lineRule="auto"/>
        <w:jc w:val="both"/>
        <w:rPr>
          <w:rFonts w:ascii="Times New Roman" w:eastAsia="Times New Roman" w:hAnsi="Times New Roman" w:cs="Times New Roman"/>
          <w:noProof/>
          <w:sz w:val="24"/>
          <w:szCs w:val="24"/>
        </w:rPr>
      </w:pPr>
    </w:p>
    <w:p w:rsidR="00341240" w:rsidRPr="00341240" w:rsidRDefault="00341240" w:rsidP="00341240">
      <w:pPr>
        <w:spacing w:after="0" w:line="240" w:lineRule="auto"/>
        <w:jc w:val="both"/>
        <w:rPr>
          <w:rFonts w:ascii="Times New Roman" w:eastAsia="Times New Roman" w:hAnsi="Times New Roman" w:cs="Times New Roman"/>
          <w:noProof/>
          <w:sz w:val="24"/>
          <w:szCs w:val="24"/>
        </w:rPr>
      </w:pPr>
    </w:p>
    <w:p w:rsidR="00341240" w:rsidRPr="00341240" w:rsidRDefault="00341240" w:rsidP="00341240">
      <w:pPr>
        <w:spacing w:after="0" w:line="240" w:lineRule="auto"/>
        <w:jc w:val="both"/>
        <w:rPr>
          <w:rFonts w:ascii="Times New Roman" w:eastAsia="Times New Roman" w:hAnsi="Times New Roman" w:cs="Times New Roman"/>
          <w:b/>
          <w:bCs/>
          <w:color w:val="000000"/>
          <w:sz w:val="24"/>
          <w:szCs w:val="24"/>
        </w:rPr>
      </w:pPr>
    </w:p>
    <w:p w:rsidR="00341240" w:rsidRPr="00341240" w:rsidRDefault="00341240" w:rsidP="00341240">
      <w:pPr>
        <w:spacing w:after="0" w:line="240" w:lineRule="auto"/>
        <w:jc w:val="both"/>
        <w:rPr>
          <w:rFonts w:ascii="Times New Roman" w:eastAsia="Times New Roman" w:hAnsi="Times New Roman" w:cs="Times New Roman"/>
          <w:b/>
          <w:bCs/>
          <w:color w:val="000000"/>
          <w:sz w:val="24"/>
          <w:szCs w:val="24"/>
        </w:rPr>
      </w:pPr>
    </w:p>
    <w:p w:rsidR="00341240" w:rsidRPr="00341240" w:rsidRDefault="00341240" w:rsidP="00341240">
      <w:pPr>
        <w:spacing w:after="0" w:line="240" w:lineRule="auto"/>
        <w:jc w:val="both"/>
        <w:rPr>
          <w:rFonts w:ascii="Times New Roman" w:eastAsia="Times New Roman" w:hAnsi="Times New Roman" w:cs="Times New Roman"/>
          <w:b/>
          <w:bCs/>
          <w:color w:val="000000"/>
          <w:sz w:val="24"/>
          <w:szCs w:val="24"/>
        </w:rPr>
      </w:pPr>
    </w:p>
    <w:p w:rsidR="00341240" w:rsidRPr="00341240" w:rsidRDefault="00341240" w:rsidP="00341240">
      <w:pPr>
        <w:spacing w:after="0" w:line="240" w:lineRule="auto"/>
        <w:jc w:val="both"/>
        <w:rPr>
          <w:rFonts w:ascii="Times New Roman" w:eastAsia="Times New Roman" w:hAnsi="Times New Roman" w:cs="Times New Roman"/>
          <w:b/>
          <w:bCs/>
          <w:color w:val="000000"/>
          <w:sz w:val="24"/>
          <w:szCs w:val="24"/>
          <w:lang w:val="en-US"/>
        </w:rPr>
      </w:pPr>
    </w:p>
    <w:p w:rsidR="00341240" w:rsidRPr="00341240" w:rsidRDefault="00341240" w:rsidP="00341240">
      <w:pPr>
        <w:tabs>
          <w:tab w:val="left" w:pos="360"/>
          <w:tab w:val="num" w:pos="1920"/>
        </w:tabs>
        <w:spacing w:after="0" w:line="240" w:lineRule="auto"/>
        <w:jc w:val="both"/>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ab/>
      </w:r>
    </w:p>
    <w:p w:rsidR="00341240" w:rsidRPr="00341240" w:rsidRDefault="00341240" w:rsidP="00341240">
      <w:pPr>
        <w:tabs>
          <w:tab w:val="left" w:pos="360"/>
          <w:tab w:val="num" w:pos="1920"/>
        </w:tabs>
        <w:spacing w:after="0" w:line="240" w:lineRule="auto"/>
        <w:jc w:val="both"/>
        <w:rPr>
          <w:rFonts w:ascii="Times New Roman" w:eastAsia="Times New Roman" w:hAnsi="Times New Roman" w:cs="Times New Roman"/>
          <w:sz w:val="24"/>
          <w:szCs w:val="24"/>
          <w:lang w:eastAsia="ru-RU"/>
        </w:rPr>
      </w:pPr>
    </w:p>
    <w:p w:rsidR="00341240" w:rsidRPr="00341240" w:rsidRDefault="00341240" w:rsidP="00341240">
      <w:pPr>
        <w:tabs>
          <w:tab w:val="left" w:pos="360"/>
          <w:tab w:val="num" w:pos="1920"/>
        </w:tabs>
        <w:spacing w:after="0" w:line="240" w:lineRule="auto"/>
        <w:jc w:val="both"/>
        <w:rPr>
          <w:rFonts w:ascii="Times New Roman" w:eastAsia="Times New Roman" w:hAnsi="Times New Roman" w:cs="Times New Roman"/>
          <w:sz w:val="24"/>
          <w:szCs w:val="24"/>
          <w:lang w:eastAsia="ru-RU"/>
        </w:rPr>
      </w:pPr>
    </w:p>
    <w:p w:rsidR="00341240" w:rsidRPr="00341240" w:rsidRDefault="00341240" w:rsidP="00341240">
      <w:pPr>
        <w:tabs>
          <w:tab w:val="left" w:pos="360"/>
          <w:tab w:val="num" w:pos="1920"/>
        </w:tabs>
        <w:spacing w:after="0" w:line="240" w:lineRule="auto"/>
        <w:jc w:val="both"/>
        <w:rPr>
          <w:rFonts w:ascii="Times New Roman" w:eastAsia="Times New Roman" w:hAnsi="Times New Roman" w:cs="Times New Roman"/>
          <w:sz w:val="24"/>
          <w:szCs w:val="24"/>
          <w:lang w:eastAsia="ru-RU"/>
        </w:rPr>
      </w:pPr>
    </w:p>
    <w:p w:rsidR="00341240" w:rsidRPr="00341240" w:rsidRDefault="00341240" w:rsidP="00341240">
      <w:pPr>
        <w:tabs>
          <w:tab w:val="left" w:pos="360"/>
          <w:tab w:val="num" w:pos="1920"/>
        </w:tabs>
        <w:spacing w:after="0" w:line="240" w:lineRule="auto"/>
        <w:jc w:val="both"/>
        <w:rPr>
          <w:rFonts w:ascii="Times New Roman" w:eastAsia="Times New Roman" w:hAnsi="Times New Roman" w:cs="Times New Roman"/>
          <w:sz w:val="24"/>
          <w:szCs w:val="24"/>
          <w:lang w:eastAsia="ru-RU"/>
        </w:rPr>
      </w:pPr>
    </w:p>
    <w:p w:rsidR="00341240" w:rsidRPr="00341240" w:rsidRDefault="00341240" w:rsidP="00341240">
      <w:pPr>
        <w:tabs>
          <w:tab w:val="left" w:pos="360"/>
          <w:tab w:val="num" w:pos="1920"/>
        </w:tabs>
        <w:spacing w:after="0" w:line="240" w:lineRule="auto"/>
        <w:jc w:val="both"/>
        <w:rPr>
          <w:rFonts w:ascii="Times New Roman" w:eastAsia="Times New Roman" w:hAnsi="Times New Roman" w:cs="Times New Roman"/>
          <w:sz w:val="24"/>
          <w:szCs w:val="24"/>
          <w:lang w:eastAsia="ru-RU"/>
        </w:rPr>
      </w:pPr>
    </w:p>
    <w:p w:rsidR="00341240" w:rsidRPr="00341240" w:rsidRDefault="00341240" w:rsidP="00341240">
      <w:pPr>
        <w:tabs>
          <w:tab w:val="left" w:pos="360"/>
          <w:tab w:val="num" w:pos="1920"/>
        </w:tabs>
        <w:spacing w:after="0" w:line="240" w:lineRule="auto"/>
        <w:jc w:val="both"/>
        <w:rPr>
          <w:rFonts w:ascii="Times New Roman" w:eastAsia="Times New Roman" w:hAnsi="Times New Roman" w:cs="Times New Roman"/>
          <w:sz w:val="24"/>
          <w:szCs w:val="24"/>
          <w:lang w:eastAsia="ru-RU"/>
        </w:rPr>
      </w:pPr>
    </w:p>
    <w:p w:rsidR="00341240" w:rsidRPr="00341240" w:rsidRDefault="00341240" w:rsidP="00341240">
      <w:pPr>
        <w:tabs>
          <w:tab w:val="left" w:pos="360"/>
          <w:tab w:val="num" w:pos="1920"/>
        </w:tabs>
        <w:spacing w:after="0" w:line="240" w:lineRule="auto"/>
        <w:jc w:val="both"/>
        <w:rPr>
          <w:rFonts w:ascii="Times New Roman" w:eastAsia="Times New Roman" w:hAnsi="Times New Roman" w:cs="Times New Roman"/>
          <w:sz w:val="24"/>
          <w:szCs w:val="24"/>
          <w:lang w:eastAsia="ru-RU"/>
        </w:rPr>
      </w:pPr>
    </w:p>
    <w:p w:rsidR="00341240" w:rsidRPr="00341240" w:rsidRDefault="00341240" w:rsidP="00341240">
      <w:pPr>
        <w:tabs>
          <w:tab w:val="left" w:pos="360"/>
          <w:tab w:val="num" w:pos="1920"/>
        </w:tabs>
        <w:spacing w:after="0" w:line="240" w:lineRule="auto"/>
        <w:jc w:val="both"/>
        <w:rPr>
          <w:rFonts w:ascii="Times New Roman" w:eastAsia="Times New Roman" w:hAnsi="Times New Roman" w:cs="Times New Roman"/>
          <w:sz w:val="24"/>
          <w:szCs w:val="24"/>
          <w:lang w:eastAsia="ru-RU"/>
        </w:rPr>
      </w:pPr>
      <w:r w:rsidRPr="00341240">
        <w:rPr>
          <w:rFonts w:ascii="Times New Roman" w:eastAsia="Times New Roman" w:hAnsi="Times New Roman" w:cs="Times New Roman"/>
          <w:noProof/>
          <w:sz w:val="24"/>
          <w:szCs w:val="24"/>
          <w:lang w:eastAsia="ru-RU"/>
        </w:rPr>
        <w:drawing>
          <wp:anchor distT="0" distB="0" distL="114300" distR="114300" simplePos="0" relativeHeight="251686912" behindDoc="1" locked="0" layoutInCell="1" allowOverlap="1" wp14:anchorId="12B18681" wp14:editId="3F81BCDC">
            <wp:simplePos x="0" y="0"/>
            <wp:positionH relativeFrom="column">
              <wp:posOffset>367665</wp:posOffset>
            </wp:positionH>
            <wp:positionV relativeFrom="paragraph">
              <wp:posOffset>118110</wp:posOffset>
            </wp:positionV>
            <wp:extent cx="5619115" cy="2407920"/>
            <wp:effectExtent l="0" t="0" r="635" b="0"/>
            <wp:wrapTight wrapText="bothSides">
              <wp:wrapPolygon edited="0">
                <wp:start x="0" y="0"/>
                <wp:lineTo x="0" y="21361"/>
                <wp:lineTo x="21529" y="21361"/>
                <wp:lineTo x="21529"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авный капитал.png"/>
                    <pic:cNvPicPr/>
                  </pic:nvPicPr>
                  <pic:blipFill>
                    <a:blip r:embed="rId40">
                      <a:extLst>
                        <a:ext uri="{28A0092B-C50C-407E-A947-70E740481C1C}">
                          <a14:useLocalDpi xmlns:a14="http://schemas.microsoft.com/office/drawing/2010/main" val="0"/>
                        </a:ext>
                      </a:extLst>
                    </a:blip>
                    <a:stretch>
                      <a:fillRect/>
                    </a:stretch>
                  </pic:blipFill>
                  <pic:spPr>
                    <a:xfrm>
                      <a:off x="0" y="0"/>
                      <a:ext cx="5619115" cy="2407920"/>
                    </a:xfrm>
                    <a:prstGeom prst="rect">
                      <a:avLst/>
                    </a:prstGeom>
                  </pic:spPr>
                </pic:pic>
              </a:graphicData>
            </a:graphic>
            <wp14:sizeRelH relativeFrom="margin">
              <wp14:pctWidth>0</wp14:pctWidth>
            </wp14:sizeRelH>
            <wp14:sizeRelV relativeFrom="margin">
              <wp14:pctHeight>0</wp14:pctHeight>
            </wp14:sizeRelV>
          </wp:anchor>
        </w:drawing>
      </w:r>
      <w:r w:rsidRPr="00341240">
        <w:rPr>
          <w:noProof/>
          <w:lang w:eastAsia="ru-RU"/>
        </w:rPr>
        <mc:AlternateContent>
          <mc:Choice Requires="wps">
            <w:drawing>
              <wp:anchor distT="0" distB="0" distL="114300" distR="114300" simplePos="0" relativeHeight="251689984" behindDoc="0" locked="0" layoutInCell="1" allowOverlap="1" wp14:anchorId="6F370E06" wp14:editId="2E21EEAC">
                <wp:simplePos x="0" y="0"/>
                <wp:positionH relativeFrom="column">
                  <wp:posOffset>67310</wp:posOffset>
                </wp:positionH>
                <wp:positionV relativeFrom="paragraph">
                  <wp:posOffset>369570</wp:posOffset>
                </wp:positionV>
                <wp:extent cx="1379220" cy="365760"/>
                <wp:effectExtent l="0" t="0" r="0" b="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365760"/>
                        </a:xfrm>
                        <a:prstGeom prst="rect">
                          <a:avLst/>
                        </a:prstGeom>
                        <a:solidFill>
                          <a:sysClr val="window" lastClr="FFFFFF">
                            <a:lumMod val="95000"/>
                          </a:sysClr>
                        </a:solidFill>
                        <a:ln w="9525">
                          <a:noFill/>
                          <a:miter lim="800000"/>
                          <a:headEnd/>
                          <a:tailEnd/>
                        </a:ln>
                      </wps:spPr>
                      <wps:txbx>
                        <w:txbxContent>
                          <w:p w:rsidR="00341240" w:rsidRPr="00887535" w:rsidRDefault="00341240" w:rsidP="00341240">
                            <w:pPr>
                              <w:tabs>
                                <w:tab w:val="left" w:pos="360"/>
                                <w:tab w:val="num" w:pos="1920"/>
                              </w:tabs>
                              <w:spacing w:after="0" w:line="240" w:lineRule="auto"/>
                              <w:jc w:val="center"/>
                              <w:rPr>
                                <w:rFonts w:ascii="Times New Roman" w:eastAsia="Times New Roman" w:hAnsi="Times New Roman" w:cs="Times New Roman"/>
                                <w:b/>
                                <w:bCs/>
                                <w:color w:val="000000"/>
                                <w:sz w:val="18"/>
                                <w:szCs w:val="18"/>
                              </w:rPr>
                            </w:pPr>
                            <w:r w:rsidRPr="00887535">
                              <w:rPr>
                                <w:rFonts w:ascii="Times New Roman" w:eastAsia="Times New Roman" w:hAnsi="Times New Roman" w:cs="Times New Roman"/>
                                <w:b/>
                                <w:bCs/>
                                <w:color w:val="000000"/>
                                <w:sz w:val="18"/>
                                <w:szCs w:val="18"/>
                                <w:lang w:val="en-US"/>
                              </w:rPr>
                              <w:t>Уставный капитал</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5.3pt;margin-top:29.1pt;width:108.6pt;height:28.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" fillcolor="#f2f2f2" stroked="f">
                <v:textbox>
                  <w:txbxContent>
                    <w:p w:rsidR="00341240" w:rsidRPr="00887535" w:rsidRDefault="00341240" w:rsidP="00341240">
                      <w:pPr>
                        <w:tabs>
                          <w:tab w:val="left" w:pos="360"/>
                          <w:tab w:val="num" w:pos="1920"/>
                        </w:tabs>
                        <w:spacing w:after="0" w:line="240" w:lineRule="auto"/>
                        <w:jc w:val="center"/>
                        <w:rPr>
                          <w:rFonts w:ascii="Times New Roman" w:eastAsia="Times New Roman" w:hAnsi="Times New Roman" w:cs="Times New Roman"/>
                          <w:b/>
                          <w:bCs/>
                          <w:color w:val="000000"/>
                          <w:sz w:val="18"/>
                          <w:szCs w:val="18"/>
                        </w:rPr>
                      </w:pPr>
                      <w:proofErr w:type="spellStart"/>
                      <w:r w:rsidRPr="00887535">
                        <w:rPr>
                          <w:rFonts w:ascii="Times New Roman" w:eastAsia="Times New Roman" w:hAnsi="Times New Roman" w:cs="Times New Roman"/>
                          <w:b/>
                          <w:bCs/>
                          <w:color w:val="000000"/>
                          <w:sz w:val="18"/>
                          <w:szCs w:val="18"/>
                          <w:lang w:val="en-US"/>
                        </w:rPr>
                        <w:t>Уставный</w:t>
                      </w:r>
                      <w:proofErr w:type="spellEnd"/>
                      <w:r w:rsidRPr="00887535">
                        <w:rPr>
                          <w:rFonts w:ascii="Times New Roman" w:eastAsia="Times New Roman" w:hAnsi="Times New Roman" w:cs="Times New Roman"/>
                          <w:b/>
                          <w:bCs/>
                          <w:color w:val="000000"/>
                          <w:sz w:val="18"/>
                          <w:szCs w:val="18"/>
                          <w:lang w:val="en-US"/>
                        </w:rPr>
                        <w:t xml:space="preserve"> </w:t>
                      </w:r>
                      <w:proofErr w:type="spellStart"/>
                      <w:r w:rsidRPr="00887535">
                        <w:rPr>
                          <w:rFonts w:ascii="Times New Roman" w:eastAsia="Times New Roman" w:hAnsi="Times New Roman" w:cs="Times New Roman"/>
                          <w:b/>
                          <w:bCs/>
                          <w:color w:val="000000"/>
                          <w:sz w:val="18"/>
                          <w:szCs w:val="18"/>
                          <w:lang w:val="en-US"/>
                        </w:rPr>
                        <w:t>капитал</w:t>
                      </w:r>
                      <w:proofErr w:type="spellEnd"/>
                    </w:p>
                  </w:txbxContent>
                </v:textbox>
              </v:shape>
            </w:pict>
          </mc:Fallback>
        </mc:AlternateContent>
      </w:r>
    </w:p>
    <w:p w:rsidR="00341240" w:rsidRPr="00341240" w:rsidRDefault="00341240" w:rsidP="00341240">
      <w:pPr>
        <w:tabs>
          <w:tab w:val="left" w:pos="360"/>
          <w:tab w:val="num" w:pos="1920"/>
        </w:tabs>
        <w:spacing w:after="0" w:line="240" w:lineRule="auto"/>
        <w:jc w:val="both"/>
        <w:rPr>
          <w:rFonts w:ascii="Times New Roman" w:eastAsia="Times New Roman" w:hAnsi="Times New Roman" w:cs="Times New Roman"/>
          <w:sz w:val="24"/>
          <w:szCs w:val="24"/>
          <w:lang w:eastAsia="ru-RU"/>
        </w:rPr>
      </w:pPr>
    </w:p>
    <w:p w:rsidR="00341240" w:rsidRPr="00341240" w:rsidRDefault="00341240" w:rsidP="00341240">
      <w:pPr>
        <w:tabs>
          <w:tab w:val="left" w:pos="360"/>
          <w:tab w:val="num" w:pos="1920"/>
        </w:tabs>
        <w:spacing w:after="0" w:line="240" w:lineRule="auto"/>
        <w:jc w:val="both"/>
        <w:rPr>
          <w:rFonts w:ascii="Times New Roman" w:eastAsia="Times New Roman" w:hAnsi="Times New Roman" w:cs="Times New Roman"/>
          <w:sz w:val="24"/>
          <w:szCs w:val="24"/>
          <w:lang w:eastAsia="ru-RU"/>
        </w:rPr>
      </w:pPr>
    </w:p>
    <w:p w:rsidR="00341240" w:rsidRPr="00341240" w:rsidRDefault="00341240" w:rsidP="00341240">
      <w:pPr>
        <w:tabs>
          <w:tab w:val="left" w:pos="360"/>
          <w:tab w:val="num" w:pos="1920"/>
        </w:tabs>
        <w:spacing w:after="0" w:line="240" w:lineRule="auto"/>
        <w:jc w:val="both"/>
        <w:rPr>
          <w:rFonts w:ascii="Times New Roman" w:eastAsia="Times New Roman" w:hAnsi="Times New Roman" w:cs="Times New Roman"/>
          <w:sz w:val="24"/>
          <w:szCs w:val="24"/>
          <w:lang w:eastAsia="ru-RU"/>
        </w:rPr>
      </w:pPr>
    </w:p>
    <w:p w:rsidR="00341240" w:rsidRPr="00341240" w:rsidRDefault="00341240" w:rsidP="00341240">
      <w:pPr>
        <w:tabs>
          <w:tab w:val="left" w:pos="360"/>
          <w:tab w:val="num" w:pos="1920"/>
        </w:tabs>
        <w:spacing w:after="0" w:line="240" w:lineRule="auto"/>
        <w:jc w:val="both"/>
        <w:rPr>
          <w:rFonts w:ascii="Times New Roman" w:eastAsia="Times New Roman" w:hAnsi="Times New Roman" w:cs="Times New Roman"/>
          <w:sz w:val="24"/>
          <w:szCs w:val="24"/>
          <w:lang w:eastAsia="ru-RU"/>
        </w:rPr>
      </w:pPr>
    </w:p>
    <w:p w:rsidR="00341240" w:rsidRPr="00341240" w:rsidRDefault="00341240" w:rsidP="00341240">
      <w:pPr>
        <w:tabs>
          <w:tab w:val="left" w:pos="360"/>
          <w:tab w:val="num" w:pos="1920"/>
        </w:tabs>
        <w:spacing w:after="0" w:line="240" w:lineRule="auto"/>
        <w:jc w:val="both"/>
        <w:rPr>
          <w:rFonts w:ascii="Times New Roman" w:eastAsia="Times New Roman" w:hAnsi="Times New Roman" w:cs="Times New Roman"/>
          <w:sz w:val="24"/>
          <w:szCs w:val="24"/>
          <w:lang w:eastAsia="ru-RU"/>
        </w:rPr>
      </w:pPr>
    </w:p>
    <w:p w:rsidR="00341240" w:rsidRPr="00341240" w:rsidRDefault="00341240" w:rsidP="00341240">
      <w:pPr>
        <w:tabs>
          <w:tab w:val="left" w:pos="360"/>
          <w:tab w:val="num" w:pos="1920"/>
        </w:tabs>
        <w:spacing w:after="0" w:line="240" w:lineRule="auto"/>
        <w:jc w:val="both"/>
        <w:rPr>
          <w:rFonts w:ascii="Times New Roman" w:eastAsia="Times New Roman" w:hAnsi="Times New Roman" w:cs="Times New Roman"/>
          <w:sz w:val="24"/>
          <w:szCs w:val="24"/>
          <w:lang w:eastAsia="ru-RU"/>
        </w:rPr>
      </w:pPr>
    </w:p>
    <w:p w:rsidR="00341240" w:rsidRPr="00341240" w:rsidRDefault="00341240" w:rsidP="00341240">
      <w:pPr>
        <w:tabs>
          <w:tab w:val="left" w:pos="360"/>
          <w:tab w:val="num" w:pos="1920"/>
        </w:tabs>
        <w:spacing w:after="0" w:line="240" w:lineRule="auto"/>
        <w:jc w:val="both"/>
        <w:rPr>
          <w:rFonts w:ascii="Times New Roman" w:eastAsia="Times New Roman" w:hAnsi="Times New Roman" w:cs="Times New Roman"/>
          <w:sz w:val="24"/>
          <w:szCs w:val="24"/>
          <w:lang w:eastAsia="ru-RU"/>
        </w:rPr>
      </w:pPr>
    </w:p>
    <w:p w:rsidR="00341240" w:rsidRPr="00341240" w:rsidRDefault="00341240" w:rsidP="00341240">
      <w:pPr>
        <w:tabs>
          <w:tab w:val="left" w:pos="360"/>
          <w:tab w:val="num" w:pos="1920"/>
        </w:tabs>
        <w:spacing w:after="0" w:line="240" w:lineRule="auto"/>
        <w:jc w:val="both"/>
        <w:rPr>
          <w:rFonts w:ascii="Times New Roman" w:eastAsia="Times New Roman" w:hAnsi="Times New Roman" w:cs="Times New Roman"/>
          <w:sz w:val="24"/>
          <w:szCs w:val="24"/>
          <w:lang w:eastAsia="ru-RU"/>
        </w:rPr>
      </w:pPr>
    </w:p>
    <w:p w:rsidR="00341240" w:rsidRPr="00341240" w:rsidRDefault="00341240" w:rsidP="00341240">
      <w:pPr>
        <w:tabs>
          <w:tab w:val="left" w:pos="360"/>
          <w:tab w:val="num" w:pos="1920"/>
        </w:tabs>
        <w:spacing w:after="0" w:line="240" w:lineRule="auto"/>
        <w:jc w:val="both"/>
        <w:rPr>
          <w:rFonts w:ascii="Times New Roman" w:eastAsia="Times New Roman" w:hAnsi="Times New Roman" w:cs="Times New Roman"/>
          <w:sz w:val="24"/>
          <w:szCs w:val="24"/>
          <w:lang w:eastAsia="ru-RU"/>
        </w:rPr>
      </w:pPr>
    </w:p>
    <w:p w:rsidR="00341240" w:rsidRPr="00341240" w:rsidRDefault="00341240" w:rsidP="00341240">
      <w:pPr>
        <w:tabs>
          <w:tab w:val="left" w:pos="360"/>
          <w:tab w:val="num" w:pos="1920"/>
        </w:tabs>
        <w:spacing w:after="0" w:line="240" w:lineRule="auto"/>
        <w:jc w:val="both"/>
        <w:rPr>
          <w:rFonts w:ascii="Times New Roman" w:eastAsia="Times New Roman" w:hAnsi="Times New Roman" w:cs="Times New Roman"/>
          <w:sz w:val="24"/>
          <w:szCs w:val="24"/>
          <w:lang w:eastAsia="ru-RU"/>
        </w:rPr>
      </w:pPr>
    </w:p>
    <w:p w:rsidR="00341240" w:rsidRPr="00341240" w:rsidRDefault="00341240" w:rsidP="00341240">
      <w:pPr>
        <w:tabs>
          <w:tab w:val="left" w:pos="360"/>
          <w:tab w:val="num" w:pos="1920"/>
        </w:tabs>
        <w:spacing w:after="0" w:line="240" w:lineRule="auto"/>
        <w:jc w:val="both"/>
        <w:rPr>
          <w:rFonts w:ascii="Times New Roman" w:eastAsia="Times New Roman" w:hAnsi="Times New Roman" w:cs="Times New Roman"/>
          <w:sz w:val="24"/>
          <w:szCs w:val="24"/>
          <w:lang w:eastAsia="ru-RU"/>
        </w:rPr>
      </w:pPr>
    </w:p>
    <w:p w:rsidR="00341240" w:rsidRPr="00341240" w:rsidRDefault="00341240" w:rsidP="00341240">
      <w:pPr>
        <w:tabs>
          <w:tab w:val="left" w:pos="360"/>
          <w:tab w:val="num" w:pos="1920"/>
        </w:tabs>
        <w:spacing w:after="0" w:line="240" w:lineRule="auto"/>
        <w:jc w:val="both"/>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ab/>
        <w:t xml:space="preserve">С 01 ноября 2015 года вступили в силу изменения в нормативные документы Банка России, регулирующие деятельность центрального контрагента,  в соответствии с которыми центральный контрагент обязан обособить часть собственных средств (капитала) для покрытия возможных потерь, как вызванных неисполнением участниками клиринга своих обязательств, так и не связанных с неисполнением обязательств участниками клиринга. </w:t>
      </w:r>
    </w:p>
    <w:p w:rsidR="00341240" w:rsidRPr="00341240" w:rsidRDefault="00341240" w:rsidP="00341240">
      <w:pPr>
        <w:tabs>
          <w:tab w:val="left" w:pos="360"/>
          <w:tab w:val="num" w:pos="1920"/>
        </w:tabs>
        <w:spacing w:after="0" w:line="240" w:lineRule="auto"/>
        <w:jc w:val="both"/>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ab/>
        <w:t>В соответствии с данными изменениями Банк отразил на отдельных лицевых счетах по учету нераспределенной прибыли средства, предназначенные:</w:t>
      </w:r>
    </w:p>
    <w:p w:rsidR="00341240" w:rsidRPr="00341240" w:rsidRDefault="00341240" w:rsidP="00341240">
      <w:pPr>
        <w:tabs>
          <w:tab w:val="left" w:pos="360"/>
          <w:tab w:val="num" w:pos="1920"/>
        </w:tabs>
        <w:spacing w:after="0" w:line="240" w:lineRule="auto"/>
        <w:jc w:val="both"/>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w:t>
      </w:r>
      <w:r w:rsidRPr="00341240">
        <w:rPr>
          <w:rFonts w:ascii="Times New Roman" w:eastAsia="Times New Roman" w:hAnsi="Times New Roman" w:cs="Times New Roman"/>
          <w:sz w:val="24"/>
          <w:szCs w:val="24"/>
          <w:lang w:eastAsia="ru-RU"/>
        </w:rPr>
        <w:tab/>
        <w:t>для покрытия возможных потерь, вызванных неисполнением участниками клиринга своих обязательств (средства, используемые центральным контрагентом до использования средств, внесенных добросовестными участниками клиринга в коллективное клиринговое обеспечение) - выделенный капитал центрального контрагента - в размере 6 500 000 тыс. руб.;</w:t>
      </w:r>
    </w:p>
    <w:p w:rsidR="00341240" w:rsidRPr="00341240" w:rsidRDefault="00341240" w:rsidP="00341240">
      <w:pPr>
        <w:tabs>
          <w:tab w:val="left" w:pos="360"/>
          <w:tab w:val="num" w:pos="1920"/>
        </w:tabs>
        <w:spacing w:after="0" w:line="240" w:lineRule="auto"/>
        <w:jc w:val="both"/>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w:t>
      </w:r>
      <w:r w:rsidRPr="00341240">
        <w:rPr>
          <w:rFonts w:ascii="Times New Roman" w:eastAsia="Times New Roman" w:hAnsi="Times New Roman" w:cs="Times New Roman"/>
          <w:sz w:val="24"/>
          <w:szCs w:val="24"/>
          <w:lang w:eastAsia="ru-RU"/>
        </w:rPr>
        <w:tab/>
        <w:t>для обеспечения прекращения или реструктуризации деятельности центрального контрагента в размере 510 999 тыс. руб.;</w:t>
      </w:r>
    </w:p>
    <w:p w:rsidR="00341240" w:rsidRPr="00341240" w:rsidRDefault="00341240" w:rsidP="00341240">
      <w:pPr>
        <w:tabs>
          <w:tab w:val="left" w:pos="360"/>
          <w:tab w:val="num" w:pos="1920"/>
        </w:tabs>
        <w:spacing w:after="0" w:line="240" w:lineRule="auto"/>
        <w:jc w:val="both"/>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w:t>
      </w:r>
      <w:r w:rsidRPr="00341240">
        <w:rPr>
          <w:rFonts w:ascii="Times New Roman" w:eastAsia="Times New Roman" w:hAnsi="Times New Roman" w:cs="Times New Roman"/>
          <w:sz w:val="24"/>
          <w:szCs w:val="24"/>
          <w:lang w:eastAsia="ru-RU"/>
        </w:rPr>
        <w:tab/>
        <w:t>для покрытия возможных потерь в результате ухудшения финансового положения центрального контрагента вследствие уменьшения его доходов или увеличения расходов, не связанных с неисполнением обязательств участниками клиринга, в размере 255 499 тыс. руб.</w:t>
      </w:r>
    </w:p>
    <w:p w:rsidR="00341240" w:rsidRPr="00341240" w:rsidRDefault="00341240" w:rsidP="00341240">
      <w:pPr>
        <w:tabs>
          <w:tab w:val="left" w:pos="360"/>
          <w:tab w:val="num" w:pos="1920"/>
        </w:tabs>
        <w:spacing w:after="0" w:line="240" w:lineRule="auto"/>
        <w:jc w:val="both"/>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ab/>
        <w:t>Средства Центрального контрагента, сформированные в соответствии с требованиями действующего законодательства, нормативными документами Банка России, предназначенные для покрытия потерь, указанных выше, уменьшают собственные средства (капитал) Банка.</w:t>
      </w:r>
    </w:p>
    <w:p w:rsidR="00341240" w:rsidRPr="00341240" w:rsidRDefault="00341240" w:rsidP="00341240">
      <w:pPr>
        <w:spacing w:after="0" w:line="240" w:lineRule="auto"/>
        <w:ind w:firstLine="708"/>
        <w:rPr>
          <w:rFonts w:ascii="Times New Roman" w:eastAsia="Times New Roman" w:hAnsi="Times New Roman" w:cs="Times New Roman"/>
          <w:sz w:val="24"/>
          <w:szCs w:val="24"/>
          <w:highlight w:val="yellow"/>
          <w:lang w:eastAsia="ru-RU"/>
        </w:rPr>
      </w:pPr>
      <w:r w:rsidRPr="00341240">
        <w:rPr>
          <w:noProof/>
          <w:highlight w:val="yellow"/>
          <w:lang w:eastAsia="ru-RU"/>
        </w:rPr>
        <w:drawing>
          <wp:anchor distT="0" distB="0" distL="114300" distR="114300" simplePos="0" relativeHeight="251692032" behindDoc="1" locked="0" layoutInCell="1" allowOverlap="1" wp14:anchorId="6113F623" wp14:editId="55D68E28">
            <wp:simplePos x="0" y="0"/>
            <wp:positionH relativeFrom="column">
              <wp:posOffset>1746885</wp:posOffset>
            </wp:positionH>
            <wp:positionV relativeFrom="paragraph">
              <wp:posOffset>133985</wp:posOffset>
            </wp:positionV>
            <wp:extent cx="4236720" cy="1863725"/>
            <wp:effectExtent l="0" t="0" r="0" b="3175"/>
            <wp:wrapTight wrapText="bothSides">
              <wp:wrapPolygon edited="0">
                <wp:start x="0" y="0"/>
                <wp:lineTo x="0" y="21416"/>
                <wp:lineTo x="21464" y="21416"/>
                <wp:lineTo x="21464"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деленный кап и на потери2.png"/>
                    <pic:cNvPicPr/>
                  </pic:nvPicPr>
                  <pic:blipFill>
                    <a:blip r:embed="rId41">
                      <a:extLst>
                        <a:ext uri="{28A0092B-C50C-407E-A947-70E740481C1C}">
                          <a14:useLocalDpi xmlns:a14="http://schemas.microsoft.com/office/drawing/2010/main" val="0"/>
                        </a:ext>
                      </a:extLst>
                    </a:blip>
                    <a:stretch>
                      <a:fillRect/>
                    </a:stretch>
                  </pic:blipFill>
                  <pic:spPr>
                    <a:xfrm>
                      <a:off x="0" y="0"/>
                      <a:ext cx="4236720" cy="1863725"/>
                    </a:xfrm>
                    <a:prstGeom prst="rect">
                      <a:avLst/>
                    </a:prstGeom>
                  </pic:spPr>
                </pic:pic>
              </a:graphicData>
            </a:graphic>
            <wp14:sizeRelH relativeFrom="margin">
              <wp14:pctWidth>0</wp14:pctWidth>
            </wp14:sizeRelH>
            <wp14:sizeRelV relativeFrom="margin">
              <wp14:pctHeight>0</wp14:pctHeight>
            </wp14:sizeRelV>
          </wp:anchor>
        </w:drawing>
      </w:r>
    </w:p>
    <w:p w:rsidR="00341240" w:rsidRPr="00341240" w:rsidRDefault="00341240" w:rsidP="00341240">
      <w:pPr>
        <w:spacing w:after="0" w:line="240" w:lineRule="auto"/>
        <w:rPr>
          <w:rFonts w:ascii="Times New Roman" w:eastAsia="Times New Roman" w:hAnsi="Times New Roman" w:cs="Times New Roman"/>
          <w:sz w:val="24"/>
          <w:szCs w:val="24"/>
          <w:lang w:eastAsia="ru-RU"/>
        </w:rPr>
      </w:pPr>
      <w:r w:rsidRPr="00341240">
        <w:rPr>
          <w:noProof/>
          <w:lang w:eastAsia="ru-RU"/>
        </w:rPr>
        <mc:AlternateContent>
          <mc:Choice Requires="wps">
            <w:drawing>
              <wp:anchor distT="0" distB="0" distL="114300" distR="114300" simplePos="0" relativeHeight="251688960" behindDoc="0" locked="0" layoutInCell="1" allowOverlap="1" wp14:anchorId="0C5331F2" wp14:editId="6EAFB687">
                <wp:simplePos x="0" y="0"/>
                <wp:positionH relativeFrom="column">
                  <wp:posOffset>70485</wp:posOffset>
                </wp:positionH>
                <wp:positionV relativeFrom="paragraph">
                  <wp:posOffset>57785</wp:posOffset>
                </wp:positionV>
                <wp:extent cx="1371600" cy="586740"/>
                <wp:effectExtent l="0" t="0" r="0" b="3810"/>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86740"/>
                        </a:xfrm>
                        <a:prstGeom prst="rect">
                          <a:avLst/>
                        </a:prstGeom>
                        <a:solidFill>
                          <a:sysClr val="window" lastClr="FFFFFF">
                            <a:lumMod val="95000"/>
                          </a:sysClr>
                        </a:solidFill>
                        <a:ln w="9525">
                          <a:noFill/>
                          <a:miter lim="800000"/>
                          <a:headEnd/>
                          <a:tailEnd/>
                        </a:ln>
                      </wps:spPr>
                      <wps:txbx>
                        <w:txbxContent>
                          <w:p w:rsidR="00341240" w:rsidRPr="00BA2EBD" w:rsidRDefault="00341240" w:rsidP="00341240">
                            <w:pPr>
                              <w:tabs>
                                <w:tab w:val="left" w:pos="360"/>
                                <w:tab w:val="num" w:pos="1920"/>
                              </w:tabs>
                              <w:spacing w:after="0" w:line="240" w:lineRule="auto"/>
                              <w:jc w:val="center"/>
                              <w:rPr>
                                <w:rFonts w:ascii="Times New Roman" w:eastAsia="Times New Roman" w:hAnsi="Times New Roman" w:cs="Times New Roman"/>
                                <w:b/>
                                <w:bCs/>
                                <w:color w:val="000000"/>
                                <w:sz w:val="16"/>
                                <w:szCs w:val="16"/>
                              </w:rPr>
                            </w:pPr>
                            <w:r w:rsidRPr="002E1953">
                              <w:rPr>
                                <w:rFonts w:ascii="Times New Roman" w:eastAsia="Times New Roman" w:hAnsi="Times New Roman" w:cs="Times New Roman"/>
                                <w:b/>
                                <w:bCs/>
                                <w:color w:val="000000"/>
                                <w:sz w:val="16"/>
                                <w:szCs w:val="16"/>
                              </w:rPr>
                              <w:t>Источники</w:t>
                            </w:r>
                            <w:r>
                              <w:rPr>
                                <w:rFonts w:ascii="Times New Roman" w:eastAsia="Times New Roman" w:hAnsi="Times New Roman" w:cs="Times New Roman"/>
                                <w:b/>
                                <w:bCs/>
                                <w:color w:val="000000"/>
                                <w:sz w:val="16"/>
                                <w:szCs w:val="16"/>
                              </w:rPr>
                              <w:t>,</w:t>
                            </w:r>
                            <w:r w:rsidRPr="002E1953">
                              <w:rPr>
                                <w:rFonts w:ascii="Times New Roman" w:eastAsia="Times New Roman" w:hAnsi="Times New Roman" w:cs="Times New Roman"/>
                                <w:b/>
                                <w:bCs/>
                                <w:color w:val="000000"/>
                                <w:sz w:val="16"/>
                                <w:szCs w:val="16"/>
                              </w:rPr>
                              <w:t xml:space="preserve"> уменьшающие собственные средства (капилал)</w:t>
                            </w:r>
                            <w:r w:rsidRPr="00BA2EBD">
                              <w:rPr>
                                <w:rFonts w:ascii="Times New Roman" w:eastAsia="Times New Roman" w:hAnsi="Times New Roman" w:cs="Times New Roman"/>
                                <w:b/>
                                <w:bCs/>
                                <w:color w:val="000000"/>
                                <w:sz w:val="16"/>
                                <w:szCs w:val="16"/>
                              </w:rPr>
                              <w:t xml:space="preserve"> </w:t>
                            </w:r>
                          </w:p>
                          <w:p w:rsidR="00341240" w:rsidRPr="00E47954" w:rsidRDefault="00341240" w:rsidP="00341240">
                            <w:pPr>
                              <w:jc w:val="center"/>
                              <w:rPr>
                                <w:b/>
                                <w:sz w:val="28"/>
                                <w:szCs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5.55pt;margin-top:4.55pt;width:108pt;height:4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" fillcolor="#f2f2f2" stroked="f">
                <v:textbox>
                  <w:txbxContent>
                    <w:p w:rsidR="00341240" w:rsidRPr="00BA2EBD" w:rsidRDefault="00341240" w:rsidP="00341240">
                      <w:pPr>
                        <w:tabs>
                          <w:tab w:val="left" w:pos="360"/>
                          <w:tab w:val="num" w:pos="1920"/>
                        </w:tabs>
                        <w:spacing w:after="0" w:line="240" w:lineRule="auto"/>
                        <w:jc w:val="center"/>
                        <w:rPr>
                          <w:rFonts w:ascii="Times New Roman" w:eastAsia="Times New Roman" w:hAnsi="Times New Roman" w:cs="Times New Roman"/>
                          <w:b/>
                          <w:bCs/>
                          <w:color w:val="000000"/>
                          <w:sz w:val="16"/>
                          <w:szCs w:val="16"/>
                        </w:rPr>
                      </w:pPr>
                      <w:r w:rsidRPr="002E1953">
                        <w:rPr>
                          <w:rFonts w:ascii="Times New Roman" w:eastAsia="Times New Roman" w:hAnsi="Times New Roman" w:cs="Times New Roman"/>
                          <w:b/>
                          <w:bCs/>
                          <w:color w:val="000000"/>
                          <w:sz w:val="16"/>
                          <w:szCs w:val="16"/>
                        </w:rPr>
                        <w:t>Источники</w:t>
                      </w:r>
                      <w:r>
                        <w:rPr>
                          <w:rFonts w:ascii="Times New Roman" w:eastAsia="Times New Roman" w:hAnsi="Times New Roman" w:cs="Times New Roman"/>
                          <w:b/>
                          <w:bCs/>
                          <w:color w:val="000000"/>
                          <w:sz w:val="16"/>
                          <w:szCs w:val="16"/>
                        </w:rPr>
                        <w:t>,</w:t>
                      </w:r>
                      <w:r w:rsidRPr="002E1953">
                        <w:rPr>
                          <w:rFonts w:ascii="Times New Roman" w:eastAsia="Times New Roman" w:hAnsi="Times New Roman" w:cs="Times New Roman"/>
                          <w:b/>
                          <w:bCs/>
                          <w:color w:val="000000"/>
                          <w:sz w:val="16"/>
                          <w:szCs w:val="16"/>
                        </w:rPr>
                        <w:t xml:space="preserve"> уменьшающие собственные средства (</w:t>
                      </w:r>
                      <w:proofErr w:type="spellStart"/>
                      <w:r w:rsidRPr="002E1953">
                        <w:rPr>
                          <w:rFonts w:ascii="Times New Roman" w:eastAsia="Times New Roman" w:hAnsi="Times New Roman" w:cs="Times New Roman"/>
                          <w:b/>
                          <w:bCs/>
                          <w:color w:val="000000"/>
                          <w:sz w:val="16"/>
                          <w:szCs w:val="16"/>
                        </w:rPr>
                        <w:t>капилал</w:t>
                      </w:r>
                      <w:proofErr w:type="spellEnd"/>
                      <w:r w:rsidRPr="002E1953">
                        <w:rPr>
                          <w:rFonts w:ascii="Times New Roman" w:eastAsia="Times New Roman" w:hAnsi="Times New Roman" w:cs="Times New Roman"/>
                          <w:b/>
                          <w:bCs/>
                          <w:color w:val="000000"/>
                          <w:sz w:val="16"/>
                          <w:szCs w:val="16"/>
                        </w:rPr>
                        <w:t>)</w:t>
                      </w:r>
                      <w:r w:rsidRPr="00BA2EBD">
                        <w:rPr>
                          <w:rFonts w:ascii="Times New Roman" w:eastAsia="Times New Roman" w:hAnsi="Times New Roman" w:cs="Times New Roman"/>
                          <w:b/>
                          <w:bCs/>
                          <w:color w:val="000000"/>
                          <w:sz w:val="16"/>
                          <w:szCs w:val="16"/>
                        </w:rPr>
                        <w:t xml:space="preserve"> </w:t>
                      </w:r>
                    </w:p>
                    <w:p w:rsidR="00341240" w:rsidRPr="00E47954" w:rsidRDefault="00341240" w:rsidP="00341240">
                      <w:pPr>
                        <w:jc w:val="center"/>
                        <w:rPr>
                          <w:b/>
                          <w:sz w:val="28"/>
                          <w:szCs w:val="28"/>
                        </w:rPr>
                      </w:pPr>
                    </w:p>
                  </w:txbxContent>
                </v:textbox>
              </v:shape>
            </w:pict>
          </mc:Fallback>
        </mc:AlternateContent>
      </w:r>
    </w:p>
    <w:p w:rsidR="00341240" w:rsidRPr="00341240" w:rsidRDefault="00341240" w:rsidP="00341240">
      <w:pPr>
        <w:spacing w:after="0" w:line="240" w:lineRule="auto"/>
        <w:rPr>
          <w:rFonts w:ascii="Times New Roman" w:eastAsia="Times New Roman" w:hAnsi="Times New Roman" w:cs="Times New Roman"/>
          <w:sz w:val="24"/>
          <w:szCs w:val="24"/>
          <w:lang w:eastAsia="ru-RU"/>
        </w:rPr>
      </w:pPr>
    </w:p>
    <w:tbl>
      <w:tblPr>
        <w:tblW w:w="7360" w:type="dxa"/>
        <w:tblInd w:w="2235" w:type="dxa"/>
        <w:tblLook w:val="04A0" w:firstRow="1" w:lastRow="0" w:firstColumn="1" w:lastColumn="0" w:noHBand="0" w:noVBand="1"/>
      </w:tblPr>
      <w:tblGrid>
        <w:gridCol w:w="7360"/>
      </w:tblGrid>
      <w:tr w:rsidR="00341240" w:rsidRPr="00341240" w:rsidTr="00411971">
        <w:trPr>
          <w:trHeight w:val="138"/>
        </w:trPr>
        <w:tc>
          <w:tcPr>
            <w:tcW w:w="7360" w:type="dxa"/>
            <w:tcBorders>
              <w:top w:val="nil"/>
              <w:left w:val="nil"/>
              <w:bottom w:val="nil"/>
              <w:right w:val="nil"/>
            </w:tcBorders>
            <w:shd w:val="clear" w:color="auto" w:fill="auto"/>
            <w:noWrap/>
            <w:vAlign w:val="bottom"/>
          </w:tcPr>
          <w:p w:rsidR="00341240" w:rsidRPr="00341240" w:rsidRDefault="00341240" w:rsidP="00341240">
            <w:pPr>
              <w:rPr>
                <w:rFonts w:ascii="Times New Roman" w:eastAsia="Times New Roman" w:hAnsi="Times New Roman" w:cs="Times New Roman"/>
                <w:b/>
                <w:bCs/>
                <w:color w:val="000000"/>
                <w:sz w:val="24"/>
                <w:szCs w:val="24"/>
                <w:lang w:eastAsia="ru-RU"/>
              </w:rPr>
            </w:pPr>
          </w:p>
        </w:tc>
      </w:tr>
    </w:tbl>
    <w:p w:rsidR="00341240" w:rsidRPr="00341240" w:rsidRDefault="00341240" w:rsidP="00341240">
      <w:pPr>
        <w:spacing w:after="160"/>
        <w:ind w:firstLine="567"/>
        <w:jc w:val="center"/>
        <w:rPr>
          <w:rFonts w:ascii="Times New Roman" w:eastAsia="Calibri" w:hAnsi="Times New Roman" w:cs="Times New Roman"/>
          <w:b/>
          <w:sz w:val="28"/>
          <w:szCs w:val="28"/>
        </w:rPr>
      </w:pPr>
      <w:r w:rsidRPr="00341240">
        <w:rPr>
          <w:rFonts w:ascii="Times New Roman" w:eastAsia="Calibri" w:hAnsi="Times New Roman" w:cs="Times New Roman"/>
          <w:b/>
          <w:sz w:val="28"/>
          <w:szCs w:val="28"/>
        </w:rPr>
        <w:t>1</w:t>
      </w:r>
      <w:r w:rsidR="00B334AA">
        <w:rPr>
          <w:rFonts w:ascii="Times New Roman" w:eastAsia="Calibri" w:hAnsi="Times New Roman" w:cs="Times New Roman"/>
          <w:b/>
          <w:sz w:val="28"/>
          <w:szCs w:val="28"/>
          <w:lang w:val="en-US"/>
        </w:rPr>
        <w:t>1</w:t>
      </w:r>
      <w:r w:rsidRPr="00341240">
        <w:rPr>
          <w:rFonts w:ascii="Times New Roman" w:eastAsia="Calibri" w:hAnsi="Times New Roman" w:cs="Times New Roman"/>
          <w:b/>
          <w:sz w:val="28"/>
          <w:szCs w:val="28"/>
        </w:rPr>
        <w:t>.Кадровая политика Банка</w:t>
      </w:r>
    </w:p>
    <w:p w:rsidR="00341240" w:rsidRPr="00341240" w:rsidRDefault="00341240" w:rsidP="00341240">
      <w:pPr>
        <w:spacing w:after="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В 2015 году в рамках кадровой политики Банка  особое внимание уделялось вопросам приведения политики в области оплаты труда работников Банка в соответствие требованиям регулятора. Среди значимых задач, которые решались в рамках кадровой политики Банка в 2015 году, также можно выделить следующие:</w:t>
      </w:r>
    </w:p>
    <w:p w:rsidR="00341240" w:rsidRPr="00341240" w:rsidRDefault="00341240" w:rsidP="00AB0ACF">
      <w:pPr>
        <w:numPr>
          <w:ilvl w:val="0"/>
          <w:numId w:val="25"/>
        </w:numPr>
        <w:spacing w:after="0" w:line="240" w:lineRule="auto"/>
        <w:ind w:left="993" w:hanging="284"/>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реализация проекта в области обучения персонала по развитию менеджерских компетенций у руководителей разных уровней, что важно для вклада в развитие управленческой культуры Банка;</w:t>
      </w:r>
    </w:p>
    <w:p w:rsidR="00341240" w:rsidRPr="00341240" w:rsidRDefault="00341240" w:rsidP="00AB0ACF">
      <w:pPr>
        <w:numPr>
          <w:ilvl w:val="0"/>
          <w:numId w:val="25"/>
        </w:numPr>
        <w:spacing w:after="0" w:line="240" w:lineRule="auto"/>
        <w:ind w:left="993" w:hanging="284"/>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расширение спектра страховой защиты работников Банка и улучшение условий предоставления некоторых видов социальной поддержки.</w:t>
      </w:r>
    </w:p>
    <w:p w:rsidR="00341240" w:rsidRPr="00341240" w:rsidRDefault="00341240" w:rsidP="00341240">
      <w:pPr>
        <w:spacing w:after="160" w:line="240" w:lineRule="auto"/>
        <w:ind w:left="993"/>
        <w:jc w:val="both"/>
        <w:rPr>
          <w:rFonts w:ascii="Times New Roman" w:eastAsia="Calibri" w:hAnsi="Times New Roman" w:cs="Times New Roman"/>
          <w:sz w:val="24"/>
          <w:szCs w:val="24"/>
        </w:rPr>
      </w:pPr>
    </w:p>
    <w:p w:rsidR="00341240" w:rsidRPr="00341240" w:rsidRDefault="00341240" w:rsidP="00341240">
      <w:pPr>
        <w:spacing w:after="160" w:line="240" w:lineRule="auto"/>
        <w:ind w:left="1080"/>
        <w:contextualSpacing/>
        <w:jc w:val="center"/>
        <w:rPr>
          <w:rFonts w:ascii="Times New Roman" w:eastAsia="Calibri" w:hAnsi="Times New Roman" w:cs="Times New Roman"/>
          <w:b/>
          <w:i/>
          <w:sz w:val="24"/>
          <w:szCs w:val="24"/>
        </w:rPr>
      </w:pPr>
      <w:r w:rsidRPr="00341240">
        <w:rPr>
          <w:rFonts w:ascii="Times New Roman" w:eastAsia="Calibri" w:hAnsi="Times New Roman" w:cs="Times New Roman"/>
          <w:b/>
          <w:i/>
          <w:sz w:val="24"/>
          <w:szCs w:val="24"/>
        </w:rPr>
        <w:t>Организационная структура Банка</w:t>
      </w:r>
    </w:p>
    <w:p w:rsidR="00341240" w:rsidRPr="00341240" w:rsidRDefault="00341240" w:rsidP="00341240">
      <w:pPr>
        <w:spacing w:after="160"/>
        <w:ind w:firstLine="360"/>
        <w:jc w:val="both"/>
        <w:rPr>
          <w:rFonts w:ascii="Times New Roman" w:eastAsia="Calibri" w:hAnsi="Times New Roman" w:cs="Times New Roman"/>
          <w:i/>
          <w:sz w:val="24"/>
          <w:szCs w:val="24"/>
        </w:rPr>
      </w:pPr>
    </w:p>
    <w:p w:rsidR="00341240" w:rsidRPr="00341240" w:rsidRDefault="00341240" w:rsidP="00341240">
      <w:pPr>
        <w:spacing w:after="16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Численность работников Банка за отчетный период увеличилась на 5 человек или на 3% по сравнению с предыдущим годом и составила на конец 2015 года 160 работников.</w:t>
      </w:r>
    </w:p>
    <w:p w:rsidR="00341240" w:rsidRPr="00341240" w:rsidRDefault="00341240" w:rsidP="00341240">
      <w:pPr>
        <w:spacing w:after="16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В феврале 2015 года Луис Висенте, занимавший с сентября 2013 года должность Управляющего директора Банка, назначен на должность Заместителя Председателя Правления Банка, на которой он курирует вопросы модернизации и развития системы риск-менеджмента НКЦ. С апреля 2015 года Луис</w:t>
      </w:r>
      <w:r w:rsidRPr="00341240" w:rsidDel="00036B33">
        <w:rPr>
          <w:rFonts w:ascii="Times New Roman" w:eastAsia="Calibri" w:hAnsi="Times New Roman" w:cs="Times New Roman"/>
          <w:sz w:val="24"/>
          <w:szCs w:val="24"/>
        </w:rPr>
        <w:t xml:space="preserve"> </w:t>
      </w:r>
      <w:r w:rsidRPr="00341240">
        <w:rPr>
          <w:rFonts w:ascii="Times New Roman" w:eastAsia="Calibri" w:hAnsi="Times New Roman" w:cs="Times New Roman"/>
          <w:sz w:val="24"/>
          <w:szCs w:val="24"/>
        </w:rPr>
        <w:t>Висенте также избран членом Правления Банка. Таким образом, до 5 человек увеличился количественный состав Правления Банка.</w:t>
      </w:r>
    </w:p>
    <w:p w:rsidR="00341240" w:rsidRPr="00341240" w:rsidRDefault="00341240" w:rsidP="00341240">
      <w:pPr>
        <w:spacing w:after="16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Значимые организационные изменения затронули одно из ключевых подразделений Банка – Департамент клиринга. В целях повышения эффективности обеспечения клиринговой деятельности внутренние подразделения департамента были перераспределены по функциям – проведение клиринговых операций и оформление клиринговых операций – взамен ранее существовавшей структуры, отражавшей обеспечение деятельности каждого обслуживаемого рынка в отдельности. Для целей улучшения деятельности соответствующих направлений в составе департамента выделены два подразделения, специализированно осуществляющих функции продвижения и информационной поддержки клиринговых услуг, а также функционального тестирования специализированного программного обеспечения.</w:t>
      </w:r>
    </w:p>
    <w:p w:rsidR="00341240" w:rsidRPr="00341240" w:rsidRDefault="00341240" w:rsidP="00341240">
      <w:pPr>
        <w:spacing w:after="160" w:line="240" w:lineRule="auto"/>
        <w:ind w:firstLine="567"/>
        <w:jc w:val="both"/>
        <w:rPr>
          <w:rFonts w:ascii="Times New Roman" w:eastAsia="Calibri" w:hAnsi="Times New Roman" w:cs="Times New Roman"/>
          <w:sz w:val="24"/>
          <w:szCs w:val="24"/>
        </w:rPr>
      </w:pPr>
    </w:p>
    <w:p w:rsidR="00341240" w:rsidRPr="00341240" w:rsidRDefault="00341240" w:rsidP="00341240">
      <w:pPr>
        <w:spacing w:after="160"/>
        <w:ind w:left="1080"/>
        <w:contextualSpacing/>
        <w:jc w:val="center"/>
        <w:rPr>
          <w:rFonts w:ascii="Times New Roman" w:eastAsia="Calibri" w:hAnsi="Times New Roman" w:cs="Times New Roman"/>
          <w:b/>
          <w:i/>
          <w:sz w:val="24"/>
          <w:szCs w:val="24"/>
        </w:rPr>
      </w:pPr>
    </w:p>
    <w:p w:rsidR="00341240" w:rsidRPr="00341240" w:rsidRDefault="00341240" w:rsidP="00341240">
      <w:pPr>
        <w:spacing w:after="160"/>
        <w:ind w:left="1080"/>
        <w:contextualSpacing/>
        <w:jc w:val="center"/>
        <w:rPr>
          <w:rFonts w:ascii="Times New Roman" w:eastAsia="Calibri" w:hAnsi="Times New Roman" w:cs="Times New Roman"/>
          <w:b/>
          <w:i/>
          <w:sz w:val="24"/>
          <w:szCs w:val="24"/>
        </w:rPr>
      </w:pPr>
      <w:r w:rsidRPr="00341240">
        <w:rPr>
          <w:rFonts w:ascii="Times New Roman" w:eastAsia="Calibri" w:hAnsi="Times New Roman" w:cs="Times New Roman"/>
          <w:b/>
          <w:i/>
          <w:sz w:val="24"/>
          <w:szCs w:val="24"/>
        </w:rPr>
        <w:t xml:space="preserve">Политика в области оплаты труда </w:t>
      </w:r>
    </w:p>
    <w:p w:rsidR="00341240" w:rsidRPr="00341240" w:rsidRDefault="00341240" w:rsidP="00341240">
      <w:pPr>
        <w:spacing w:after="160"/>
        <w:ind w:left="1080"/>
        <w:contextualSpacing/>
        <w:jc w:val="center"/>
        <w:rPr>
          <w:rFonts w:ascii="Times New Roman" w:eastAsia="Calibri" w:hAnsi="Times New Roman" w:cs="Times New Roman"/>
          <w:b/>
          <w:sz w:val="24"/>
          <w:szCs w:val="24"/>
        </w:rPr>
      </w:pPr>
    </w:p>
    <w:p w:rsidR="00341240" w:rsidRPr="00341240" w:rsidRDefault="00341240" w:rsidP="00341240">
      <w:pPr>
        <w:spacing w:after="16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В рамках реализации политики в области оплаты труда Банк стремится обеспечить конкурентоспособный уровень оплаты труда, т.е. сопоставимый с уровнем оплаты в компаниях, референтных НКЦ по масштабу бизнеса и специфике деятельности для того, чтобы иметь возможности привлекать на работу высококвалифицированных специалистов и руководителей, мотивировать и удерживать квалифицированные кадры Банка. </w:t>
      </w:r>
    </w:p>
    <w:p w:rsidR="00341240" w:rsidRPr="00341240" w:rsidRDefault="00341240" w:rsidP="00341240">
      <w:pPr>
        <w:spacing w:after="16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Начатая в предыдущем году работа по приведению политики в области оплаты труда в соответствие требованиям регулятора</w:t>
      </w:r>
      <w:r w:rsidRPr="00341240">
        <w:rPr>
          <w:rFonts w:ascii="Times New Roman" w:eastAsia="Calibri" w:hAnsi="Times New Roman" w:cs="Times New Roman"/>
          <w:sz w:val="24"/>
          <w:szCs w:val="24"/>
          <w:vertAlign w:val="superscript"/>
        </w:rPr>
        <w:footnoteReference w:id="2"/>
      </w:r>
      <w:r w:rsidRPr="00341240">
        <w:rPr>
          <w:rFonts w:ascii="Times New Roman" w:eastAsia="Calibri" w:hAnsi="Times New Roman" w:cs="Times New Roman"/>
          <w:sz w:val="24"/>
          <w:szCs w:val="24"/>
        </w:rPr>
        <w:t xml:space="preserve"> завершена к концу 2015 года.</w:t>
      </w:r>
    </w:p>
    <w:p w:rsidR="00341240" w:rsidRPr="00341240" w:rsidRDefault="00341240" w:rsidP="00341240">
      <w:pPr>
        <w:spacing w:after="16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Фиксированная часть оплаты труда является основой вознаграждения работников Банка. Базовое вознаграждение, являющееся элементом фиксированной части оплаты труда, дифференцировано по уровням должностей (грейдам) в зависимости от их значимости для Банка и вклада в результаты его деятельности, в том числе с учетом уровня и сочетания принимаемых рисков при осуществлении деятельности на должности, уровня ответственности. </w:t>
      </w:r>
    </w:p>
    <w:p w:rsidR="00341240" w:rsidRPr="00341240" w:rsidRDefault="00341240" w:rsidP="00341240">
      <w:pPr>
        <w:spacing w:after="16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Для достижения соответствия системы оплаты труда стратегии Банка, характеру и масштабу совершаемых операций, результатам его деятельности, уровню и сочетанию принимаемых рисков в НКЦ применяется материальное стимулирование, основной задачей которого является установление связи размера нефиксированной части оплаты труда с вкладом каждого работника, т.е. экономически оправданное соответствие между результатом работы, согласованным с целями Банка, и затратами на стимулирование. </w:t>
      </w:r>
    </w:p>
    <w:p w:rsidR="00341240" w:rsidRPr="00341240" w:rsidRDefault="00341240" w:rsidP="00341240">
      <w:pPr>
        <w:spacing w:after="16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Целевой размер нефиксированной части оплаты труда (годового бонуса или годовой премии) определяется в рамках утвержденной Наблюдательным советом Банка структуры соотношения фиксированной и нефиксированной частей оплаты труда в общем размере вознаграждения работников или индивидуальными условиями трудового договора, но в рамках требуемого Инструкцией № 154-И соотношения. Целевые размеры годового бонуса также дифференцированы по грейдам и в зависимости от категории работника (работники, принимающие риски; работники, управляющие рисками; работники, осуществляющие внутренний контроль; остальные работники).</w:t>
      </w:r>
      <w:r w:rsidRPr="00341240">
        <w:rPr>
          <w:rFonts w:ascii="Calibri" w:eastAsia="Calibri" w:hAnsi="Calibri" w:cs="Times New Roman"/>
          <w:sz w:val="24"/>
          <w:szCs w:val="24"/>
        </w:rPr>
        <w:t xml:space="preserve"> </w:t>
      </w:r>
      <w:r w:rsidRPr="00341240">
        <w:rPr>
          <w:rFonts w:ascii="Times New Roman" w:eastAsia="Calibri" w:hAnsi="Times New Roman" w:cs="Times New Roman"/>
          <w:sz w:val="24"/>
          <w:szCs w:val="24"/>
        </w:rPr>
        <w:t>Целевой размер годового бонуса работников Банка подлежит корректировке в зависимости от результатов выполнения работниками ключевых показателей эффективности деятельности (целей, KPIs) и после подведения итогов работы в отчетном периоде Банка в целом. Помимо этого, рассмотрение вопроса о премировании и его размере производится также с учетом данных статистической и бухгалтерской отчетности, сведений оперативного учета, результатов проверок внутренних/внешних аудиторов и регулирующих органов, результатов оценки рисков и прочих факторов.</w:t>
      </w:r>
    </w:p>
    <w:p w:rsidR="00341240" w:rsidRPr="00341240" w:rsidRDefault="00341240" w:rsidP="00341240">
      <w:pPr>
        <w:spacing w:after="16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В отношении членов исполнительных органов и иных работников, принимающих риски, предусматривается и применяется отсрочка (рассрочка) и последующая корректировка не менее 40 процентов нефиксированной части оплаты труда исходя из сроков получения финансовых результатов их деятельности (на срок не менее 3 лет, за исключением операций, окончательные финансовые результаты которых определяются ранее указанного срока), включая возможность сокращения или отмены нефиксированной части оплаты труда при получении негативного финансового результата в целом по Банку или по соответствующему направлению деятельности.  </w:t>
      </w:r>
      <w:r w:rsidRPr="00341240">
        <w:rPr>
          <w:rFonts w:ascii="Times New Roman" w:eastAsia="Calibri" w:hAnsi="Times New Roman" w:cs="Times New Roman"/>
          <w:bCs/>
          <w:sz w:val="24"/>
          <w:szCs w:val="24"/>
        </w:rPr>
        <w:t>Расчет размера долей отсроченной (рассроченной) части годового бонуса работников, принимающих риски, за отчетный период по срокам выплаты (начисления) производится работниками подразделений, управляющих рисками, и представляется на утверждение Наблюдательному совету Банка.</w:t>
      </w:r>
      <w:r w:rsidRPr="00341240">
        <w:rPr>
          <w:rFonts w:ascii="Times New Roman" w:eastAsia="Calibri" w:hAnsi="Times New Roman" w:cs="Times New Roman"/>
          <w:sz w:val="24"/>
          <w:szCs w:val="24"/>
        </w:rPr>
        <w:t xml:space="preserve"> </w:t>
      </w:r>
    </w:p>
    <w:p w:rsidR="00341240" w:rsidRPr="00341240" w:rsidRDefault="00341240" w:rsidP="00341240">
      <w:pPr>
        <w:spacing w:after="16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Внутренними документами Банка регламентированы все нестандартные выплаты (льготы), определен термин «Крупное вознаграждение», и закреплен порядок контроля за выплатами такого вознаграждения работникам Банка. В Банке определен порядок оценки эффективности организации и функционирования системы оплаты труда, а также подразделение, на которое возложены полномочия по мониторингу системы оплаты. Также в деятельность подразделений, осуществляющих внутренний контроль, и подразделений, осуществляющих управление рисками, включены задачи по совершенствованию документов Банка, устанавливающих систему оплаты труда, в зависимости от результатов деятельности НКЦ с учетом уровня рисков, принимаемых Банком, его подразделениями и работниками, а также изменений стратегии кредитной организации, характера и масштаба его деятельности.</w:t>
      </w:r>
    </w:p>
    <w:p w:rsidR="00341240" w:rsidRPr="00341240" w:rsidRDefault="00341240" w:rsidP="00341240">
      <w:pPr>
        <w:spacing w:after="16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В составе Наблюдательного совета Банка создан и функционирует специальный орган – комитет по назначениям и вознаграждениям,  – к компетенции которого в том числе относится формирование рекомендаций и подготовка для Наблюдательного совета Банка проектов решений по вопросам организации, мониторинга и контроля системы оплаты труда, оценки ее соответствия стратегии Банка, характеру и масштабу совершаемых операций, результатам его деятельности, уровню и сочетанию принимаемых рисков. </w:t>
      </w:r>
    </w:p>
    <w:p w:rsidR="00341240" w:rsidRPr="00341240" w:rsidRDefault="00341240" w:rsidP="00341240">
      <w:pPr>
        <w:spacing w:after="16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В конце 2015 года проведены внутренняя (службой внутреннего аудита) и внешняя независимые оценки системы оплаты труда Банка, которые показали </w:t>
      </w:r>
      <w:r w:rsidRPr="00341240">
        <w:rPr>
          <w:rFonts w:ascii="Times New Roman" w:eastAsia="Calibri" w:hAnsi="Times New Roman" w:cs="Times New Roman"/>
          <w:bCs/>
          <w:sz w:val="24"/>
          <w:szCs w:val="24"/>
        </w:rPr>
        <w:t>соответствие системы оплаты труда характеру и масштабу совершаемых им операций, результатам его деятельности, уровню и сочетанию принимаемых рисков с учетом требований Инструкции №154-И.</w:t>
      </w:r>
    </w:p>
    <w:p w:rsidR="00341240" w:rsidRPr="00341240" w:rsidRDefault="00341240" w:rsidP="00341240">
      <w:pPr>
        <w:spacing w:after="160"/>
        <w:ind w:left="1080"/>
        <w:contextualSpacing/>
        <w:jc w:val="center"/>
        <w:rPr>
          <w:rFonts w:ascii="Times New Roman" w:eastAsia="Calibri" w:hAnsi="Times New Roman" w:cs="Times New Roman"/>
          <w:b/>
          <w:sz w:val="24"/>
          <w:szCs w:val="24"/>
        </w:rPr>
      </w:pPr>
    </w:p>
    <w:p w:rsidR="00341240" w:rsidRPr="00341240" w:rsidRDefault="00341240" w:rsidP="00341240">
      <w:pPr>
        <w:spacing w:after="160"/>
        <w:ind w:left="1080"/>
        <w:contextualSpacing/>
        <w:jc w:val="center"/>
        <w:rPr>
          <w:rFonts w:ascii="Times New Roman" w:eastAsia="Calibri" w:hAnsi="Times New Roman" w:cs="Times New Roman"/>
          <w:i/>
          <w:sz w:val="24"/>
          <w:szCs w:val="24"/>
        </w:rPr>
      </w:pPr>
      <w:r w:rsidRPr="00341240">
        <w:rPr>
          <w:rFonts w:ascii="Times New Roman" w:eastAsia="Calibri" w:hAnsi="Times New Roman" w:cs="Times New Roman"/>
          <w:i/>
          <w:sz w:val="24"/>
          <w:szCs w:val="24"/>
        </w:rPr>
        <w:t>Социальная поддержка работников Банка</w:t>
      </w:r>
    </w:p>
    <w:p w:rsidR="00341240" w:rsidRPr="00341240" w:rsidRDefault="00341240" w:rsidP="00341240">
      <w:pPr>
        <w:spacing w:after="160"/>
        <w:ind w:left="1080"/>
        <w:contextualSpacing/>
        <w:jc w:val="center"/>
        <w:rPr>
          <w:rFonts w:ascii="Times New Roman" w:eastAsia="Calibri" w:hAnsi="Times New Roman" w:cs="Times New Roman"/>
          <w:b/>
          <w:sz w:val="24"/>
          <w:szCs w:val="24"/>
        </w:rPr>
      </w:pPr>
    </w:p>
    <w:p w:rsidR="00341240" w:rsidRPr="00341240" w:rsidRDefault="00341240" w:rsidP="00341240">
      <w:pPr>
        <w:spacing w:after="16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 xml:space="preserve">Банк стремится обеспечить социальную защищенность работников, способствующую повышению эффективности и качества их труда, предоставляя работникам корпоративную социальную поддержку. </w:t>
      </w:r>
    </w:p>
    <w:p w:rsidR="00341240" w:rsidRPr="00341240" w:rsidRDefault="00341240" w:rsidP="00341240">
      <w:pPr>
        <w:spacing w:after="16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Помимо постоянно предоставляемого работникам Банка социального пакета, куда входят разные виды материальной помощи, добровольное медицинское страхование (ДМС) и международное медицинское страхование от критических заболеваний (ММС), в 2015 году Банк предоставил всем работникам новый вид страхования - страхование от несчастного случая и болезней (НСиБ).</w:t>
      </w:r>
    </w:p>
    <w:p w:rsidR="00341240" w:rsidRPr="00341240" w:rsidRDefault="00341240" w:rsidP="00341240">
      <w:pPr>
        <w:spacing w:after="0" w:line="240" w:lineRule="auto"/>
        <w:ind w:firstLine="567"/>
        <w:jc w:val="both"/>
        <w:rPr>
          <w:rFonts w:ascii="Times New Roman" w:eastAsia="Calibri" w:hAnsi="Times New Roman" w:cs="Times New Roman"/>
          <w:sz w:val="24"/>
          <w:szCs w:val="24"/>
        </w:rPr>
      </w:pPr>
      <w:r w:rsidRPr="00341240">
        <w:rPr>
          <w:rFonts w:ascii="Times New Roman" w:eastAsia="Calibri" w:hAnsi="Times New Roman" w:cs="Times New Roman"/>
          <w:sz w:val="24"/>
          <w:szCs w:val="24"/>
        </w:rPr>
        <w:t>В 2015 году страховкой ДМС было обеспечено 97,5% работников Банка, а 63% работников (из числа застрахованных) выбрали программы ДМС и для членов своих семей. Возможностью страхования по программам ММС воспользовались 71% работников, по НСиБ – застрахованы все работники НКЦ.</w:t>
      </w:r>
    </w:p>
    <w:p w:rsidR="00341240" w:rsidRPr="00341240" w:rsidRDefault="00341240" w:rsidP="00341240">
      <w:pPr>
        <w:spacing w:after="160" w:line="259" w:lineRule="auto"/>
        <w:jc w:val="center"/>
        <w:rPr>
          <w:rFonts w:ascii="Times New Roman" w:eastAsia="Calibri" w:hAnsi="Times New Roman" w:cs="Times New Roman"/>
          <w:b/>
          <w:sz w:val="24"/>
          <w:szCs w:val="24"/>
        </w:rPr>
      </w:pPr>
    </w:p>
    <w:p w:rsidR="00341240" w:rsidRPr="00341240" w:rsidRDefault="00341240" w:rsidP="00341240">
      <w:pPr>
        <w:spacing w:after="160" w:line="259" w:lineRule="auto"/>
        <w:jc w:val="center"/>
        <w:rPr>
          <w:rFonts w:ascii="Times New Roman" w:eastAsia="Calibri" w:hAnsi="Times New Roman" w:cs="Times New Roman"/>
          <w:b/>
          <w:i/>
          <w:sz w:val="24"/>
          <w:szCs w:val="24"/>
        </w:rPr>
      </w:pPr>
      <w:r w:rsidRPr="00341240">
        <w:rPr>
          <w:rFonts w:ascii="Times New Roman" w:eastAsia="Calibri" w:hAnsi="Times New Roman" w:cs="Times New Roman"/>
          <w:b/>
          <w:i/>
          <w:sz w:val="24"/>
          <w:szCs w:val="24"/>
        </w:rPr>
        <w:t>Обучение и развитие работников Банка</w:t>
      </w:r>
    </w:p>
    <w:p w:rsidR="00341240" w:rsidRPr="00341240" w:rsidRDefault="00341240" w:rsidP="00341240">
      <w:pPr>
        <w:spacing w:after="160" w:line="259" w:lineRule="auto"/>
        <w:ind w:firstLine="567"/>
        <w:jc w:val="both"/>
        <w:rPr>
          <w:rFonts w:ascii="Times New Roman" w:eastAsia="Calibri" w:hAnsi="Times New Roman" w:cs="Times New Roman"/>
          <w:iCs/>
          <w:sz w:val="24"/>
          <w:szCs w:val="24"/>
        </w:rPr>
      </w:pPr>
      <w:r w:rsidRPr="00341240">
        <w:rPr>
          <w:rFonts w:ascii="Times New Roman" w:eastAsia="Calibri" w:hAnsi="Times New Roman" w:cs="Times New Roman"/>
          <w:sz w:val="24"/>
          <w:szCs w:val="24"/>
        </w:rPr>
        <w:t>По данным на конец отчетного периода, все работники Банка имели высшее профессиональное образование, а 16,8% работников – второе высшее образование. Помимо этого, двое работников имели ученую степень кандидата наук,</w:t>
      </w:r>
      <w:r w:rsidRPr="00341240">
        <w:rPr>
          <w:rFonts w:ascii="Times New Roman" w:eastAsia="Calibri" w:hAnsi="Times New Roman" w:cs="Times New Roman"/>
          <w:iCs/>
          <w:sz w:val="24"/>
          <w:szCs w:val="24"/>
        </w:rPr>
        <w:t xml:space="preserve"> 43% работников - квалификационный аттестат ФСФР, что дает право Банку на проведение различных видов деятельности на финансовом рынке.</w:t>
      </w:r>
    </w:p>
    <w:p w:rsidR="00341240" w:rsidRPr="00341240" w:rsidRDefault="00341240" w:rsidP="00341240">
      <w:pPr>
        <w:spacing w:after="160" w:line="259" w:lineRule="auto"/>
        <w:ind w:firstLine="567"/>
        <w:jc w:val="center"/>
        <w:rPr>
          <w:rFonts w:ascii="Times New Roman" w:eastAsia="Calibri" w:hAnsi="Times New Roman" w:cs="Times New Roman"/>
          <w:i/>
          <w:iCs/>
          <w:color w:val="000000"/>
          <w:sz w:val="24"/>
          <w:szCs w:val="24"/>
        </w:rPr>
      </w:pPr>
      <w:r w:rsidRPr="00341240">
        <w:rPr>
          <w:rFonts w:ascii="Times New Roman" w:eastAsia="Calibri" w:hAnsi="Times New Roman" w:cs="Times New Roman"/>
          <w:i/>
          <w:iCs/>
          <w:color w:val="000000"/>
          <w:sz w:val="24"/>
          <w:szCs w:val="24"/>
        </w:rPr>
        <w:t>Внутренне обучение и развитие работников Банка</w:t>
      </w:r>
    </w:p>
    <w:p w:rsidR="00341240" w:rsidRPr="00341240" w:rsidRDefault="00341240" w:rsidP="00341240">
      <w:pPr>
        <w:spacing w:after="160" w:line="240" w:lineRule="auto"/>
        <w:ind w:firstLine="567"/>
        <w:jc w:val="both"/>
        <w:rPr>
          <w:rFonts w:ascii="Times New Roman" w:eastAsia="Calibri" w:hAnsi="Times New Roman" w:cs="Times New Roman"/>
          <w:iCs/>
          <w:color w:val="000000"/>
          <w:sz w:val="24"/>
          <w:szCs w:val="24"/>
        </w:rPr>
      </w:pPr>
      <w:r w:rsidRPr="00341240">
        <w:rPr>
          <w:rFonts w:ascii="Times New Roman" w:eastAsia="Calibri" w:hAnsi="Times New Roman" w:cs="Times New Roman"/>
          <w:iCs/>
          <w:sz w:val="24"/>
          <w:szCs w:val="24"/>
        </w:rPr>
        <w:t xml:space="preserve">В отчетном году для работников Банка было </w:t>
      </w:r>
      <w:r w:rsidRPr="00341240">
        <w:rPr>
          <w:rFonts w:ascii="Times New Roman" w:eastAsia="Calibri" w:hAnsi="Times New Roman" w:cs="Times New Roman"/>
          <w:iCs/>
          <w:color w:val="000000"/>
          <w:sz w:val="24"/>
          <w:szCs w:val="24"/>
        </w:rPr>
        <w:t>проведено более 50 тренингов, направленных на развитие навыков коммуникации, публичных выступлений, управления конфликтными ситуациями, по персональной ответственности. Всего в таких тренингах приняли участие 31% работников Банка.</w:t>
      </w:r>
    </w:p>
    <w:p w:rsidR="00341240" w:rsidRPr="00341240" w:rsidRDefault="00341240" w:rsidP="00341240">
      <w:pPr>
        <w:spacing w:after="160" w:line="240" w:lineRule="auto"/>
        <w:ind w:firstLine="567"/>
        <w:jc w:val="both"/>
        <w:rPr>
          <w:rFonts w:ascii="Times New Roman" w:eastAsia="Calibri" w:hAnsi="Times New Roman" w:cs="Times New Roman"/>
          <w:iCs/>
          <w:color w:val="000000"/>
          <w:sz w:val="24"/>
          <w:szCs w:val="24"/>
        </w:rPr>
      </w:pPr>
      <w:r w:rsidRPr="00341240">
        <w:rPr>
          <w:rFonts w:ascii="Times New Roman" w:eastAsia="Calibri" w:hAnsi="Times New Roman" w:cs="Times New Roman"/>
          <w:iCs/>
          <w:color w:val="000000"/>
          <w:sz w:val="24"/>
          <w:szCs w:val="24"/>
        </w:rPr>
        <w:t>В 2015 году в компаниях Группы «Московская Биржа» состоялся первый выпуск по итогам обучения в рамках внутрикорпоративной программы «MOEX Business University». Основной акцент данной программы – подготовка лидеров изменений. Эта комплексная программа (длительностью более одного года) разрабатывалась и внедрялась для развития лидерства в управлении изменениями. 12,5% (от общего числа выпускников этой программы) составили работники Банка. Они успешно завершили обучение в «MOEX Business University», защитив свои бизнес-проекты в командах совместно с коллегами из других компаний.</w:t>
      </w:r>
    </w:p>
    <w:p w:rsidR="00341240" w:rsidRPr="00341240" w:rsidRDefault="00341240" w:rsidP="00341240">
      <w:pPr>
        <w:spacing w:after="160" w:line="240" w:lineRule="auto"/>
        <w:ind w:firstLine="567"/>
        <w:jc w:val="both"/>
        <w:rPr>
          <w:rFonts w:ascii="Times New Roman" w:eastAsia="Calibri" w:hAnsi="Times New Roman" w:cs="Times New Roman"/>
          <w:iCs/>
          <w:color w:val="000000"/>
          <w:sz w:val="24"/>
          <w:szCs w:val="24"/>
        </w:rPr>
      </w:pPr>
      <w:r w:rsidRPr="00341240">
        <w:rPr>
          <w:rFonts w:ascii="Times New Roman" w:eastAsia="Calibri" w:hAnsi="Times New Roman" w:cs="Times New Roman"/>
          <w:iCs/>
          <w:color w:val="000000"/>
          <w:sz w:val="24"/>
          <w:szCs w:val="24"/>
        </w:rPr>
        <w:t>Также в отчетном году произведен отбор и дан старт обучения по программе «MOEX Business University 2.0.»  - второго потока участников. При высоком конкурсе на участие в программе – более 3-х человек на место – 12% от всего количества мест на обучение заняли работники Банка, и уже к концу 2015 года  все участники второго потока прошли большинство курсов по программе обучения, а также подготовили к экзаменационной защите командные бизнес-проекты.</w:t>
      </w:r>
    </w:p>
    <w:p w:rsidR="00341240" w:rsidRPr="00341240" w:rsidRDefault="00341240" w:rsidP="00341240">
      <w:pPr>
        <w:spacing w:after="160" w:line="240" w:lineRule="auto"/>
        <w:ind w:firstLine="567"/>
        <w:jc w:val="both"/>
        <w:rPr>
          <w:rFonts w:ascii="Times New Roman" w:eastAsia="Calibri" w:hAnsi="Times New Roman" w:cs="Times New Roman"/>
          <w:iCs/>
          <w:color w:val="000000"/>
          <w:sz w:val="24"/>
          <w:szCs w:val="24"/>
        </w:rPr>
      </w:pPr>
      <w:r w:rsidRPr="00341240">
        <w:rPr>
          <w:rFonts w:ascii="Times New Roman" w:eastAsia="Calibri" w:hAnsi="Times New Roman" w:cs="Times New Roman"/>
          <w:iCs/>
          <w:color w:val="000000"/>
          <w:sz w:val="24"/>
          <w:szCs w:val="24"/>
        </w:rPr>
        <w:t xml:space="preserve">Для руководителей высшего звена управления компаний Группы в отчетном году было проведено обучение по программе «Мини MBA» под руководством одного из профессоров, сотрудничающего с Harvard Business School. В программе приняли участие 8 руководителей из ключевых направлений деятельности Банка. Для развития руководителей среднего звена в 2015 году осуществлен запуск программы «Факультет менеджмента». Данная программа направлена на развитие управленческих навыков и формирования команды профессионалов. В программе приняли участие 6 руководителей среднего звена управления Банка. </w:t>
      </w:r>
    </w:p>
    <w:p w:rsidR="00341240" w:rsidRPr="00341240" w:rsidRDefault="00341240" w:rsidP="00341240">
      <w:pPr>
        <w:spacing w:after="160" w:line="240" w:lineRule="auto"/>
        <w:ind w:firstLine="567"/>
        <w:jc w:val="both"/>
        <w:rPr>
          <w:rFonts w:ascii="Times New Roman" w:eastAsia="Calibri" w:hAnsi="Times New Roman" w:cs="Times New Roman"/>
          <w:b/>
          <w:i/>
          <w:iCs/>
          <w:sz w:val="24"/>
          <w:szCs w:val="24"/>
        </w:rPr>
      </w:pPr>
    </w:p>
    <w:p w:rsidR="00341240" w:rsidRPr="00341240" w:rsidRDefault="00341240" w:rsidP="00341240">
      <w:pPr>
        <w:spacing w:after="160" w:line="259" w:lineRule="auto"/>
        <w:ind w:firstLine="567"/>
        <w:jc w:val="center"/>
        <w:rPr>
          <w:rFonts w:ascii="Times New Roman" w:eastAsia="Calibri" w:hAnsi="Times New Roman" w:cs="Times New Roman"/>
          <w:i/>
          <w:iCs/>
          <w:sz w:val="24"/>
          <w:szCs w:val="24"/>
        </w:rPr>
      </w:pPr>
      <w:r w:rsidRPr="00341240">
        <w:rPr>
          <w:rFonts w:ascii="Times New Roman" w:eastAsia="Calibri" w:hAnsi="Times New Roman" w:cs="Times New Roman"/>
          <w:i/>
          <w:iCs/>
          <w:sz w:val="24"/>
          <w:szCs w:val="24"/>
        </w:rPr>
        <w:t>Внешнее обучение работников Банка</w:t>
      </w:r>
    </w:p>
    <w:p w:rsidR="00341240" w:rsidRPr="00341240" w:rsidRDefault="00341240" w:rsidP="00341240">
      <w:pPr>
        <w:spacing w:after="0" w:line="259" w:lineRule="auto"/>
        <w:ind w:firstLine="567"/>
        <w:jc w:val="both"/>
        <w:rPr>
          <w:rFonts w:ascii="Times New Roman" w:eastAsia="Calibri" w:hAnsi="Times New Roman" w:cs="Times New Roman"/>
          <w:color w:val="000000"/>
          <w:sz w:val="24"/>
          <w:szCs w:val="24"/>
        </w:rPr>
      </w:pPr>
      <w:r w:rsidRPr="00341240">
        <w:rPr>
          <w:rFonts w:ascii="Times New Roman" w:eastAsia="Calibri" w:hAnsi="Times New Roman" w:cs="Times New Roman"/>
          <w:color w:val="000000"/>
          <w:sz w:val="24"/>
          <w:szCs w:val="24"/>
        </w:rPr>
        <w:t>В течение 2015 года 61 работник Банка прошел профессиональное (внешнее) обучение, что почти на 42% больше по сравнению с общим количеством работников Банка, прошедших профессиональное обучение в 2014 году. Данные работники приняли участие в 56 различных программах по профессиональному (внешнему) обучению, в том числе:</w:t>
      </w:r>
    </w:p>
    <w:p w:rsidR="00341240" w:rsidRPr="00341240" w:rsidRDefault="00341240" w:rsidP="00AB0ACF">
      <w:pPr>
        <w:numPr>
          <w:ilvl w:val="0"/>
          <w:numId w:val="79"/>
        </w:numPr>
        <w:spacing w:after="0" w:line="259" w:lineRule="auto"/>
        <w:ind w:firstLine="567"/>
        <w:contextualSpacing/>
        <w:jc w:val="both"/>
        <w:rPr>
          <w:rFonts w:ascii="Times New Roman" w:eastAsia="Calibri" w:hAnsi="Times New Roman" w:cs="Times New Roman"/>
          <w:iCs/>
          <w:color w:val="000000"/>
          <w:sz w:val="24"/>
          <w:szCs w:val="24"/>
        </w:rPr>
      </w:pPr>
      <w:r w:rsidRPr="00341240">
        <w:rPr>
          <w:rFonts w:ascii="Times New Roman" w:eastAsia="Calibri" w:hAnsi="Times New Roman" w:cs="Times New Roman"/>
          <w:iCs/>
          <w:color w:val="000000"/>
          <w:sz w:val="24"/>
          <w:szCs w:val="24"/>
        </w:rPr>
        <w:t xml:space="preserve">Во исполнение требований Указания Банка России от 27.11.2014 № 3455-У «О внесении изменения в пункт 2.2 Указания Банка России от 9 августа 2004 года № 1485-У «О требованиях к подготовке и обучению кадров в кредитных организациях» соответствующие работники Банка прошли обучение на семинарах, тематика которых связана с: </w:t>
      </w:r>
    </w:p>
    <w:p w:rsidR="00341240" w:rsidRPr="00341240" w:rsidRDefault="00341240" w:rsidP="00AB0ACF">
      <w:pPr>
        <w:numPr>
          <w:ilvl w:val="0"/>
          <w:numId w:val="80"/>
        </w:numPr>
        <w:spacing w:after="0" w:line="259" w:lineRule="auto"/>
        <w:contextualSpacing/>
        <w:jc w:val="both"/>
        <w:rPr>
          <w:rFonts w:ascii="Times New Roman" w:eastAsia="Calibri" w:hAnsi="Times New Roman" w:cs="Times New Roman"/>
          <w:iCs/>
          <w:color w:val="000000"/>
          <w:sz w:val="24"/>
          <w:szCs w:val="24"/>
        </w:rPr>
      </w:pPr>
      <w:r w:rsidRPr="00341240">
        <w:rPr>
          <w:rFonts w:ascii="Times New Roman" w:eastAsia="Calibri" w:hAnsi="Times New Roman" w:cs="Times New Roman"/>
          <w:iCs/>
          <w:color w:val="000000"/>
          <w:sz w:val="24"/>
          <w:szCs w:val="24"/>
        </w:rPr>
        <w:t xml:space="preserve">противодействием легализации (отмыванию) доходов, полученных преступным путем, и финансированию терроризма; </w:t>
      </w:r>
    </w:p>
    <w:p w:rsidR="00341240" w:rsidRPr="00341240" w:rsidRDefault="00341240" w:rsidP="00AB0ACF">
      <w:pPr>
        <w:numPr>
          <w:ilvl w:val="0"/>
          <w:numId w:val="80"/>
        </w:numPr>
        <w:spacing w:after="0" w:line="259" w:lineRule="auto"/>
        <w:contextualSpacing/>
        <w:jc w:val="both"/>
        <w:rPr>
          <w:rFonts w:ascii="Times New Roman" w:eastAsia="Calibri" w:hAnsi="Times New Roman" w:cs="Times New Roman"/>
          <w:iCs/>
          <w:color w:val="000000"/>
          <w:sz w:val="24"/>
          <w:szCs w:val="24"/>
        </w:rPr>
      </w:pPr>
      <w:r w:rsidRPr="00341240">
        <w:rPr>
          <w:rFonts w:ascii="Times New Roman" w:eastAsia="Calibri" w:hAnsi="Times New Roman" w:cs="Times New Roman"/>
          <w:iCs/>
          <w:color w:val="000000"/>
          <w:sz w:val="24"/>
          <w:szCs w:val="24"/>
        </w:rPr>
        <w:t xml:space="preserve">информационной безопасностью; </w:t>
      </w:r>
    </w:p>
    <w:p w:rsidR="00341240" w:rsidRPr="00341240" w:rsidRDefault="00341240" w:rsidP="00AB0ACF">
      <w:pPr>
        <w:numPr>
          <w:ilvl w:val="0"/>
          <w:numId w:val="80"/>
        </w:numPr>
        <w:spacing w:after="0" w:line="259" w:lineRule="auto"/>
        <w:contextualSpacing/>
        <w:jc w:val="both"/>
        <w:rPr>
          <w:rFonts w:ascii="Times New Roman" w:eastAsia="Calibri" w:hAnsi="Times New Roman" w:cs="Times New Roman"/>
          <w:iCs/>
          <w:color w:val="000000"/>
          <w:sz w:val="24"/>
          <w:szCs w:val="24"/>
        </w:rPr>
      </w:pPr>
      <w:r w:rsidRPr="00341240">
        <w:rPr>
          <w:rFonts w:ascii="Times New Roman" w:eastAsia="Calibri" w:hAnsi="Times New Roman" w:cs="Times New Roman"/>
          <w:iCs/>
          <w:color w:val="000000"/>
          <w:sz w:val="24"/>
          <w:szCs w:val="24"/>
        </w:rPr>
        <w:t>особенностями и изменениями в бухгалтерском учете;</w:t>
      </w:r>
    </w:p>
    <w:p w:rsidR="00341240" w:rsidRPr="00341240" w:rsidRDefault="00341240" w:rsidP="00341240">
      <w:pPr>
        <w:spacing w:after="0" w:line="259" w:lineRule="auto"/>
        <w:jc w:val="both"/>
        <w:rPr>
          <w:rFonts w:ascii="Times New Roman" w:eastAsia="Calibri" w:hAnsi="Times New Roman" w:cs="Times New Roman"/>
          <w:iCs/>
          <w:color w:val="000000"/>
          <w:sz w:val="24"/>
          <w:szCs w:val="24"/>
        </w:rPr>
      </w:pPr>
      <w:r w:rsidRPr="00341240">
        <w:rPr>
          <w:rFonts w:ascii="Times New Roman" w:eastAsia="Calibri" w:hAnsi="Times New Roman" w:cs="Times New Roman"/>
          <w:iCs/>
          <w:color w:val="000000"/>
          <w:sz w:val="24"/>
          <w:szCs w:val="24"/>
        </w:rPr>
        <w:t>и многими другими темами.</w:t>
      </w:r>
    </w:p>
    <w:p w:rsidR="00341240" w:rsidRPr="00341240" w:rsidRDefault="00341240" w:rsidP="00AB0ACF">
      <w:pPr>
        <w:numPr>
          <w:ilvl w:val="0"/>
          <w:numId w:val="79"/>
        </w:numPr>
        <w:spacing w:after="0" w:line="259" w:lineRule="auto"/>
        <w:ind w:firstLine="567"/>
        <w:contextualSpacing/>
        <w:jc w:val="both"/>
        <w:rPr>
          <w:rFonts w:ascii="Times New Roman" w:eastAsia="Calibri" w:hAnsi="Times New Roman" w:cs="Times New Roman"/>
          <w:iCs/>
          <w:color w:val="000000"/>
          <w:sz w:val="24"/>
          <w:szCs w:val="24"/>
        </w:rPr>
      </w:pPr>
      <w:r w:rsidRPr="00341240">
        <w:rPr>
          <w:rFonts w:ascii="Times New Roman" w:eastAsia="Calibri" w:hAnsi="Times New Roman" w:cs="Times New Roman"/>
          <w:iCs/>
          <w:color w:val="000000"/>
          <w:sz w:val="24"/>
          <w:szCs w:val="24"/>
        </w:rPr>
        <w:t xml:space="preserve">Двое работников из подразделений, управляющих рисками, стали участниками специализированной конференции «XI Russia Risk Conference», а 8 работников (этой же категории) посетили Х Международную конференцию «Российский рынок деривативов». </w:t>
      </w:r>
    </w:p>
    <w:p w:rsidR="00341240" w:rsidRPr="00341240" w:rsidRDefault="00341240" w:rsidP="00AB0ACF">
      <w:pPr>
        <w:numPr>
          <w:ilvl w:val="0"/>
          <w:numId w:val="79"/>
        </w:numPr>
        <w:spacing w:after="0" w:line="259" w:lineRule="auto"/>
        <w:ind w:firstLine="567"/>
        <w:contextualSpacing/>
        <w:jc w:val="both"/>
        <w:rPr>
          <w:rFonts w:ascii="Times New Roman" w:eastAsia="Calibri" w:hAnsi="Times New Roman" w:cs="Times New Roman"/>
          <w:iCs/>
          <w:color w:val="000000"/>
          <w:sz w:val="24"/>
          <w:szCs w:val="24"/>
        </w:rPr>
      </w:pPr>
      <w:r w:rsidRPr="00341240">
        <w:rPr>
          <w:rFonts w:ascii="Times New Roman" w:eastAsia="Calibri" w:hAnsi="Times New Roman" w:cs="Times New Roman"/>
          <w:iCs/>
          <w:color w:val="000000"/>
          <w:sz w:val="24"/>
          <w:szCs w:val="24"/>
        </w:rPr>
        <w:t>Один из руководителей прошел профильное обучение по курсу повышения квалификации «Управление рисками (</w:t>
      </w:r>
      <w:r w:rsidRPr="00341240">
        <w:rPr>
          <w:rFonts w:ascii="Times New Roman" w:eastAsia="Calibri" w:hAnsi="Times New Roman" w:cs="Times New Roman"/>
          <w:iCs/>
          <w:color w:val="000000"/>
          <w:sz w:val="24"/>
          <w:szCs w:val="24"/>
          <w:lang w:val="en-US"/>
        </w:rPr>
        <w:t>FRM</w:t>
      </w:r>
      <w:r w:rsidRPr="00341240">
        <w:rPr>
          <w:rFonts w:ascii="Times New Roman" w:eastAsia="Calibri" w:hAnsi="Times New Roman" w:cs="Times New Roman"/>
          <w:iCs/>
          <w:color w:val="000000"/>
          <w:sz w:val="24"/>
          <w:szCs w:val="24"/>
        </w:rPr>
        <w:t xml:space="preserve">)» (204 академических часа). </w:t>
      </w:r>
    </w:p>
    <w:p w:rsidR="00341240" w:rsidRPr="00341240" w:rsidRDefault="00341240" w:rsidP="00AB0ACF">
      <w:pPr>
        <w:numPr>
          <w:ilvl w:val="0"/>
          <w:numId w:val="79"/>
        </w:numPr>
        <w:spacing w:after="0" w:line="259" w:lineRule="auto"/>
        <w:ind w:firstLine="567"/>
        <w:contextualSpacing/>
        <w:jc w:val="both"/>
        <w:rPr>
          <w:rFonts w:ascii="Times New Roman" w:eastAsia="Calibri" w:hAnsi="Times New Roman" w:cs="Times New Roman"/>
          <w:iCs/>
          <w:color w:val="000000"/>
          <w:sz w:val="24"/>
          <w:szCs w:val="24"/>
        </w:rPr>
      </w:pPr>
      <w:r w:rsidRPr="00341240">
        <w:rPr>
          <w:rFonts w:ascii="Times New Roman" w:eastAsia="Calibri" w:hAnsi="Times New Roman" w:cs="Times New Roman"/>
          <w:iCs/>
          <w:color w:val="000000"/>
          <w:sz w:val="24"/>
          <w:szCs w:val="24"/>
        </w:rPr>
        <w:t xml:space="preserve">Ряд работников Банка, работающих по направлению «информационные технологии», прошли обучение по нескольким курсам (каждый в зависимости от своей профессиональной специализации), в том числе </w:t>
      </w:r>
      <w:r w:rsidRPr="00341240">
        <w:rPr>
          <w:rFonts w:ascii="Times New Roman" w:eastAsia="Calibri" w:hAnsi="Times New Roman" w:cs="Times New Roman"/>
          <w:iCs/>
          <w:color w:val="000000"/>
          <w:sz w:val="24"/>
          <w:szCs w:val="24"/>
          <w:lang w:val="en-US"/>
        </w:rPr>
        <w:t>Oracle</w:t>
      </w:r>
      <w:r w:rsidRPr="00341240">
        <w:rPr>
          <w:rFonts w:ascii="Times New Roman" w:eastAsia="Calibri" w:hAnsi="Times New Roman" w:cs="Times New Roman"/>
          <w:iCs/>
          <w:color w:val="000000"/>
          <w:sz w:val="24"/>
          <w:szCs w:val="24"/>
        </w:rPr>
        <w:t xml:space="preserve"> </w:t>
      </w:r>
      <w:r w:rsidRPr="00341240">
        <w:rPr>
          <w:rFonts w:ascii="Times New Roman" w:eastAsia="Calibri" w:hAnsi="Times New Roman" w:cs="Times New Roman"/>
          <w:iCs/>
          <w:color w:val="000000"/>
          <w:sz w:val="24"/>
          <w:szCs w:val="24"/>
          <w:lang w:val="en-US"/>
        </w:rPr>
        <w:t>GoldenGate</w:t>
      </w:r>
      <w:r w:rsidRPr="00341240">
        <w:rPr>
          <w:rFonts w:ascii="Times New Roman" w:eastAsia="Calibri" w:hAnsi="Times New Roman" w:cs="Times New Roman"/>
          <w:iCs/>
          <w:color w:val="000000"/>
          <w:sz w:val="24"/>
          <w:szCs w:val="24"/>
        </w:rPr>
        <w:t xml:space="preserve"> 12</w:t>
      </w:r>
      <w:r w:rsidRPr="00341240">
        <w:rPr>
          <w:rFonts w:ascii="Times New Roman" w:eastAsia="Calibri" w:hAnsi="Times New Roman" w:cs="Times New Roman"/>
          <w:iCs/>
          <w:color w:val="000000"/>
          <w:sz w:val="24"/>
          <w:szCs w:val="24"/>
          <w:lang w:val="en-US"/>
        </w:rPr>
        <w:t>c</w:t>
      </w:r>
      <w:r w:rsidRPr="00341240">
        <w:rPr>
          <w:rFonts w:ascii="Times New Roman" w:eastAsia="Calibri" w:hAnsi="Times New Roman" w:cs="Times New Roman"/>
          <w:iCs/>
          <w:color w:val="000000"/>
          <w:sz w:val="24"/>
          <w:szCs w:val="24"/>
        </w:rPr>
        <w:t>, O12cDGA-Oracle Database 12c; посетили курсы по программированию и повышению квалификации в области информационных технологий. Один из работников данного направления был участником международной конференции «Finnovate Fall 2015».</w:t>
      </w:r>
    </w:p>
    <w:p w:rsidR="00341240" w:rsidRPr="00341240" w:rsidRDefault="00341240" w:rsidP="00341240">
      <w:pPr>
        <w:spacing w:after="160" w:line="259" w:lineRule="auto"/>
        <w:ind w:firstLine="567"/>
        <w:jc w:val="both"/>
        <w:rPr>
          <w:rFonts w:ascii="Times New Roman" w:eastAsia="Calibri" w:hAnsi="Times New Roman" w:cs="Times New Roman"/>
          <w:iCs/>
          <w:color w:val="000000"/>
          <w:sz w:val="24"/>
          <w:szCs w:val="24"/>
        </w:rPr>
      </w:pPr>
    </w:p>
    <w:p w:rsidR="00341240" w:rsidRPr="00341240" w:rsidRDefault="00341240" w:rsidP="00341240">
      <w:pPr>
        <w:spacing w:after="160" w:line="259" w:lineRule="auto"/>
        <w:ind w:firstLine="567"/>
        <w:jc w:val="both"/>
        <w:rPr>
          <w:rFonts w:ascii="Times New Roman" w:eastAsia="Calibri" w:hAnsi="Times New Roman" w:cs="Times New Roman"/>
          <w:iCs/>
          <w:color w:val="000000"/>
          <w:sz w:val="24"/>
          <w:szCs w:val="24"/>
        </w:rPr>
      </w:pPr>
    </w:p>
    <w:p w:rsidR="00341240" w:rsidRPr="00341240" w:rsidRDefault="00341240" w:rsidP="00341240">
      <w:pPr>
        <w:spacing w:after="160" w:line="259" w:lineRule="auto"/>
        <w:ind w:firstLine="567"/>
        <w:jc w:val="both"/>
        <w:rPr>
          <w:rFonts w:ascii="Times New Roman" w:eastAsia="Calibri" w:hAnsi="Times New Roman" w:cs="Times New Roman"/>
          <w:iCs/>
          <w:color w:val="000000"/>
          <w:sz w:val="24"/>
          <w:szCs w:val="24"/>
        </w:rPr>
      </w:pPr>
    </w:p>
    <w:p w:rsidR="00341240" w:rsidRPr="00341240" w:rsidRDefault="00341240" w:rsidP="00341240">
      <w:pPr>
        <w:spacing w:after="160" w:line="259" w:lineRule="auto"/>
        <w:ind w:firstLine="567"/>
        <w:jc w:val="both"/>
        <w:rPr>
          <w:rFonts w:ascii="Times New Roman" w:eastAsia="Calibri" w:hAnsi="Times New Roman" w:cs="Times New Roman"/>
          <w:iCs/>
          <w:color w:val="000000"/>
          <w:sz w:val="24"/>
          <w:szCs w:val="24"/>
        </w:rPr>
      </w:pPr>
    </w:p>
    <w:p w:rsidR="00341240" w:rsidRPr="00341240" w:rsidRDefault="00341240" w:rsidP="00341240">
      <w:pPr>
        <w:spacing w:after="160" w:line="259" w:lineRule="auto"/>
        <w:ind w:firstLine="567"/>
        <w:jc w:val="both"/>
        <w:rPr>
          <w:rFonts w:ascii="Times New Roman" w:eastAsia="Calibri" w:hAnsi="Times New Roman" w:cs="Times New Roman"/>
          <w:iCs/>
          <w:color w:val="000000"/>
          <w:sz w:val="24"/>
          <w:szCs w:val="24"/>
        </w:rPr>
      </w:pPr>
    </w:p>
    <w:p w:rsidR="00341240" w:rsidRPr="00341240" w:rsidRDefault="00341240" w:rsidP="00341240">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color w:val="000000" w:themeColor="text1"/>
          <w:sz w:val="28"/>
          <w:szCs w:val="28"/>
          <w:lang w:eastAsia="ru-RU"/>
        </w:rPr>
      </w:pPr>
      <w:r w:rsidRPr="00341240">
        <w:rPr>
          <w:rFonts w:ascii="Times New Roman" w:eastAsia="Times New Roman" w:hAnsi="Times New Roman" w:cs="Times New Roman"/>
          <w:b/>
          <w:sz w:val="28"/>
          <w:szCs w:val="28"/>
          <w:lang w:eastAsia="ru-RU"/>
        </w:rPr>
        <w:t>1</w:t>
      </w:r>
      <w:r w:rsidR="00B334AA" w:rsidRPr="00B334AA">
        <w:rPr>
          <w:rFonts w:ascii="Times New Roman" w:eastAsia="Times New Roman" w:hAnsi="Times New Roman" w:cs="Times New Roman"/>
          <w:b/>
          <w:sz w:val="28"/>
          <w:szCs w:val="28"/>
          <w:lang w:eastAsia="ru-RU"/>
        </w:rPr>
        <w:t>2</w:t>
      </w:r>
      <w:r w:rsidRPr="00341240">
        <w:rPr>
          <w:rFonts w:ascii="Times New Roman" w:eastAsia="Times New Roman" w:hAnsi="Times New Roman" w:cs="Times New Roman"/>
          <w:b/>
          <w:sz w:val="28"/>
          <w:szCs w:val="28"/>
          <w:lang w:eastAsia="ru-RU"/>
        </w:rPr>
        <w:t xml:space="preserve">. </w:t>
      </w:r>
      <w:r w:rsidRPr="00341240">
        <w:rPr>
          <w:rFonts w:ascii="Times New Roman" w:eastAsia="Times New Roman" w:hAnsi="Times New Roman" w:cs="Times New Roman"/>
          <w:b/>
          <w:color w:val="000000" w:themeColor="text1"/>
          <w:sz w:val="28"/>
          <w:szCs w:val="28"/>
          <w:lang w:eastAsia="ru-RU"/>
        </w:rPr>
        <w:t>О вознаграждении Председателя Правления, членов Правления</w:t>
      </w:r>
    </w:p>
    <w:p w:rsidR="00341240" w:rsidRPr="00341240" w:rsidRDefault="00341240" w:rsidP="00341240">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color w:val="000000" w:themeColor="text1"/>
          <w:sz w:val="28"/>
          <w:szCs w:val="28"/>
          <w:lang w:eastAsia="ru-RU"/>
        </w:rPr>
      </w:pPr>
      <w:r w:rsidRPr="00341240">
        <w:rPr>
          <w:rFonts w:ascii="Times New Roman" w:eastAsia="Times New Roman" w:hAnsi="Times New Roman" w:cs="Times New Roman"/>
          <w:b/>
          <w:color w:val="000000" w:themeColor="text1"/>
          <w:sz w:val="28"/>
          <w:szCs w:val="28"/>
          <w:lang w:eastAsia="ru-RU"/>
        </w:rPr>
        <w:t>и членов Наблюдательного совета</w:t>
      </w:r>
    </w:p>
    <w:p w:rsidR="00341240" w:rsidRPr="00341240" w:rsidRDefault="00341240" w:rsidP="00341240">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color w:val="000000" w:themeColor="text1"/>
          <w:sz w:val="28"/>
          <w:szCs w:val="28"/>
          <w:lang w:eastAsia="ru-RU"/>
        </w:rPr>
      </w:pPr>
      <w:r w:rsidRPr="00341240">
        <w:rPr>
          <w:rFonts w:ascii="Times New Roman" w:eastAsia="Times New Roman" w:hAnsi="Times New Roman" w:cs="Times New Roman"/>
          <w:b/>
          <w:color w:val="000000" w:themeColor="text1"/>
          <w:sz w:val="28"/>
          <w:szCs w:val="28"/>
          <w:lang w:eastAsia="ru-RU"/>
        </w:rPr>
        <w:t>(критерии определения и размер вознаграждения)</w:t>
      </w:r>
    </w:p>
    <w:p w:rsidR="00341240" w:rsidRPr="00341240" w:rsidRDefault="00341240" w:rsidP="00341240">
      <w:pPr>
        <w:widowControl w:val="0"/>
        <w:tabs>
          <w:tab w:val="left" w:pos="8820"/>
        </w:tabs>
        <w:overflowPunct w:val="0"/>
        <w:autoSpaceDE w:val="0"/>
        <w:autoSpaceDN w:val="0"/>
        <w:adjustRightInd w:val="0"/>
        <w:spacing w:after="0" w:line="240" w:lineRule="auto"/>
        <w:ind w:left="2977" w:right="76"/>
        <w:textAlignment w:val="baseline"/>
        <w:rPr>
          <w:rFonts w:ascii="Times New Roman" w:eastAsia="Times New Roman" w:hAnsi="Times New Roman" w:cs="Times New Roman"/>
          <w:b/>
          <w:color w:val="000000" w:themeColor="text1"/>
          <w:sz w:val="28"/>
          <w:szCs w:val="28"/>
          <w:lang w:eastAsia="ru-RU"/>
        </w:rPr>
      </w:pPr>
    </w:p>
    <w:p w:rsidR="00341240" w:rsidRPr="00341240" w:rsidRDefault="00341240" w:rsidP="00341240">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i/>
          <w:color w:val="000000" w:themeColor="text1"/>
          <w:sz w:val="24"/>
          <w:szCs w:val="24"/>
          <w:lang w:eastAsia="ru-RU"/>
        </w:rPr>
      </w:pPr>
      <w:r w:rsidRPr="00341240">
        <w:rPr>
          <w:rFonts w:ascii="Times New Roman" w:eastAsia="Times New Roman" w:hAnsi="Times New Roman" w:cs="Times New Roman"/>
          <w:b/>
          <w:i/>
          <w:color w:val="000000" w:themeColor="text1"/>
          <w:sz w:val="24"/>
          <w:szCs w:val="24"/>
          <w:lang w:eastAsia="ru-RU"/>
        </w:rPr>
        <w:t>О вознаграждении Председателя Правления и членов Правления</w:t>
      </w:r>
    </w:p>
    <w:p w:rsidR="00341240" w:rsidRPr="00341240" w:rsidRDefault="00341240" w:rsidP="00341240">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i/>
          <w:color w:val="000000" w:themeColor="text1"/>
          <w:sz w:val="24"/>
          <w:szCs w:val="24"/>
          <w:lang w:eastAsia="ru-RU"/>
        </w:rPr>
      </w:pPr>
    </w:p>
    <w:p w:rsidR="00341240" w:rsidRPr="00341240" w:rsidRDefault="00341240" w:rsidP="00341240">
      <w:pPr>
        <w:widowControl w:val="0"/>
        <w:tabs>
          <w:tab w:val="left" w:pos="8820"/>
        </w:tabs>
        <w:overflowPunct w:val="0"/>
        <w:autoSpaceDE w:val="0"/>
        <w:autoSpaceDN w:val="0"/>
        <w:adjustRightInd w:val="0"/>
        <w:spacing w:after="0" w:line="240" w:lineRule="auto"/>
        <w:ind w:right="76" w:firstLine="426"/>
        <w:jc w:val="both"/>
        <w:textAlignment w:val="baseline"/>
        <w:rPr>
          <w:rFonts w:ascii="Times New Roman" w:eastAsia="Times New Roman" w:hAnsi="Times New Roman" w:cs="Times New Roman"/>
          <w:color w:val="000000" w:themeColor="text1"/>
          <w:sz w:val="24"/>
          <w:szCs w:val="24"/>
          <w:lang w:eastAsia="ru-RU"/>
        </w:rPr>
      </w:pPr>
      <w:r w:rsidRPr="00341240">
        <w:rPr>
          <w:rFonts w:ascii="Times New Roman" w:eastAsia="Times New Roman" w:hAnsi="Times New Roman" w:cs="Times New Roman"/>
          <w:color w:val="000000" w:themeColor="text1"/>
          <w:sz w:val="24"/>
          <w:szCs w:val="24"/>
          <w:lang w:eastAsia="ru-RU"/>
        </w:rPr>
        <w:t>Вознаграждение, выплаченное в отчетном 2015 году Председателю Правления Банка и членам Правления, определялось в соответствии с Федеральным законом «Об акционерных обществах», Трудовым кодексом Российской Федерации, Уставом Банка, требованиями регулятора, условиями заключенных с ними трудовых договоров, внутренними документами Банка.</w:t>
      </w:r>
    </w:p>
    <w:p w:rsidR="00341240" w:rsidRPr="00341240" w:rsidRDefault="00341240" w:rsidP="00341240">
      <w:pPr>
        <w:widowControl w:val="0"/>
        <w:tabs>
          <w:tab w:val="left" w:pos="8820"/>
        </w:tabs>
        <w:overflowPunct w:val="0"/>
        <w:autoSpaceDE w:val="0"/>
        <w:autoSpaceDN w:val="0"/>
        <w:adjustRightInd w:val="0"/>
        <w:spacing w:after="0" w:line="240" w:lineRule="auto"/>
        <w:ind w:right="76" w:firstLine="426"/>
        <w:jc w:val="both"/>
        <w:textAlignment w:val="baseline"/>
        <w:rPr>
          <w:rFonts w:ascii="Times New Roman" w:eastAsia="Times New Roman" w:hAnsi="Times New Roman" w:cs="Times New Roman"/>
          <w:color w:val="000000" w:themeColor="text1"/>
          <w:sz w:val="24"/>
          <w:szCs w:val="24"/>
          <w:lang w:eastAsia="ru-RU"/>
        </w:rPr>
      </w:pPr>
    </w:p>
    <w:p w:rsidR="00341240" w:rsidRPr="00341240" w:rsidRDefault="00341240" w:rsidP="00341240">
      <w:pPr>
        <w:widowControl w:val="0"/>
        <w:tabs>
          <w:tab w:val="left" w:pos="8820"/>
        </w:tabs>
        <w:overflowPunct w:val="0"/>
        <w:autoSpaceDE w:val="0"/>
        <w:autoSpaceDN w:val="0"/>
        <w:adjustRightInd w:val="0"/>
        <w:spacing w:after="0" w:line="240" w:lineRule="auto"/>
        <w:ind w:right="76" w:firstLine="426"/>
        <w:jc w:val="both"/>
        <w:textAlignment w:val="baseline"/>
        <w:rPr>
          <w:rFonts w:ascii="Times New Roman" w:eastAsia="Times New Roman" w:hAnsi="Times New Roman" w:cs="Times New Roman"/>
          <w:color w:val="000000" w:themeColor="text1"/>
          <w:sz w:val="24"/>
          <w:szCs w:val="24"/>
          <w:lang w:eastAsia="ru-RU"/>
        </w:rPr>
      </w:pPr>
      <w:r w:rsidRPr="00341240">
        <w:rPr>
          <w:rFonts w:ascii="Times New Roman" w:eastAsia="Times New Roman" w:hAnsi="Times New Roman" w:cs="Times New Roman"/>
          <w:color w:val="000000" w:themeColor="text1"/>
          <w:sz w:val="24"/>
          <w:szCs w:val="24"/>
          <w:lang w:eastAsia="ru-RU"/>
        </w:rPr>
        <w:t>Размер годового бонуса (годовой премии) Председателя Правления и членов Правления Банка в соответствии с Уставом Банка определяется трудовыми договорами, внутренними документами Банка, с учетом требований установленных Инструкцией Банка России от 17.06.2014 № 154-И «О порядке оценки системы оплаты труда в кредитной организации и порядке направления в кредитную организацию предписания об устранении нарушения в ее системе оплаты труда» и зависит, в том числе, от</w:t>
      </w:r>
      <w:r w:rsidRPr="00341240">
        <w:rPr>
          <w:rFonts w:ascii="Times New Roman" w:hAnsi="Times New Roman" w:cs="Times New Roman"/>
          <w:color w:val="000000" w:themeColor="text1"/>
          <w:sz w:val="24"/>
          <w:szCs w:val="24"/>
        </w:rPr>
        <w:t xml:space="preserve"> оценки достижения (результатов выполнения) общекорпоративных ключевых показателей эффективности деятельности (целей) Банка НКЦ и оценки достижения индивидуальных ключевых показателей эффективности деятельности (целей) (результатов деятельности) Председателя Правления и членов Правления Банка НКЦ за отчетный год. Решение о факте и размере премирования (в том числе в отношении выплаты отсроченных (рассроченных) частей нефиксированной оплаты труда (годового бонуса, годовой премии)) в отношении членов исполнительных органов Банка принимается Наблюдательным советом Банка по рекомендациям Комитета по назначениям и вознаграждениям Наблюдательного совета Банка после подведения им итогов деятельности за отчетный год. </w:t>
      </w:r>
    </w:p>
    <w:p w:rsidR="00341240" w:rsidRPr="00341240" w:rsidRDefault="00341240" w:rsidP="00341240">
      <w:pPr>
        <w:widowControl w:val="0"/>
        <w:tabs>
          <w:tab w:val="left" w:pos="8820"/>
        </w:tabs>
        <w:overflowPunct w:val="0"/>
        <w:autoSpaceDE w:val="0"/>
        <w:autoSpaceDN w:val="0"/>
        <w:adjustRightInd w:val="0"/>
        <w:spacing w:after="0" w:line="240" w:lineRule="auto"/>
        <w:ind w:right="76" w:firstLine="426"/>
        <w:jc w:val="both"/>
        <w:textAlignment w:val="baseline"/>
        <w:rPr>
          <w:rFonts w:ascii="Times New Roman" w:eastAsia="Times New Roman" w:hAnsi="Times New Roman" w:cs="Times New Roman"/>
          <w:color w:val="000000" w:themeColor="text1"/>
          <w:sz w:val="24"/>
          <w:szCs w:val="24"/>
          <w:lang w:eastAsia="ru-RU"/>
        </w:rPr>
      </w:pPr>
    </w:p>
    <w:p w:rsidR="00341240" w:rsidRPr="00341240" w:rsidRDefault="00341240" w:rsidP="00341240">
      <w:pPr>
        <w:widowControl w:val="0"/>
        <w:tabs>
          <w:tab w:val="left" w:pos="0"/>
        </w:tabs>
        <w:overflowPunct w:val="0"/>
        <w:autoSpaceDE w:val="0"/>
        <w:autoSpaceDN w:val="0"/>
        <w:adjustRightInd w:val="0"/>
        <w:spacing w:after="0" w:line="240" w:lineRule="auto"/>
        <w:ind w:right="76" w:firstLine="426"/>
        <w:jc w:val="both"/>
        <w:textAlignment w:val="baseline"/>
        <w:rPr>
          <w:rFonts w:ascii="Times New Roman" w:eastAsia="Times New Roman" w:hAnsi="Times New Roman" w:cs="Times New Roman"/>
          <w:color w:val="000000" w:themeColor="text1"/>
          <w:sz w:val="24"/>
          <w:szCs w:val="24"/>
          <w:lang w:eastAsia="ru-RU"/>
        </w:rPr>
      </w:pPr>
      <w:r w:rsidRPr="00341240">
        <w:rPr>
          <w:rFonts w:ascii="Times New Roman" w:eastAsia="Times New Roman" w:hAnsi="Times New Roman" w:cs="Times New Roman"/>
          <w:color w:val="000000" w:themeColor="text1"/>
          <w:sz w:val="24"/>
          <w:szCs w:val="24"/>
          <w:lang w:eastAsia="ru-RU"/>
        </w:rPr>
        <w:t>По решению Наблюдательного совета Банка и в соответствии с внутренними документами Председателю Правления и членам Правления Банка   выплачено 60% от утвержденного размера годового бонуса (годовой премии) по итогам 2015 года. К 40% от утвержденного размера годового бонуса (годовой премии) по результатам деятельности Председателя Правления и членов Правления Банка за 2015 год применяется отсрочка (рассрочка) на три года в соответствии с утвержденными Наблюдательным советом Банка размерами долей отсроченной (рассроченной) части годового бонуса за 2015 год по срокам выплаты (начисления) до последующих корректировок, включая возможность сокращения или отмены такой выплаты при получении негативного финансового результата в целом по НКЦ в указанный трехлетний срок, в порядке и на условиях, утверждаемых Наблюдательным советом.</w:t>
      </w:r>
    </w:p>
    <w:p w:rsidR="00341240" w:rsidRPr="00341240" w:rsidRDefault="00341240" w:rsidP="00341240">
      <w:pPr>
        <w:widowControl w:val="0"/>
        <w:tabs>
          <w:tab w:val="left" w:pos="8820"/>
        </w:tabs>
        <w:overflowPunct w:val="0"/>
        <w:autoSpaceDE w:val="0"/>
        <w:autoSpaceDN w:val="0"/>
        <w:adjustRightInd w:val="0"/>
        <w:spacing w:after="0" w:line="240" w:lineRule="auto"/>
        <w:ind w:right="76" w:firstLine="426"/>
        <w:jc w:val="both"/>
        <w:textAlignment w:val="baseline"/>
        <w:rPr>
          <w:rFonts w:ascii="Times New Roman" w:eastAsia="Times New Roman" w:hAnsi="Times New Roman" w:cs="Times New Roman"/>
          <w:color w:val="000000" w:themeColor="text1"/>
          <w:sz w:val="24"/>
          <w:szCs w:val="24"/>
          <w:lang w:eastAsia="ru-RU"/>
        </w:rPr>
      </w:pPr>
      <w:r w:rsidRPr="00341240">
        <w:rPr>
          <w:rFonts w:ascii="Times New Roman" w:eastAsia="Times New Roman" w:hAnsi="Times New Roman" w:cs="Times New Roman"/>
          <w:color w:val="000000" w:themeColor="text1"/>
          <w:sz w:val="24"/>
          <w:szCs w:val="24"/>
          <w:lang w:eastAsia="ru-RU"/>
        </w:rPr>
        <w:t>Сумма всех выплат (заработная плата, премии, компенсация расходов и другие выплаты), осуществленных Председателю Правления и членам Правления Банка в 2015 году, составила 112 579 тыс. рублей (в 2014 году 50 336 тыс. рублей).</w:t>
      </w:r>
    </w:p>
    <w:p w:rsidR="00341240" w:rsidRPr="00341240" w:rsidRDefault="00341240" w:rsidP="00341240">
      <w:pPr>
        <w:spacing w:after="0" w:line="240" w:lineRule="auto"/>
        <w:ind w:firstLine="426"/>
        <w:contextualSpacing/>
        <w:jc w:val="both"/>
        <w:rPr>
          <w:rFonts w:ascii="Times New Roman" w:hAnsi="Times New Roman" w:cs="Times New Roman"/>
          <w:sz w:val="24"/>
          <w:szCs w:val="24"/>
        </w:rPr>
      </w:pPr>
      <w:r w:rsidRPr="00341240">
        <w:rPr>
          <w:rFonts w:ascii="Times New Roman" w:hAnsi="Times New Roman" w:cs="Times New Roman"/>
          <w:sz w:val="24"/>
          <w:szCs w:val="24"/>
        </w:rPr>
        <w:t>Рост размера выплаченного вознаграждения в 2015 году был обусловлен изменениями в учете краткосрочных и долгосрочных вознаграждений в соответствии с требованиями Инструкции Банка России от 17 июля 2014 года № 154-И «О порядке оценки системы оплаты труда в кредитной организации и порядке направления в кредитную организацию предписания об устранении нарушения в ее системе оплаты труда» и внутренними документами Банка, регламентирующими систему оплаты труда, в том числе увеличением целевого размера вознаграждения отдельным категориям основного управленческого персонала, а так же в связи с введением в апреле 2015 года в состав Правления Банка нового члена Правления.</w:t>
      </w:r>
    </w:p>
    <w:p w:rsidR="00341240" w:rsidRPr="00341240" w:rsidRDefault="00341240" w:rsidP="00341240">
      <w:pPr>
        <w:spacing w:after="0" w:line="240" w:lineRule="auto"/>
        <w:ind w:firstLine="426"/>
        <w:contextualSpacing/>
        <w:jc w:val="both"/>
        <w:rPr>
          <w:rFonts w:ascii="Times New Roman" w:hAnsi="Times New Roman" w:cs="Times New Roman"/>
          <w:sz w:val="24"/>
          <w:szCs w:val="24"/>
        </w:rPr>
      </w:pPr>
    </w:p>
    <w:p w:rsidR="00341240" w:rsidRPr="00341240" w:rsidRDefault="00341240" w:rsidP="00341240">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i/>
          <w:sz w:val="24"/>
          <w:szCs w:val="24"/>
          <w:lang w:eastAsia="ru-RU"/>
        </w:rPr>
      </w:pPr>
    </w:p>
    <w:p w:rsidR="00341240" w:rsidRPr="00341240" w:rsidRDefault="00341240" w:rsidP="00341240">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i/>
          <w:sz w:val="24"/>
          <w:szCs w:val="24"/>
          <w:lang w:eastAsia="ru-RU"/>
        </w:rPr>
      </w:pPr>
      <w:r w:rsidRPr="00341240">
        <w:rPr>
          <w:rFonts w:ascii="Times New Roman" w:eastAsia="Times New Roman" w:hAnsi="Times New Roman" w:cs="Times New Roman"/>
          <w:b/>
          <w:i/>
          <w:sz w:val="24"/>
          <w:szCs w:val="24"/>
          <w:lang w:eastAsia="ru-RU"/>
        </w:rPr>
        <w:t>О вознаграждении членов Наблюдательного совета</w:t>
      </w:r>
    </w:p>
    <w:p w:rsidR="00341240" w:rsidRPr="00341240" w:rsidRDefault="00341240" w:rsidP="00341240">
      <w:pPr>
        <w:widowControl w:val="0"/>
        <w:tabs>
          <w:tab w:val="left" w:pos="8820"/>
        </w:tabs>
        <w:overflowPunct w:val="0"/>
        <w:autoSpaceDE w:val="0"/>
        <w:autoSpaceDN w:val="0"/>
        <w:adjustRightInd w:val="0"/>
        <w:spacing w:after="0" w:line="240" w:lineRule="auto"/>
        <w:ind w:right="76"/>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ab/>
      </w:r>
    </w:p>
    <w:p w:rsidR="00341240" w:rsidRPr="00341240" w:rsidRDefault="00341240" w:rsidP="00341240">
      <w:pPr>
        <w:widowControl w:val="0"/>
        <w:tabs>
          <w:tab w:val="left" w:pos="8820"/>
        </w:tabs>
        <w:overflowPunct w:val="0"/>
        <w:autoSpaceDE w:val="0"/>
        <w:autoSpaceDN w:val="0"/>
        <w:adjustRightInd w:val="0"/>
        <w:spacing w:after="0" w:line="240" w:lineRule="auto"/>
        <w:ind w:right="76" w:firstLine="426"/>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 xml:space="preserve">Решением ПАО Московская Биржа, единственным акционером НКЦ, от 22 мая 2015 года № 25 по вопросам, отнесенным к компетенции Общего собрания акционеров, было принято  решение выплатить членам Наблюдательного совета НКЦ, избранным решением единственного акционера 30 июня 2014 года (Решение №19), за исполнение ими своих функций вознаграждение в размере, рассчитанном в соответствии с положением о вознаграждении и компенсации расходов членов Наблюдательного совета НКЦ, утвержденном решением единственного акционера 30 июня 2014 года. Общий размер вознаграждения указанным членам Наблюдательного совета за исполнение ими своих функций составил 21 375 000 рублей. </w:t>
      </w:r>
    </w:p>
    <w:p w:rsidR="00341240" w:rsidRPr="00341240" w:rsidRDefault="00341240" w:rsidP="00341240">
      <w:pPr>
        <w:widowControl w:val="0"/>
        <w:tabs>
          <w:tab w:val="left" w:pos="8820"/>
        </w:tabs>
        <w:overflowPunct w:val="0"/>
        <w:autoSpaceDE w:val="0"/>
        <w:autoSpaceDN w:val="0"/>
        <w:adjustRightInd w:val="0"/>
        <w:spacing w:after="0" w:line="240" w:lineRule="auto"/>
        <w:ind w:right="76" w:firstLine="426"/>
        <w:jc w:val="both"/>
        <w:textAlignment w:val="baseline"/>
        <w:rPr>
          <w:rFonts w:ascii="Times New Roman" w:eastAsia="Times New Roman" w:hAnsi="Times New Roman" w:cs="Times New Roman"/>
          <w:sz w:val="24"/>
          <w:szCs w:val="24"/>
          <w:lang w:eastAsia="ru-RU"/>
        </w:rPr>
      </w:pPr>
    </w:p>
    <w:p w:rsidR="00341240" w:rsidRPr="00341240" w:rsidRDefault="00341240" w:rsidP="00341240">
      <w:pPr>
        <w:widowControl w:val="0"/>
        <w:tabs>
          <w:tab w:val="left" w:pos="8820"/>
        </w:tabs>
        <w:overflowPunct w:val="0"/>
        <w:autoSpaceDE w:val="0"/>
        <w:autoSpaceDN w:val="0"/>
        <w:adjustRightInd w:val="0"/>
        <w:spacing w:after="0" w:line="240" w:lineRule="auto"/>
        <w:ind w:right="76" w:firstLine="426"/>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 xml:space="preserve">Положение НКЦ о вознаграждении и компенсации расходов обеспечивает системный подход к определению размеров индивидуальных вознаграждений, определяет конкретные уровни вознаграждения для каждой из ролей членов Наблюдательного совета, устанавливает размер фиксированного вознаграждения для независимых членов и предусматривает условия, обеспечивающие надлежащую вовлеченность членов в деятельность Наблюдательного совета (вознаграждение может быть изменено в сторону уменьшения при систематической неявке на заседания). </w:t>
      </w:r>
    </w:p>
    <w:p w:rsidR="00341240" w:rsidRPr="00341240" w:rsidRDefault="00341240" w:rsidP="00341240">
      <w:pPr>
        <w:widowControl w:val="0"/>
        <w:tabs>
          <w:tab w:val="left" w:pos="8820"/>
        </w:tabs>
        <w:overflowPunct w:val="0"/>
        <w:autoSpaceDE w:val="0"/>
        <w:autoSpaceDN w:val="0"/>
        <w:adjustRightInd w:val="0"/>
        <w:spacing w:after="0" w:line="240" w:lineRule="auto"/>
        <w:ind w:right="76" w:firstLine="426"/>
        <w:jc w:val="both"/>
        <w:textAlignment w:val="baseline"/>
        <w:rPr>
          <w:rFonts w:ascii="Times New Roman" w:eastAsia="Times New Roman" w:hAnsi="Times New Roman" w:cs="Times New Roman"/>
          <w:sz w:val="24"/>
          <w:szCs w:val="24"/>
          <w:lang w:eastAsia="ru-RU"/>
        </w:rPr>
      </w:pPr>
    </w:p>
    <w:p w:rsidR="00341240" w:rsidRPr="00341240" w:rsidRDefault="00341240" w:rsidP="00341240">
      <w:pPr>
        <w:widowControl w:val="0"/>
        <w:tabs>
          <w:tab w:val="left" w:pos="8820"/>
        </w:tabs>
        <w:overflowPunct w:val="0"/>
        <w:autoSpaceDE w:val="0"/>
        <w:autoSpaceDN w:val="0"/>
        <w:adjustRightInd w:val="0"/>
        <w:spacing w:after="0" w:line="240" w:lineRule="auto"/>
        <w:ind w:right="76" w:firstLine="426"/>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Вознаграждение членов Наблюдательного совета НКЦ, избранных решением единственного акционера 22 мая 2015 года (Решение №25), будет выплачено после проведения годового Общего собрания акционеров НКЦ в 2016 году.</w:t>
      </w:r>
    </w:p>
    <w:p w:rsidR="00341240" w:rsidRPr="00341240" w:rsidRDefault="00341240" w:rsidP="00341240">
      <w:pPr>
        <w:widowControl w:val="0"/>
        <w:tabs>
          <w:tab w:val="left" w:pos="8820"/>
        </w:tabs>
        <w:overflowPunct w:val="0"/>
        <w:autoSpaceDE w:val="0"/>
        <w:autoSpaceDN w:val="0"/>
        <w:adjustRightInd w:val="0"/>
        <w:spacing w:after="0" w:line="240" w:lineRule="auto"/>
        <w:ind w:left="2977" w:right="76"/>
        <w:textAlignment w:val="baseline"/>
        <w:rPr>
          <w:rFonts w:ascii="Times New Roman" w:eastAsia="Times New Roman" w:hAnsi="Times New Roman" w:cs="Times New Roman"/>
          <w:b/>
          <w:sz w:val="28"/>
          <w:szCs w:val="28"/>
          <w:lang w:eastAsia="ru-RU"/>
        </w:rPr>
      </w:pPr>
    </w:p>
    <w:p w:rsidR="00341240" w:rsidRPr="00341240" w:rsidRDefault="00341240" w:rsidP="00341240">
      <w:pPr>
        <w:spacing w:line="240" w:lineRule="auto"/>
        <w:jc w:val="center"/>
        <w:rPr>
          <w:b/>
        </w:rPr>
      </w:pPr>
      <w:r w:rsidRPr="00341240">
        <w:rPr>
          <w:rFonts w:ascii="Times New Roman" w:eastAsia="Times New Roman" w:hAnsi="Times New Roman" w:cs="Times New Roman"/>
          <w:b/>
          <w:sz w:val="28"/>
          <w:szCs w:val="28"/>
          <w:lang w:eastAsia="ru-RU"/>
        </w:rPr>
        <w:t>1</w:t>
      </w:r>
      <w:r w:rsidR="00B334AA" w:rsidRPr="00176DC0">
        <w:rPr>
          <w:rFonts w:ascii="Times New Roman" w:eastAsia="Times New Roman" w:hAnsi="Times New Roman" w:cs="Times New Roman"/>
          <w:b/>
          <w:sz w:val="28"/>
          <w:szCs w:val="28"/>
          <w:lang w:eastAsia="ru-RU"/>
        </w:rPr>
        <w:t>3</w:t>
      </w:r>
      <w:r w:rsidRPr="00341240">
        <w:rPr>
          <w:rFonts w:ascii="Times New Roman" w:eastAsia="Times New Roman" w:hAnsi="Times New Roman" w:cs="Times New Roman"/>
          <w:b/>
          <w:sz w:val="28"/>
          <w:szCs w:val="28"/>
          <w:lang w:eastAsia="ru-RU"/>
        </w:rPr>
        <w:t>. О дивидендах по акциям</w:t>
      </w:r>
    </w:p>
    <w:p w:rsidR="00341240" w:rsidRPr="00341240" w:rsidRDefault="00341240" w:rsidP="00341240">
      <w:pPr>
        <w:tabs>
          <w:tab w:val="left" w:pos="360"/>
          <w:tab w:val="num" w:pos="1920"/>
        </w:tabs>
        <w:spacing w:after="0" w:line="240" w:lineRule="auto"/>
        <w:jc w:val="both"/>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ab/>
        <w:t xml:space="preserve">ПАО Московская Биржа, единственный акционер НКЦ, на годовом общем собрании акционеров 22 мая 2015 принял решение: </w:t>
      </w:r>
    </w:p>
    <w:p w:rsidR="00341240" w:rsidRPr="00341240" w:rsidRDefault="00341240" w:rsidP="00341240">
      <w:pPr>
        <w:tabs>
          <w:tab w:val="left" w:pos="360"/>
          <w:tab w:val="num" w:pos="1920"/>
        </w:tabs>
        <w:spacing w:after="0" w:line="240" w:lineRule="auto"/>
        <w:jc w:val="both"/>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w:t>
      </w:r>
      <w:r w:rsidRPr="00341240">
        <w:rPr>
          <w:rFonts w:ascii="Times New Roman" w:eastAsia="Times New Roman" w:hAnsi="Times New Roman" w:cs="Times New Roman"/>
          <w:sz w:val="24"/>
          <w:szCs w:val="24"/>
          <w:lang w:eastAsia="ru-RU"/>
        </w:rPr>
        <w:tab/>
        <w:t xml:space="preserve"> не выплачивать дивиденды по результатам 2014 года;</w:t>
      </w:r>
    </w:p>
    <w:p w:rsidR="00341240" w:rsidRPr="00341240" w:rsidRDefault="00341240" w:rsidP="00341240">
      <w:pPr>
        <w:tabs>
          <w:tab w:val="left" w:pos="360"/>
          <w:tab w:val="num" w:pos="1920"/>
        </w:tabs>
        <w:spacing w:after="0" w:line="240" w:lineRule="auto"/>
        <w:jc w:val="both"/>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w:t>
      </w:r>
      <w:r w:rsidRPr="00341240">
        <w:rPr>
          <w:rFonts w:ascii="Times New Roman" w:eastAsia="Times New Roman" w:hAnsi="Times New Roman" w:cs="Times New Roman"/>
          <w:sz w:val="24"/>
          <w:szCs w:val="24"/>
          <w:lang w:eastAsia="ru-RU"/>
        </w:rPr>
        <w:tab/>
        <w:t xml:space="preserve"> оставить в распоряжении НКЦ в качестве нераспределенной прибыли 10 920 945 тыс. руб.</w:t>
      </w:r>
    </w:p>
    <w:p w:rsidR="00341240" w:rsidRPr="00341240" w:rsidRDefault="00341240" w:rsidP="00341240">
      <w:pPr>
        <w:spacing w:after="0" w:line="240" w:lineRule="auto"/>
        <w:ind w:firstLine="426"/>
        <w:jc w:val="both"/>
        <w:rPr>
          <w:rFonts w:ascii="Times New Roman" w:eastAsia="Arial Unicode MS" w:hAnsi="Times New Roman" w:cs="Times New Roman"/>
          <w:spacing w:val="-3"/>
          <w:sz w:val="24"/>
          <w:szCs w:val="24"/>
          <w:lang w:eastAsia="x-none"/>
        </w:rPr>
      </w:pPr>
      <w:r w:rsidRPr="00341240">
        <w:rPr>
          <w:rFonts w:ascii="Times New Roman" w:eastAsia="Arial Unicode MS" w:hAnsi="Times New Roman" w:cs="Times New Roman"/>
          <w:spacing w:val="-3"/>
          <w:sz w:val="24"/>
          <w:szCs w:val="24"/>
          <w:lang w:eastAsia="x-none"/>
        </w:rPr>
        <w:t>На заседании Наблюдательного совета НКЦ 18 декабря 2015 года было принято решение о рекомендации единственному акционеру НКЦ принять решение о выплате (объявлении) дивидендов НКЦ.</w:t>
      </w:r>
    </w:p>
    <w:p w:rsidR="00341240" w:rsidRPr="00341240" w:rsidRDefault="00341240" w:rsidP="00341240">
      <w:pPr>
        <w:spacing w:after="0" w:line="240" w:lineRule="auto"/>
        <w:ind w:firstLine="426"/>
        <w:jc w:val="both"/>
        <w:rPr>
          <w:rFonts w:ascii="Times New Roman" w:eastAsia="Arial Unicode MS" w:hAnsi="Times New Roman" w:cs="Times New Roman"/>
          <w:spacing w:val="-3"/>
          <w:sz w:val="24"/>
          <w:szCs w:val="24"/>
          <w:lang w:eastAsia="x-none"/>
        </w:rPr>
      </w:pPr>
      <w:r w:rsidRPr="00341240">
        <w:rPr>
          <w:rFonts w:ascii="Times New Roman" w:eastAsia="Arial Unicode MS" w:hAnsi="Times New Roman" w:cs="Times New Roman"/>
          <w:spacing w:val="-3"/>
          <w:sz w:val="24"/>
          <w:szCs w:val="24"/>
          <w:lang w:eastAsia="x-none"/>
        </w:rPr>
        <w:t xml:space="preserve">15 января 2016 года состоялось Общее собрание акционеров Банка, на котором </w:t>
      </w:r>
      <w:r w:rsidRPr="00341240">
        <w:rPr>
          <w:rFonts w:ascii="Times New Roman" w:eastAsia="Times New Roman" w:hAnsi="Times New Roman" w:cs="Times New Roman"/>
          <w:sz w:val="24"/>
          <w:szCs w:val="24"/>
          <w:lang w:eastAsia="ru-RU"/>
        </w:rPr>
        <w:t>ПАО Московская Биржа, единственный акционер НКЦ</w:t>
      </w:r>
      <w:r w:rsidRPr="00341240">
        <w:rPr>
          <w:rFonts w:ascii="Times New Roman" w:eastAsia="Arial Unicode MS" w:hAnsi="Times New Roman" w:cs="Times New Roman"/>
          <w:spacing w:val="-3"/>
          <w:sz w:val="24"/>
          <w:szCs w:val="24"/>
          <w:lang w:eastAsia="x-none"/>
        </w:rPr>
        <w:t xml:space="preserve"> принял решение:</w:t>
      </w:r>
    </w:p>
    <w:p w:rsidR="00341240" w:rsidRPr="00341240" w:rsidRDefault="00341240" w:rsidP="00AB0ACF">
      <w:pPr>
        <w:numPr>
          <w:ilvl w:val="0"/>
          <w:numId w:val="78"/>
        </w:numPr>
        <w:spacing w:after="0" w:line="240" w:lineRule="auto"/>
        <w:ind w:firstLine="426"/>
        <w:contextualSpacing/>
        <w:jc w:val="both"/>
        <w:rPr>
          <w:rFonts w:ascii="Times New Roman" w:eastAsia="Arial Unicode MS" w:hAnsi="Times New Roman" w:cs="Times New Roman"/>
          <w:spacing w:val="-3"/>
          <w:sz w:val="24"/>
          <w:szCs w:val="24"/>
          <w:lang w:eastAsia="x-none"/>
        </w:rPr>
      </w:pPr>
      <w:r w:rsidRPr="00341240">
        <w:rPr>
          <w:rFonts w:ascii="Times New Roman" w:eastAsia="Arial Unicode MS" w:hAnsi="Times New Roman" w:cs="Times New Roman"/>
          <w:spacing w:val="-3"/>
          <w:sz w:val="24"/>
          <w:szCs w:val="24"/>
          <w:lang w:eastAsia="x-none"/>
        </w:rPr>
        <w:t xml:space="preserve"> выплатить дивиденды в размере 4 999 999 800 руб. 00 коп. за счет нераспределенной прибыли прошлых лет;</w:t>
      </w:r>
    </w:p>
    <w:p w:rsidR="00341240" w:rsidRPr="00341240" w:rsidRDefault="00341240" w:rsidP="00AB0ACF">
      <w:pPr>
        <w:numPr>
          <w:ilvl w:val="0"/>
          <w:numId w:val="78"/>
        </w:numPr>
        <w:spacing w:after="0" w:line="240" w:lineRule="auto"/>
        <w:ind w:firstLine="426"/>
        <w:contextualSpacing/>
        <w:jc w:val="both"/>
        <w:rPr>
          <w:rFonts w:ascii="Times New Roman" w:eastAsia="Arial Unicode MS" w:hAnsi="Times New Roman" w:cs="Times New Roman"/>
          <w:spacing w:val="-3"/>
          <w:sz w:val="24"/>
          <w:szCs w:val="24"/>
          <w:lang w:eastAsia="x-none"/>
        </w:rPr>
      </w:pPr>
      <w:r w:rsidRPr="00341240">
        <w:rPr>
          <w:rFonts w:ascii="Times New Roman" w:eastAsia="Arial Unicode MS" w:hAnsi="Times New Roman" w:cs="Times New Roman"/>
          <w:spacing w:val="-3"/>
          <w:sz w:val="24"/>
          <w:szCs w:val="24"/>
          <w:lang w:eastAsia="x-none"/>
        </w:rPr>
        <w:t xml:space="preserve"> определить размер дивиденда по акциям в размере 299 руб. 94 коп. на одну обыкновенную именную акцию;</w:t>
      </w:r>
    </w:p>
    <w:p w:rsidR="00341240" w:rsidRPr="00341240" w:rsidRDefault="00341240" w:rsidP="00AB0ACF">
      <w:pPr>
        <w:numPr>
          <w:ilvl w:val="0"/>
          <w:numId w:val="78"/>
        </w:numPr>
        <w:spacing w:after="0" w:line="240" w:lineRule="auto"/>
        <w:ind w:firstLine="426"/>
        <w:contextualSpacing/>
        <w:jc w:val="both"/>
        <w:rPr>
          <w:rFonts w:ascii="Times New Roman" w:eastAsia="Arial Unicode MS" w:hAnsi="Times New Roman" w:cs="Times New Roman"/>
          <w:spacing w:val="-3"/>
          <w:sz w:val="24"/>
          <w:szCs w:val="24"/>
          <w:lang w:eastAsia="x-none"/>
        </w:rPr>
      </w:pPr>
      <w:r w:rsidRPr="00341240">
        <w:rPr>
          <w:rFonts w:ascii="Times New Roman" w:eastAsia="Arial Unicode MS" w:hAnsi="Times New Roman" w:cs="Times New Roman"/>
          <w:spacing w:val="-3"/>
          <w:sz w:val="24"/>
          <w:szCs w:val="24"/>
          <w:lang w:eastAsia="x-none"/>
        </w:rPr>
        <w:t xml:space="preserve"> установить датой, на которую определяются лица, имеющие право на получение дивидендов, 27 января 2016 года. </w:t>
      </w:r>
    </w:p>
    <w:p w:rsidR="00341240" w:rsidRPr="00341240" w:rsidRDefault="00341240" w:rsidP="00341240">
      <w:pPr>
        <w:spacing w:after="0" w:line="240" w:lineRule="auto"/>
        <w:ind w:firstLine="426"/>
        <w:jc w:val="both"/>
        <w:rPr>
          <w:rFonts w:ascii="Times New Roman" w:eastAsia="Arial Unicode MS" w:hAnsi="Times New Roman" w:cs="Times New Roman"/>
          <w:spacing w:val="-3"/>
          <w:sz w:val="24"/>
          <w:szCs w:val="24"/>
          <w:lang w:eastAsia="x-none"/>
        </w:rPr>
      </w:pPr>
    </w:p>
    <w:p w:rsidR="00341240" w:rsidRPr="00341240" w:rsidRDefault="00341240" w:rsidP="00341240">
      <w:pPr>
        <w:spacing w:after="0" w:line="240" w:lineRule="auto"/>
        <w:ind w:firstLine="426"/>
        <w:jc w:val="both"/>
        <w:rPr>
          <w:rFonts w:ascii="Times New Roman" w:eastAsia="Arial Unicode MS" w:hAnsi="Times New Roman" w:cs="Times New Roman"/>
          <w:spacing w:val="-3"/>
          <w:sz w:val="24"/>
          <w:szCs w:val="24"/>
          <w:lang w:eastAsia="x-none"/>
        </w:rPr>
      </w:pPr>
      <w:r w:rsidRPr="00341240">
        <w:rPr>
          <w:rFonts w:ascii="Times New Roman" w:eastAsia="Arial Unicode MS" w:hAnsi="Times New Roman" w:cs="Times New Roman"/>
          <w:spacing w:val="-3"/>
          <w:sz w:val="24"/>
          <w:szCs w:val="24"/>
          <w:lang w:eastAsia="x-none"/>
        </w:rPr>
        <w:t xml:space="preserve">Собранием также было определено, что дивиденды выплачиваются в денежной форме в сроки, установленные законодательством Российской Федерации. </w:t>
      </w:r>
    </w:p>
    <w:p w:rsidR="00341240" w:rsidRPr="00341240" w:rsidRDefault="00341240" w:rsidP="00341240">
      <w:pPr>
        <w:spacing w:after="0" w:line="240" w:lineRule="auto"/>
        <w:ind w:firstLine="426"/>
        <w:jc w:val="both"/>
        <w:rPr>
          <w:rFonts w:ascii="Times New Roman" w:eastAsia="Arial Unicode MS" w:hAnsi="Times New Roman" w:cs="Times New Roman"/>
          <w:spacing w:val="-3"/>
          <w:sz w:val="24"/>
          <w:szCs w:val="24"/>
          <w:lang w:eastAsia="x-none"/>
        </w:rPr>
      </w:pPr>
      <w:r w:rsidRPr="00341240">
        <w:rPr>
          <w:rFonts w:ascii="Times New Roman" w:eastAsia="Arial Unicode MS" w:hAnsi="Times New Roman" w:cs="Times New Roman"/>
          <w:spacing w:val="-3"/>
          <w:sz w:val="24"/>
          <w:szCs w:val="24"/>
          <w:lang w:eastAsia="x-none"/>
        </w:rPr>
        <w:t>Выплата дивидендов была осуществлена в феврале 2016 года.</w:t>
      </w:r>
    </w:p>
    <w:p w:rsidR="00341240" w:rsidRPr="00341240" w:rsidRDefault="00341240" w:rsidP="00341240">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sz w:val="28"/>
          <w:szCs w:val="28"/>
          <w:lang w:eastAsia="ru-RU"/>
        </w:rPr>
      </w:pPr>
    </w:p>
    <w:p w:rsidR="00341240" w:rsidRPr="00341240" w:rsidRDefault="00341240" w:rsidP="00341240">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sz w:val="28"/>
          <w:szCs w:val="28"/>
          <w:lang w:eastAsia="ru-RU"/>
        </w:rPr>
      </w:pPr>
      <w:r w:rsidRPr="00341240">
        <w:rPr>
          <w:rFonts w:ascii="Times New Roman" w:eastAsia="Times New Roman" w:hAnsi="Times New Roman" w:cs="Times New Roman"/>
          <w:b/>
          <w:sz w:val="28"/>
          <w:szCs w:val="28"/>
          <w:lang w:eastAsia="ru-RU"/>
        </w:rPr>
        <w:t>1</w:t>
      </w:r>
      <w:r w:rsidR="00B334AA">
        <w:rPr>
          <w:rFonts w:ascii="Times New Roman" w:eastAsia="Times New Roman" w:hAnsi="Times New Roman" w:cs="Times New Roman"/>
          <w:b/>
          <w:sz w:val="28"/>
          <w:szCs w:val="28"/>
          <w:lang w:val="en-US" w:eastAsia="ru-RU"/>
        </w:rPr>
        <w:t>4</w:t>
      </w:r>
      <w:r w:rsidRPr="00341240">
        <w:rPr>
          <w:rFonts w:ascii="Times New Roman" w:eastAsia="Times New Roman" w:hAnsi="Times New Roman" w:cs="Times New Roman"/>
          <w:b/>
          <w:sz w:val="28"/>
          <w:szCs w:val="28"/>
          <w:lang w:eastAsia="ru-RU"/>
        </w:rPr>
        <w:t>. О соблюдении Кодекса корпоративного</w:t>
      </w:r>
    </w:p>
    <w:p w:rsidR="00341240" w:rsidRPr="00341240" w:rsidRDefault="00341240" w:rsidP="00341240">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sz w:val="28"/>
          <w:szCs w:val="28"/>
          <w:lang w:eastAsia="ru-RU"/>
        </w:rPr>
      </w:pPr>
      <w:r w:rsidRPr="00341240">
        <w:rPr>
          <w:rFonts w:ascii="Times New Roman" w:eastAsia="Times New Roman" w:hAnsi="Times New Roman" w:cs="Times New Roman"/>
          <w:b/>
          <w:sz w:val="28"/>
          <w:szCs w:val="28"/>
          <w:lang w:eastAsia="ru-RU"/>
        </w:rPr>
        <w:t>управления</w:t>
      </w:r>
    </w:p>
    <w:p w:rsidR="00341240" w:rsidRPr="00341240" w:rsidRDefault="00341240" w:rsidP="00341240">
      <w:pPr>
        <w:widowControl w:val="0"/>
        <w:tabs>
          <w:tab w:val="left" w:pos="8820"/>
        </w:tabs>
        <w:overflowPunct w:val="0"/>
        <w:autoSpaceDE w:val="0"/>
        <w:autoSpaceDN w:val="0"/>
        <w:adjustRightInd w:val="0"/>
        <w:spacing w:after="0" w:line="240" w:lineRule="auto"/>
        <w:ind w:right="76"/>
        <w:jc w:val="both"/>
        <w:textAlignment w:val="baseline"/>
        <w:rPr>
          <w:rFonts w:ascii="Arial" w:eastAsia="Times New Roman" w:hAnsi="Arial" w:cs="Arial"/>
          <w:b/>
          <w:sz w:val="28"/>
          <w:szCs w:val="28"/>
          <w:lang w:eastAsia="ru-RU"/>
        </w:rPr>
      </w:pPr>
    </w:p>
    <w:p w:rsidR="00341240" w:rsidRPr="00341240" w:rsidRDefault="00341240" w:rsidP="00341240">
      <w:pPr>
        <w:widowControl w:val="0"/>
        <w:overflowPunct w:val="0"/>
        <w:autoSpaceDE w:val="0"/>
        <w:autoSpaceDN w:val="0"/>
        <w:adjustRightInd w:val="0"/>
        <w:spacing w:after="0" w:line="240" w:lineRule="auto"/>
        <w:ind w:firstLine="539"/>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 xml:space="preserve">В отчетный период НКЦ уделял значительное внимание повышению уровня корпоративного управления, рассматривая его как один из важнейших инструментов, способствующих достижению поставленных перед Банком стратегических задач. </w:t>
      </w:r>
    </w:p>
    <w:p w:rsidR="00341240" w:rsidRPr="00341240" w:rsidRDefault="00341240" w:rsidP="00341240">
      <w:pPr>
        <w:widowControl w:val="0"/>
        <w:overflowPunct w:val="0"/>
        <w:autoSpaceDE w:val="0"/>
        <w:autoSpaceDN w:val="0"/>
        <w:adjustRightInd w:val="0"/>
        <w:spacing w:after="0" w:line="240" w:lineRule="auto"/>
        <w:ind w:firstLine="539"/>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 xml:space="preserve">В этой работе НКЦ стремится следовать лучшим практикам и стандартам корпоративного управления, признавая, что позитивная динамика на данном направлении является непременным условием для достижения успехов в финансово-хозяйственной деятельности, обеспечения внедрения новых проектов и развития деятельности Банка в целом. </w:t>
      </w:r>
    </w:p>
    <w:p w:rsidR="00341240" w:rsidRPr="00341240" w:rsidRDefault="00341240" w:rsidP="00341240">
      <w:pPr>
        <w:widowControl w:val="0"/>
        <w:overflowPunct w:val="0"/>
        <w:autoSpaceDE w:val="0"/>
        <w:autoSpaceDN w:val="0"/>
        <w:adjustRightInd w:val="0"/>
        <w:spacing w:after="0" w:line="240" w:lineRule="auto"/>
        <w:ind w:firstLine="539"/>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 xml:space="preserve">Принимаемые меры по развитию системы корпоративного управления НКЦ были основаны на рекомендациях Кодекса корпоративного управления, одобренного Банком России 21.03.2014, рекомендациях Банка России и Базельского комитета по банковскому надзору, признанных в международной практике принципах корпоративного управления. </w:t>
      </w:r>
    </w:p>
    <w:p w:rsidR="00341240" w:rsidRPr="00341240" w:rsidRDefault="00341240" w:rsidP="00341240">
      <w:pPr>
        <w:widowControl w:val="0"/>
        <w:overflowPunct w:val="0"/>
        <w:autoSpaceDE w:val="0"/>
        <w:autoSpaceDN w:val="0"/>
        <w:adjustRightInd w:val="0"/>
        <w:spacing w:after="0" w:line="240" w:lineRule="auto"/>
        <w:ind w:firstLine="539"/>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В отчетном периоде Наблюдательным советом НКЦ были утверждены Принципы корпоративного управления НКЦ (далее – Принципы), основной целью которых является описание действующих в НКЦ принципов и системы корпоративного управления для повышения эффективности ведения бизнеса, увеличения уровня прозрачности, поддержания финансовой стабильности и привлекательности НКЦ.</w:t>
      </w:r>
    </w:p>
    <w:p w:rsidR="00341240" w:rsidRPr="00341240" w:rsidRDefault="00341240" w:rsidP="00341240">
      <w:pPr>
        <w:widowControl w:val="0"/>
        <w:overflowPunct w:val="0"/>
        <w:autoSpaceDE w:val="0"/>
        <w:autoSpaceDN w:val="0"/>
        <w:adjustRightInd w:val="0"/>
        <w:spacing w:after="0" w:line="240" w:lineRule="auto"/>
        <w:ind w:firstLine="539"/>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В соответствии с Принципами корпоративное управление призвано обеспечить Наблюдательному совету НКЦ и работникам Банка соответствующие стимулы для достижения целей, в которых заинтересованы НКЦ и акционер, а также должно способствовать осуществлению действенного контроля, поощряя тем самым более эффективное использование кредитной организацией своих ресурсов.</w:t>
      </w:r>
    </w:p>
    <w:p w:rsidR="00341240" w:rsidRPr="00341240" w:rsidRDefault="00341240" w:rsidP="00341240">
      <w:pPr>
        <w:widowControl w:val="0"/>
        <w:overflowPunct w:val="0"/>
        <w:autoSpaceDE w:val="0"/>
        <w:autoSpaceDN w:val="0"/>
        <w:adjustRightInd w:val="0"/>
        <w:spacing w:after="0" w:line="240" w:lineRule="auto"/>
        <w:ind w:firstLine="539"/>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Применение НКЦ Принципов продиктовано стремлением повысить для акционера, клиентов (пользователей услуг), работников, кредиторов, Банка России привлекательность НКЦ и основывается на следующих подходах:</w:t>
      </w:r>
    </w:p>
    <w:p w:rsidR="00341240" w:rsidRPr="00341240" w:rsidRDefault="00341240" w:rsidP="00341240">
      <w:pPr>
        <w:widowControl w:val="0"/>
        <w:overflowPunct w:val="0"/>
        <w:autoSpaceDE w:val="0"/>
        <w:autoSpaceDN w:val="0"/>
        <w:adjustRightInd w:val="0"/>
        <w:spacing w:after="0" w:line="240" w:lineRule="auto"/>
        <w:ind w:firstLine="539"/>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bCs/>
          <w:i/>
          <w:iCs/>
          <w:sz w:val="24"/>
          <w:szCs w:val="24"/>
          <w:lang w:eastAsia="ru-RU"/>
        </w:rPr>
        <w:t>Подотчетность</w:t>
      </w:r>
      <w:r w:rsidRPr="00341240">
        <w:rPr>
          <w:rFonts w:ascii="Times New Roman" w:eastAsia="Times New Roman" w:hAnsi="Times New Roman" w:cs="Times New Roman"/>
          <w:sz w:val="24"/>
          <w:szCs w:val="24"/>
          <w:lang w:eastAsia="ru-RU"/>
        </w:rPr>
        <w:t>. Наблюдательный совет и исполнительные органы НКЦ подотчетны единственному акционеру НКЦ.</w:t>
      </w:r>
    </w:p>
    <w:p w:rsidR="00341240" w:rsidRPr="00341240" w:rsidRDefault="00341240" w:rsidP="00341240">
      <w:pPr>
        <w:widowControl w:val="0"/>
        <w:overflowPunct w:val="0"/>
        <w:autoSpaceDE w:val="0"/>
        <w:autoSpaceDN w:val="0"/>
        <w:adjustRightInd w:val="0"/>
        <w:spacing w:after="0" w:line="240" w:lineRule="auto"/>
        <w:ind w:firstLine="539"/>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bCs/>
          <w:i/>
          <w:iCs/>
          <w:sz w:val="24"/>
          <w:szCs w:val="24"/>
          <w:lang w:eastAsia="ru-RU"/>
        </w:rPr>
        <w:t>Справедливость</w:t>
      </w:r>
      <w:r w:rsidRPr="00341240">
        <w:rPr>
          <w:rFonts w:ascii="Times New Roman" w:eastAsia="Times New Roman" w:hAnsi="Times New Roman" w:cs="Times New Roman"/>
          <w:iCs/>
          <w:sz w:val="24"/>
          <w:szCs w:val="24"/>
          <w:lang w:eastAsia="ru-RU"/>
        </w:rPr>
        <w:t xml:space="preserve">. </w:t>
      </w:r>
      <w:r w:rsidRPr="00341240">
        <w:rPr>
          <w:rFonts w:ascii="Times New Roman" w:eastAsia="Times New Roman" w:hAnsi="Times New Roman" w:cs="Times New Roman"/>
          <w:sz w:val="24"/>
          <w:szCs w:val="24"/>
          <w:lang w:eastAsia="ru-RU"/>
        </w:rPr>
        <w:t>Органы управления НКЦ осуществляют свою деятельность беспристрастно на законных основаниях.</w:t>
      </w:r>
    </w:p>
    <w:p w:rsidR="00341240" w:rsidRPr="00341240" w:rsidRDefault="00341240" w:rsidP="00341240">
      <w:pPr>
        <w:widowControl w:val="0"/>
        <w:overflowPunct w:val="0"/>
        <w:autoSpaceDE w:val="0"/>
        <w:autoSpaceDN w:val="0"/>
        <w:adjustRightInd w:val="0"/>
        <w:spacing w:after="0" w:line="240" w:lineRule="auto"/>
        <w:ind w:firstLine="539"/>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bCs/>
          <w:i/>
          <w:iCs/>
          <w:sz w:val="24"/>
          <w:szCs w:val="24"/>
          <w:lang w:eastAsia="ru-RU"/>
        </w:rPr>
        <w:t>Прозрачность</w:t>
      </w:r>
      <w:r w:rsidRPr="00341240">
        <w:rPr>
          <w:rFonts w:ascii="Times New Roman" w:eastAsia="Times New Roman" w:hAnsi="Times New Roman" w:cs="Times New Roman"/>
          <w:iCs/>
          <w:sz w:val="24"/>
          <w:szCs w:val="24"/>
          <w:lang w:eastAsia="ru-RU"/>
        </w:rPr>
        <w:t xml:space="preserve">. </w:t>
      </w:r>
      <w:r w:rsidRPr="00341240">
        <w:rPr>
          <w:rFonts w:ascii="Times New Roman" w:eastAsia="Times New Roman" w:hAnsi="Times New Roman" w:cs="Times New Roman"/>
          <w:sz w:val="24"/>
          <w:szCs w:val="24"/>
          <w:lang w:eastAsia="ru-RU"/>
        </w:rPr>
        <w:t>Органы управления НКЦ обеспечивают своевременное и достаточное раскрытие достоверной информации, касающейся деятельности НКЦ, в том числе о его финансовом положении, результатах деятельности, органах управления. Органы управления Банка обеспечивают удобный доступ к данной информации заинтересованным сторонам. Акционеру НКЦ обеспечен доступ к информации в соответствии с действующим законодательством Российской Федерации.</w:t>
      </w:r>
    </w:p>
    <w:p w:rsidR="00341240" w:rsidRPr="00341240" w:rsidRDefault="00341240" w:rsidP="00341240">
      <w:pPr>
        <w:widowControl w:val="0"/>
        <w:overflowPunct w:val="0"/>
        <w:autoSpaceDE w:val="0"/>
        <w:autoSpaceDN w:val="0"/>
        <w:adjustRightInd w:val="0"/>
        <w:spacing w:after="0" w:line="240" w:lineRule="auto"/>
        <w:ind w:firstLine="539"/>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bCs/>
          <w:i/>
          <w:iCs/>
          <w:sz w:val="24"/>
          <w:szCs w:val="24"/>
          <w:lang w:eastAsia="ru-RU"/>
        </w:rPr>
        <w:t>Ответственность</w:t>
      </w:r>
      <w:r w:rsidRPr="00341240">
        <w:rPr>
          <w:rFonts w:ascii="Times New Roman" w:eastAsia="Times New Roman" w:hAnsi="Times New Roman" w:cs="Times New Roman"/>
          <w:iCs/>
          <w:sz w:val="24"/>
          <w:szCs w:val="24"/>
          <w:lang w:eastAsia="ru-RU"/>
        </w:rPr>
        <w:t xml:space="preserve">. </w:t>
      </w:r>
      <w:r w:rsidRPr="00341240">
        <w:rPr>
          <w:rFonts w:ascii="Times New Roman" w:eastAsia="Times New Roman" w:hAnsi="Times New Roman" w:cs="Times New Roman"/>
          <w:sz w:val="24"/>
          <w:szCs w:val="24"/>
          <w:lang w:eastAsia="ru-RU"/>
        </w:rPr>
        <w:t>Органы управления НКЦ признают и обеспечивают предусмотренные законодательством Российской Федерации права заинтересованных сторон.</w:t>
      </w:r>
    </w:p>
    <w:p w:rsidR="00341240" w:rsidRPr="00341240" w:rsidRDefault="00341240" w:rsidP="00341240">
      <w:pPr>
        <w:widowControl w:val="0"/>
        <w:overflowPunct w:val="0"/>
        <w:autoSpaceDE w:val="0"/>
        <w:autoSpaceDN w:val="0"/>
        <w:adjustRightInd w:val="0"/>
        <w:spacing w:after="0" w:line="240" w:lineRule="auto"/>
        <w:ind w:firstLine="539"/>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bCs/>
          <w:i/>
          <w:iCs/>
          <w:sz w:val="24"/>
          <w:szCs w:val="24"/>
          <w:lang w:eastAsia="ru-RU"/>
        </w:rPr>
        <w:t>Стремление к дальнейшему развитию</w:t>
      </w:r>
      <w:r w:rsidRPr="00341240">
        <w:rPr>
          <w:rFonts w:ascii="Times New Roman" w:eastAsia="Times New Roman" w:hAnsi="Times New Roman" w:cs="Times New Roman"/>
          <w:iCs/>
          <w:sz w:val="24"/>
          <w:szCs w:val="24"/>
          <w:lang w:eastAsia="ru-RU"/>
        </w:rPr>
        <w:t xml:space="preserve">. </w:t>
      </w:r>
      <w:r w:rsidRPr="00341240">
        <w:rPr>
          <w:rFonts w:ascii="Times New Roman" w:eastAsia="Times New Roman" w:hAnsi="Times New Roman" w:cs="Times New Roman"/>
          <w:sz w:val="24"/>
          <w:szCs w:val="24"/>
          <w:lang w:eastAsia="ru-RU"/>
        </w:rPr>
        <w:t>Органы управления НКЦ признают необходимость постоянного совершенствования системы корпоративного управления  с учетом  развития Банка  и влияния внешних факторов, а также необходимость постоянного контроля за соблюдением прав и интересов единственного акционера и иных</w:t>
      </w:r>
    </w:p>
    <w:p w:rsidR="00341240" w:rsidRPr="00341240" w:rsidRDefault="00341240" w:rsidP="00341240">
      <w:pPr>
        <w:widowControl w:val="0"/>
        <w:overflowPunct w:val="0"/>
        <w:autoSpaceDE w:val="0"/>
        <w:autoSpaceDN w:val="0"/>
        <w:adjustRightInd w:val="0"/>
        <w:spacing w:after="120" w:line="240" w:lineRule="auto"/>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заинтересованных сторон.</w:t>
      </w:r>
    </w:p>
    <w:p w:rsidR="00341240" w:rsidRPr="00341240" w:rsidRDefault="00341240" w:rsidP="00341240">
      <w:pPr>
        <w:widowControl w:val="0"/>
        <w:overflowPunct w:val="0"/>
        <w:autoSpaceDE w:val="0"/>
        <w:autoSpaceDN w:val="0"/>
        <w:adjustRightInd w:val="0"/>
        <w:spacing w:after="0" w:line="240" w:lineRule="auto"/>
        <w:ind w:firstLine="539"/>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Практика работы Наблюдательного совета показывает высокий уровень вовлеченности его членов в управление</w:t>
      </w:r>
      <w:r w:rsidRPr="00341240">
        <w:rPr>
          <w:rFonts w:ascii="Arial" w:eastAsia="Times New Roman" w:hAnsi="Arial" w:cs="Arial"/>
          <w:sz w:val="24"/>
          <w:szCs w:val="24"/>
          <w:lang w:eastAsia="ru-RU"/>
        </w:rPr>
        <w:t xml:space="preserve"> </w:t>
      </w:r>
      <w:r w:rsidRPr="00341240">
        <w:rPr>
          <w:rFonts w:ascii="Times New Roman" w:eastAsia="Times New Roman" w:hAnsi="Times New Roman" w:cs="Times New Roman"/>
          <w:sz w:val="24"/>
          <w:szCs w:val="24"/>
          <w:lang w:eastAsia="ru-RU"/>
        </w:rPr>
        <w:t xml:space="preserve">деятельностью НКЦ и эффективный контроль за деятельностью Правления и Председателя Правления Банка. </w:t>
      </w:r>
    </w:p>
    <w:p w:rsidR="00341240" w:rsidRPr="00341240" w:rsidRDefault="00341240" w:rsidP="00341240">
      <w:pPr>
        <w:widowControl w:val="0"/>
        <w:overflowPunct w:val="0"/>
        <w:autoSpaceDE w:val="0"/>
        <w:autoSpaceDN w:val="0"/>
        <w:adjustRightInd w:val="0"/>
        <w:spacing w:after="0" w:line="240" w:lineRule="auto"/>
        <w:ind w:firstLine="539"/>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 xml:space="preserve">Все члены Наблюдательного совета обладают высшим образованием, необходимыми знаниями, навыками и компетенцией для решения долгосрочных стратегических задач развития НКЦ и имеют значительный опыт работы в коллегиальных органах управления.  Все члены Наблюдательного совета соответствуют необходимой квалификации и требованиям к деловой репутации, установленным действующим законодательством Российской Федерации. Они в своей деятельности подотчетны акционеру НКЦ. </w:t>
      </w:r>
    </w:p>
    <w:p w:rsidR="00341240" w:rsidRPr="00341240" w:rsidRDefault="00341240" w:rsidP="00341240">
      <w:pPr>
        <w:widowControl w:val="0"/>
        <w:overflowPunct w:val="0"/>
        <w:autoSpaceDE w:val="0"/>
        <w:autoSpaceDN w:val="0"/>
        <w:adjustRightInd w:val="0"/>
        <w:spacing w:after="0" w:line="240" w:lineRule="auto"/>
        <w:ind w:firstLine="539"/>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Для обеспечения принятия качественных и своевременных решений в области назначений и вознаграждений в составе Наблюдательного совета НКЦ образован и функционирует комитет по назначениям и вознаграждениям. Основной целью такого комитета является обеспечение эффективной работы Наблюдательного совета НКЦ при решении вопросов, необходимых для обеспечения соответствия системы оплаты труда НКЦ характеру и масштабу совершаемых Банком операций, результатам его деятельности, уровню и сочетанию принимаемых рисков. Комитет проводит подготовку предложений в области назначений и вознаграждений членов Наблюдательного совета, членов ревизионной комиссии, членов исполнительных органов НКЦ. Члены комитета по назначениям и вознаграждениям не являются членами исполнительных органов НКЦ, большинство из них обладает достаточным опытом или квалификацией, позволяющими им принимать обоснованные решения.</w:t>
      </w:r>
    </w:p>
    <w:p w:rsidR="00341240" w:rsidRPr="00341240" w:rsidRDefault="00341240" w:rsidP="00341240">
      <w:pPr>
        <w:widowControl w:val="0"/>
        <w:overflowPunct w:val="0"/>
        <w:autoSpaceDE w:val="0"/>
        <w:autoSpaceDN w:val="0"/>
        <w:adjustRightInd w:val="0"/>
        <w:spacing w:after="120" w:line="240" w:lineRule="auto"/>
        <w:ind w:firstLine="539"/>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В целях исполнения требований Федерального закона «О клиринге и клиринговой деятельности» для усиления контроля над системой управления рисками, при Наблюдательном совете НКЦ функционирует комитет по рискам. Основной задачей комитета является участие в совершенствовании системы управления рисками Банка как клиринговой организации, осуществляющей функции центрального контрагента, в целях повышения финансовой устойчивости НКЦ и обеспечения непрерывности клиринговой деятельности. Не менее половины членов состава комитета по рискам составляют представители участников клиринга.</w:t>
      </w:r>
    </w:p>
    <w:p w:rsidR="00341240" w:rsidRPr="00341240" w:rsidRDefault="00341240" w:rsidP="00341240">
      <w:pPr>
        <w:widowControl w:val="0"/>
        <w:overflowPunct w:val="0"/>
        <w:autoSpaceDE w:val="0"/>
        <w:autoSpaceDN w:val="0"/>
        <w:adjustRightInd w:val="0"/>
        <w:spacing w:after="120" w:line="240" w:lineRule="auto"/>
        <w:ind w:firstLine="539"/>
        <w:jc w:val="both"/>
        <w:textAlignment w:val="baseline"/>
        <w:rPr>
          <w:rFonts w:ascii="Times New Roman" w:eastAsia="Times New Roman" w:hAnsi="Times New Roman" w:cs="Times New Roman"/>
          <w:bCs/>
          <w:sz w:val="24"/>
          <w:szCs w:val="24"/>
          <w:lang w:eastAsia="ru-RU"/>
        </w:rPr>
      </w:pPr>
      <w:r w:rsidRPr="00341240">
        <w:rPr>
          <w:rFonts w:ascii="Times New Roman" w:eastAsia="Times New Roman" w:hAnsi="Times New Roman" w:cs="Times New Roman"/>
          <w:bCs/>
          <w:sz w:val="24"/>
          <w:szCs w:val="24"/>
          <w:lang w:eastAsia="ru-RU"/>
        </w:rPr>
        <w:t xml:space="preserve">С целью совершенствования работы Наблюдательного совета, как с организационной, так и с содержательной стороны в 2015 году была проведена оценка собственной работы Наблюдательного совета Банка. </w:t>
      </w:r>
    </w:p>
    <w:p w:rsidR="00341240" w:rsidRPr="00341240" w:rsidRDefault="00341240" w:rsidP="00341240">
      <w:pPr>
        <w:widowControl w:val="0"/>
        <w:overflowPunct w:val="0"/>
        <w:autoSpaceDE w:val="0"/>
        <w:autoSpaceDN w:val="0"/>
        <w:adjustRightInd w:val="0"/>
        <w:spacing w:after="120" w:line="240" w:lineRule="auto"/>
        <w:ind w:firstLine="539"/>
        <w:jc w:val="both"/>
        <w:textAlignment w:val="baseline"/>
        <w:rPr>
          <w:rFonts w:ascii="Times New Roman" w:eastAsia="Times New Roman" w:hAnsi="Times New Roman" w:cs="Times New Roman"/>
          <w:bCs/>
          <w:sz w:val="24"/>
          <w:szCs w:val="24"/>
          <w:lang w:eastAsia="ru-RU"/>
        </w:rPr>
      </w:pPr>
      <w:r w:rsidRPr="00341240">
        <w:rPr>
          <w:rFonts w:ascii="Times New Roman" w:eastAsia="Times New Roman" w:hAnsi="Times New Roman" w:cs="Times New Roman"/>
          <w:bCs/>
          <w:sz w:val="24"/>
          <w:szCs w:val="24"/>
          <w:lang w:eastAsia="ru-RU"/>
        </w:rPr>
        <w:t>Для повышения эффективности и контроля за состоянием корпоративного управления Банком в 2015 году была проведена оценка состояния корпоративного управления с привлечением членов Наблюдательного совета к участию в такой оценке. Проведенная оценка корпоративного управления за 2015 год продемонстрировала улучшение состояния корпоративного управления по ряду вопросов, в том числе, в части разграничения компетенций между органами управления, в части координации управления банковскими рисками, организации деятельности Наблюдательного совета, соблюдения принципов корпоративного управления.</w:t>
      </w:r>
    </w:p>
    <w:p w:rsidR="00341240" w:rsidRPr="00341240" w:rsidRDefault="00341240" w:rsidP="00341240">
      <w:pPr>
        <w:widowControl w:val="0"/>
        <w:overflowPunct w:val="0"/>
        <w:autoSpaceDE w:val="0"/>
        <w:autoSpaceDN w:val="0"/>
        <w:adjustRightInd w:val="0"/>
        <w:spacing w:after="120" w:line="240" w:lineRule="auto"/>
        <w:ind w:firstLine="539"/>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Практика корпоративного управления в НКЦ обеспечивает Правлению и его Председателю возможность разумно, добросовестно, исключительно в интересах Банка осуществлять эффективное руководство текущей деятельностью, а также подотчетность данных органов Наблюдательному совету и Общему собранию акционеров (единственному акционеру).</w:t>
      </w:r>
      <w:r w:rsidRPr="00341240">
        <w:rPr>
          <w:rFonts w:ascii="Times New Roman" w:eastAsia="Times New Roman" w:hAnsi="Times New Roman" w:cs="Times New Roman"/>
          <w:color w:val="0000FF"/>
          <w:sz w:val="24"/>
          <w:szCs w:val="24"/>
          <w:lang w:eastAsia="ru-RU"/>
        </w:rPr>
        <w:t xml:space="preserve"> </w:t>
      </w:r>
      <w:r w:rsidRPr="00341240">
        <w:rPr>
          <w:rFonts w:ascii="Times New Roman" w:eastAsia="Times New Roman" w:hAnsi="Times New Roman" w:cs="Times New Roman"/>
          <w:sz w:val="24"/>
          <w:szCs w:val="24"/>
          <w:lang w:eastAsia="ru-RU"/>
        </w:rPr>
        <w:t xml:space="preserve">Правление и Председатель Правления организуют выполнение решений Общего собрания акционеров (единственного акционера) и Наблюдательного совета. </w:t>
      </w:r>
    </w:p>
    <w:p w:rsidR="00341240" w:rsidRPr="00341240" w:rsidRDefault="00341240" w:rsidP="00341240">
      <w:pPr>
        <w:widowControl w:val="0"/>
        <w:overflowPunct w:val="0"/>
        <w:autoSpaceDE w:val="0"/>
        <w:autoSpaceDN w:val="0"/>
        <w:adjustRightInd w:val="0"/>
        <w:spacing w:after="0" w:line="240" w:lineRule="auto"/>
        <w:ind w:firstLine="539"/>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 xml:space="preserve">Одним из ключевых принципов корпоративного управления НКЦ является своевременное раскрытие достоверной информации о НКЦ в соответствии с требованиями законодательства Российской Федерации и внутренними документами НКЦ. Раскрытие информации осуществляется в соответствии с положением об информационной политике НКЦ, утвержденным Наблюдательным советом и основанным на принципах регулярности и оперативности предоставления информации, ее доступности для заинтересованных сторон, достоверности и полноты ее содержания. </w:t>
      </w:r>
    </w:p>
    <w:p w:rsidR="00341240" w:rsidRPr="00341240" w:rsidRDefault="00341240" w:rsidP="00341240">
      <w:pPr>
        <w:widowControl w:val="0"/>
        <w:overflowPunct w:val="0"/>
        <w:autoSpaceDE w:val="0"/>
        <w:autoSpaceDN w:val="0"/>
        <w:adjustRightInd w:val="0"/>
        <w:spacing w:after="0" w:line="240" w:lineRule="auto"/>
        <w:ind w:firstLine="539"/>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 xml:space="preserve">В соответствии с требованиями законодательства НКЦ раскрывает информацию при осуществлении функций кредитной организации, а также клиринговой организации и центрального контрагента. Банк раскрывает бухгалтерскую (финансовую) отчетность в соответствии с российскими и международными стандартами, а также  дополнительную информацию о своей деятельности, которая может являться существенной для акционера и иных заинтересованных лиц, с соблюдением разумного баланса между открытостью кредитной организации и защитой ее коммерческих интересов. Для раскрытия информации НКЦ использует наиболее удобные для адресатов средства и способы. Официальный сайт НКЦ является основным каналом раскрытия информации НКЦ, поэтому на сайте НКЦ размещается информация, достаточная для формирования объективного представления о существенных аспектах деятельности НКЦ (www.nkcbank.ru). НКЦ раскрывает информацию также через средства массовой информации, существенные события или действия НКЦ, как правило, сопровождаются выпуском пресс-релизов. </w:t>
      </w:r>
    </w:p>
    <w:p w:rsidR="00341240" w:rsidRPr="00341240" w:rsidRDefault="00341240" w:rsidP="00341240">
      <w:pPr>
        <w:widowControl w:val="0"/>
        <w:overflowPunct w:val="0"/>
        <w:autoSpaceDE w:val="0"/>
        <w:autoSpaceDN w:val="0"/>
        <w:adjustRightInd w:val="0"/>
        <w:spacing w:after="120" w:line="240" w:lineRule="auto"/>
        <w:ind w:firstLine="539"/>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С целью защиты прав и законных интересов акционера и для осуществления эффективного контроля за финансово-хозяйственной деятельностью в НКЦ</w:t>
      </w:r>
      <w:r w:rsidRPr="00341240">
        <w:rPr>
          <w:rFonts w:ascii="Times New Roman" w:eastAsia="Calibri" w:hAnsi="Times New Roman" w:cs="Times New Roman"/>
          <w:color w:val="000000"/>
          <w:sz w:val="24"/>
          <w:szCs w:val="24"/>
        </w:rPr>
        <w:t xml:space="preserve"> </w:t>
      </w:r>
      <w:r w:rsidRPr="00341240">
        <w:rPr>
          <w:rFonts w:ascii="Times New Roman" w:eastAsia="Times New Roman" w:hAnsi="Times New Roman" w:cs="Times New Roman"/>
          <w:sz w:val="24"/>
          <w:szCs w:val="24"/>
          <w:lang w:eastAsia="ru-RU"/>
        </w:rPr>
        <w:t>функционирует ревизионная комиссия, которая избирается на годовом Общем собрании акционеров. Ревизионная комиссия подотчетна Общему собранию акционеров и действует независимо от других органов управления Банка.</w:t>
      </w:r>
    </w:p>
    <w:p w:rsidR="00341240" w:rsidRPr="00341240" w:rsidRDefault="00341240" w:rsidP="00341240">
      <w:pPr>
        <w:widowControl w:val="0"/>
        <w:overflowPunct w:val="0"/>
        <w:autoSpaceDE w:val="0"/>
        <w:autoSpaceDN w:val="0"/>
        <w:adjustRightInd w:val="0"/>
        <w:spacing w:after="120" w:line="240" w:lineRule="auto"/>
        <w:ind w:firstLine="539"/>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Для проверки и подтверждения достоверности финансовой отчетности НКЦ на договорной основе ежегодно привлекает профессиональную аудиторскую организацию, не связанную имущественными интересами с Банком или его единственным акционером.</w:t>
      </w:r>
    </w:p>
    <w:p w:rsidR="00341240" w:rsidRPr="00341240" w:rsidRDefault="00341240" w:rsidP="00341240">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В НКЦ принят и исполняется кодекс деловой этики, которым закреплены принципы</w:t>
      </w:r>
    </w:p>
    <w:p w:rsidR="00341240" w:rsidRPr="00341240" w:rsidRDefault="00341240" w:rsidP="00341240">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взаимодействия сотрудников НКЦ, включая членов исполнительных органов, с клиентами, партнерами, средствами массовой информации, государственными и политическими организациями, иные правила внешних коммуникаций. Отдельное внимание уделено описанию ситуаций, которые могут расцениваться как конфликт интересов или привести к конфликту интересов, а также действий, которые рекомендуется предпринимать для его предотвращения.</w:t>
      </w:r>
    </w:p>
    <w:p w:rsidR="00341240" w:rsidRPr="00341240" w:rsidRDefault="00341240" w:rsidP="00341240">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341240">
        <w:rPr>
          <w:rFonts w:ascii="Times New Roman" w:eastAsia="Times New Roman" w:hAnsi="Times New Roman" w:cs="Times New Roman"/>
          <w:sz w:val="24"/>
          <w:szCs w:val="24"/>
          <w:lang w:eastAsia="ru-RU"/>
        </w:rPr>
        <w:t>В отчетный период в НКЦ были утверждены порядок предотвращения конфликта интересов НКЦ, отражающий основания возникновения конфликта интересов, меры, направленные на их предотвращение и порядок урегулирования конфликта интересов. Кроме того утверждены  антикоррупционная политика НКЦ, устанавливающая принципы, которыми руководствуется Банк в своей деятельности в рамках соблюдения требований антикоррупционного законодательства, и ситуации, содержащие признаки коррупционного риска, а также меры, направленные на их предупреждение и противодействие коррупции в деятельности Банка.</w:t>
      </w:r>
    </w:p>
    <w:p w:rsidR="00341240" w:rsidRPr="00341240" w:rsidRDefault="00341240" w:rsidP="00341240">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p>
    <w:p w:rsidR="00341240" w:rsidRPr="00341240" w:rsidRDefault="00341240" w:rsidP="00341240">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p>
    <w:p w:rsidR="00341240" w:rsidRPr="00341240" w:rsidRDefault="00341240" w:rsidP="00341240"/>
    <w:p w:rsidR="00DF661F" w:rsidRDefault="00DF661F"/>
    <w:sectPr w:rsidR="00DF661F" w:rsidSect="004B3F76">
      <w:footerReference w:type="default" r:id="rId42"/>
      <w:pgSz w:w="11906" w:h="16838"/>
      <w:pgMar w:top="709" w:right="566"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5CF" w:rsidRDefault="009165CF" w:rsidP="00341240">
      <w:pPr>
        <w:spacing w:after="0" w:line="240" w:lineRule="auto"/>
      </w:pPr>
      <w:r>
        <w:separator/>
      </w:r>
    </w:p>
  </w:endnote>
  <w:endnote w:type="continuationSeparator" w:id="0">
    <w:p w:rsidR="009165CF" w:rsidRDefault="009165CF" w:rsidP="003412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Baltica">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7288307"/>
      <w:docPartObj>
        <w:docPartGallery w:val="Page Numbers (Bottom of Page)"/>
        <w:docPartUnique/>
      </w:docPartObj>
    </w:sdtPr>
    <w:sdtEndPr/>
    <w:sdtContent>
      <w:p w:rsidR="00AB1D59" w:rsidRDefault="00AB0ACF">
        <w:pPr>
          <w:pStyle w:val="af8"/>
          <w:jc w:val="right"/>
        </w:pPr>
        <w:r>
          <w:fldChar w:fldCharType="begin"/>
        </w:r>
        <w:r>
          <w:instrText>PAGE   \* MERGEFORMAT</w:instrText>
        </w:r>
        <w:r>
          <w:fldChar w:fldCharType="separate"/>
        </w:r>
        <w:r w:rsidR="005224C5">
          <w:rPr>
            <w:noProof/>
          </w:rPr>
          <w:t>3</w:t>
        </w:r>
        <w:r>
          <w:fldChar w:fldCharType="end"/>
        </w:r>
      </w:p>
    </w:sdtContent>
  </w:sdt>
  <w:p w:rsidR="00AB1D59" w:rsidRDefault="009165CF">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5CF" w:rsidRDefault="009165CF" w:rsidP="00341240">
      <w:pPr>
        <w:spacing w:after="0" w:line="240" w:lineRule="auto"/>
      </w:pPr>
      <w:r>
        <w:separator/>
      </w:r>
    </w:p>
  </w:footnote>
  <w:footnote w:type="continuationSeparator" w:id="0">
    <w:p w:rsidR="009165CF" w:rsidRDefault="009165CF" w:rsidP="00341240">
      <w:pPr>
        <w:spacing w:after="0" w:line="240" w:lineRule="auto"/>
      </w:pPr>
      <w:r>
        <w:continuationSeparator/>
      </w:r>
    </w:p>
  </w:footnote>
  <w:footnote w:id="1">
    <w:p w:rsidR="00341240" w:rsidRPr="00653A42" w:rsidRDefault="00341240" w:rsidP="00341240">
      <w:pPr>
        <w:pStyle w:val="af3"/>
        <w:jc w:val="both"/>
      </w:pPr>
      <w:r w:rsidRPr="00653A42">
        <w:rPr>
          <w:rStyle w:val="af5"/>
        </w:rPr>
        <w:footnoteRef/>
      </w:r>
      <w:r w:rsidRPr="00653A42">
        <w:t xml:space="preserve"> </w:t>
      </w:r>
      <w:r w:rsidRPr="004419BB">
        <w:rPr>
          <w:rFonts w:ascii="Times New Roman" w:hAnsi="Times New Roman" w:cs="Times New Roman"/>
        </w:rPr>
        <w:t>"В деньгах": колл-опцион, страйк которого меньше цены исполнения фьючерса, и пут-опцион, страйк которого больше цены исполнения фьючерса. "На деньгах": опционы колл и пут, страйки которых равны цене исполнения фьючерса.</w:t>
      </w:r>
    </w:p>
  </w:footnote>
  <w:footnote w:id="2">
    <w:p w:rsidR="00341240" w:rsidRPr="00994520" w:rsidRDefault="00341240" w:rsidP="00341240">
      <w:pPr>
        <w:pStyle w:val="af3"/>
        <w:jc w:val="both"/>
        <w:rPr>
          <w:rFonts w:ascii="Times New Roman" w:hAnsi="Times New Roman"/>
          <w:sz w:val="16"/>
          <w:szCs w:val="16"/>
        </w:rPr>
      </w:pPr>
      <w:r w:rsidRPr="00994520">
        <w:rPr>
          <w:rStyle w:val="af5"/>
          <w:rFonts w:ascii="Times New Roman" w:hAnsi="Times New Roman"/>
        </w:rPr>
        <w:footnoteRef/>
      </w:r>
      <w:r w:rsidRPr="00994520">
        <w:rPr>
          <w:rFonts w:ascii="Times New Roman" w:hAnsi="Times New Roman"/>
          <w:sz w:val="16"/>
          <w:szCs w:val="16"/>
        </w:rPr>
        <w:t xml:space="preserve"> Во исполнения требований, установленных Инструкцией Банка России от 17.06.2014 № 154-И «О порядке оценки системы оплаты труда в кредитной организации и порядке направления в кредитную организацию предписания об устранении нарушения в ее системе оплаты труда» (далее – Инструкция 154-И)</w:t>
      </w:r>
      <w:r w:rsidRPr="00477DB0">
        <w:rPr>
          <w:rFonts w:ascii="Times New Roman" w:hAnsi="Times New Roman"/>
          <w:sz w:val="16"/>
          <w:szCs w:val="16"/>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C4234CC"/>
    <w:lvl w:ilvl="0">
      <w:start w:val="1"/>
      <w:numFmt w:val="bullet"/>
      <w:pStyle w:val="2"/>
      <w:lvlText w:val=""/>
      <w:lvlJc w:val="left"/>
      <w:pPr>
        <w:tabs>
          <w:tab w:val="num" w:pos="953"/>
        </w:tabs>
        <w:ind w:left="953" w:hanging="477"/>
      </w:pPr>
      <w:rPr>
        <w:rFonts w:ascii="Symbol" w:hAnsi="Symbol" w:hint="default"/>
      </w:rPr>
    </w:lvl>
  </w:abstractNum>
  <w:abstractNum w:abstractNumId="1">
    <w:nsid w:val="04E744C6"/>
    <w:multiLevelType w:val="hybridMultilevel"/>
    <w:tmpl w:val="64F21C0A"/>
    <w:lvl w:ilvl="0" w:tplc="234EC39A">
      <w:start w:val="1"/>
      <w:numFmt w:val="bullet"/>
      <w:pStyle w:val="a"/>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4B46479E">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035A8C"/>
    <w:multiLevelType w:val="multilevel"/>
    <w:tmpl w:val="B0FC2D10"/>
    <w:lvl w:ilvl="0">
      <w:start w:val="1"/>
      <w:numFmt w:val="upperRoman"/>
      <w:pStyle w:val="a0"/>
      <w:lvlText w:val="%1."/>
      <w:lvlJc w:val="left"/>
      <w:pPr>
        <w:tabs>
          <w:tab w:val="num" w:pos="851"/>
        </w:tabs>
        <w:ind w:left="851" w:hanging="851"/>
      </w:pPr>
      <w:rPr>
        <w:rFonts w:hint="default"/>
      </w:rPr>
    </w:lvl>
    <w:lvl w:ilvl="1">
      <w:start w:val="1"/>
      <w:numFmt w:val="decimal"/>
      <w:pStyle w:val="a1"/>
      <w:isLgl/>
      <w:lvlText w:val="%1.%2."/>
      <w:lvlJc w:val="left"/>
      <w:pPr>
        <w:tabs>
          <w:tab w:val="num" w:pos="851"/>
        </w:tabs>
        <w:ind w:left="851" w:hanging="85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9DA190C"/>
    <w:multiLevelType w:val="hybridMultilevel"/>
    <w:tmpl w:val="487C236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BA5796E"/>
    <w:multiLevelType w:val="hybridMultilevel"/>
    <w:tmpl w:val="7998170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0C7D403E"/>
    <w:multiLevelType w:val="hybridMultilevel"/>
    <w:tmpl w:val="9C7E219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10887041"/>
    <w:multiLevelType w:val="hybridMultilevel"/>
    <w:tmpl w:val="773CA2A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1274255B"/>
    <w:multiLevelType w:val="hybridMultilevel"/>
    <w:tmpl w:val="7E24A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E50263"/>
    <w:multiLevelType w:val="hybridMultilevel"/>
    <w:tmpl w:val="171ABCC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nsid w:val="17856BC8"/>
    <w:multiLevelType w:val="hybridMultilevel"/>
    <w:tmpl w:val="5CAE0152"/>
    <w:lvl w:ilvl="0" w:tplc="04190001">
      <w:start w:val="1"/>
      <w:numFmt w:val="bullet"/>
      <w:lvlText w:val=""/>
      <w:lvlJc w:val="left"/>
      <w:pPr>
        <w:ind w:left="1680" w:hanging="972"/>
      </w:pPr>
      <w:rPr>
        <w:rFonts w:ascii="Symbol" w:hAnsi="Symbol" w:hint="default"/>
        <w:sz w:val="22"/>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1A700141"/>
    <w:multiLevelType w:val="hybridMultilevel"/>
    <w:tmpl w:val="895C35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1A9D1D05"/>
    <w:multiLevelType w:val="hybridMultilevel"/>
    <w:tmpl w:val="E118E73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1C0F102B"/>
    <w:multiLevelType w:val="hybridMultilevel"/>
    <w:tmpl w:val="EB6E7C48"/>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3">
    <w:nsid w:val="1D5E614D"/>
    <w:multiLevelType w:val="hybridMultilevel"/>
    <w:tmpl w:val="3DECDC2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1D910751"/>
    <w:multiLevelType w:val="hybridMultilevel"/>
    <w:tmpl w:val="C7AE0FC6"/>
    <w:lvl w:ilvl="0" w:tplc="8C1EEE8E">
      <w:start w:val="1"/>
      <w:numFmt w:val="bullet"/>
      <w:lvlText w:val="•"/>
      <w:lvlJc w:val="left"/>
      <w:pPr>
        <w:tabs>
          <w:tab w:val="num" w:pos="720"/>
        </w:tabs>
        <w:ind w:left="720" w:hanging="360"/>
      </w:pPr>
      <w:rPr>
        <w:rFonts w:ascii="Arial" w:hAnsi="Arial" w:hint="default"/>
      </w:rPr>
    </w:lvl>
    <w:lvl w:ilvl="1" w:tplc="84B227D8" w:tentative="1">
      <w:start w:val="1"/>
      <w:numFmt w:val="bullet"/>
      <w:lvlText w:val="•"/>
      <w:lvlJc w:val="left"/>
      <w:pPr>
        <w:tabs>
          <w:tab w:val="num" w:pos="1440"/>
        </w:tabs>
        <w:ind w:left="1440" w:hanging="360"/>
      </w:pPr>
      <w:rPr>
        <w:rFonts w:ascii="Arial" w:hAnsi="Arial" w:hint="default"/>
      </w:rPr>
    </w:lvl>
    <w:lvl w:ilvl="2" w:tplc="F67442DE" w:tentative="1">
      <w:start w:val="1"/>
      <w:numFmt w:val="bullet"/>
      <w:lvlText w:val="•"/>
      <w:lvlJc w:val="left"/>
      <w:pPr>
        <w:tabs>
          <w:tab w:val="num" w:pos="2160"/>
        </w:tabs>
        <w:ind w:left="2160" w:hanging="360"/>
      </w:pPr>
      <w:rPr>
        <w:rFonts w:ascii="Arial" w:hAnsi="Arial" w:hint="default"/>
      </w:rPr>
    </w:lvl>
    <w:lvl w:ilvl="3" w:tplc="9334BD9A" w:tentative="1">
      <w:start w:val="1"/>
      <w:numFmt w:val="bullet"/>
      <w:lvlText w:val="•"/>
      <w:lvlJc w:val="left"/>
      <w:pPr>
        <w:tabs>
          <w:tab w:val="num" w:pos="2880"/>
        </w:tabs>
        <w:ind w:left="2880" w:hanging="360"/>
      </w:pPr>
      <w:rPr>
        <w:rFonts w:ascii="Arial" w:hAnsi="Arial" w:hint="default"/>
      </w:rPr>
    </w:lvl>
    <w:lvl w:ilvl="4" w:tplc="4052D65A" w:tentative="1">
      <w:start w:val="1"/>
      <w:numFmt w:val="bullet"/>
      <w:lvlText w:val="•"/>
      <w:lvlJc w:val="left"/>
      <w:pPr>
        <w:tabs>
          <w:tab w:val="num" w:pos="3600"/>
        </w:tabs>
        <w:ind w:left="3600" w:hanging="360"/>
      </w:pPr>
      <w:rPr>
        <w:rFonts w:ascii="Arial" w:hAnsi="Arial" w:hint="default"/>
      </w:rPr>
    </w:lvl>
    <w:lvl w:ilvl="5" w:tplc="D396E010" w:tentative="1">
      <w:start w:val="1"/>
      <w:numFmt w:val="bullet"/>
      <w:lvlText w:val="•"/>
      <w:lvlJc w:val="left"/>
      <w:pPr>
        <w:tabs>
          <w:tab w:val="num" w:pos="4320"/>
        </w:tabs>
        <w:ind w:left="4320" w:hanging="360"/>
      </w:pPr>
      <w:rPr>
        <w:rFonts w:ascii="Arial" w:hAnsi="Arial" w:hint="default"/>
      </w:rPr>
    </w:lvl>
    <w:lvl w:ilvl="6" w:tplc="4EF4346C" w:tentative="1">
      <w:start w:val="1"/>
      <w:numFmt w:val="bullet"/>
      <w:lvlText w:val="•"/>
      <w:lvlJc w:val="left"/>
      <w:pPr>
        <w:tabs>
          <w:tab w:val="num" w:pos="5040"/>
        </w:tabs>
        <w:ind w:left="5040" w:hanging="360"/>
      </w:pPr>
      <w:rPr>
        <w:rFonts w:ascii="Arial" w:hAnsi="Arial" w:hint="default"/>
      </w:rPr>
    </w:lvl>
    <w:lvl w:ilvl="7" w:tplc="6442959C" w:tentative="1">
      <w:start w:val="1"/>
      <w:numFmt w:val="bullet"/>
      <w:lvlText w:val="•"/>
      <w:lvlJc w:val="left"/>
      <w:pPr>
        <w:tabs>
          <w:tab w:val="num" w:pos="5760"/>
        </w:tabs>
        <w:ind w:left="5760" w:hanging="360"/>
      </w:pPr>
      <w:rPr>
        <w:rFonts w:ascii="Arial" w:hAnsi="Arial" w:hint="default"/>
      </w:rPr>
    </w:lvl>
    <w:lvl w:ilvl="8" w:tplc="301C2E28" w:tentative="1">
      <w:start w:val="1"/>
      <w:numFmt w:val="bullet"/>
      <w:lvlText w:val="•"/>
      <w:lvlJc w:val="left"/>
      <w:pPr>
        <w:tabs>
          <w:tab w:val="num" w:pos="6480"/>
        </w:tabs>
        <w:ind w:left="6480" w:hanging="360"/>
      </w:pPr>
      <w:rPr>
        <w:rFonts w:ascii="Arial" w:hAnsi="Arial" w:hint="default"/>
      </w:rPr>
    </w:lvl>
  </w:abstractNum>
  <w:abstractNum w:abstractNumId="15">
    <w:nsid w:val="1F054B6C"/>
    <w:multiLevelType w:val="hybridMultilevel"/>
    <w:tmpl w:val="67C0BE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12654CF"/>
    <w:multiLevelType w:val="hybridMultilevel"/>
    <w:tmpl w:val="BF0CC5C0"/>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7">
    <w:nsid w:val="217256F0"/>
    <w:multiLevelType w:val="hybridMultilevel"/>
    <w:tmpl w:val="5A168108"/>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24B27D41"/>
    <w:multiLevelType w:val="hybridMultilevel"/>
    <w:tmpl w:val="D3C84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6AB3401"/>
    <w:multiLevelType w:val="hybridMultilevel"/>
    <w:tmpl w:val="B1662D5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nsid w:val="27AF26FF"/>
    <w:multiLevelType w:val="singleLevel"/>
    <w:tmpl w:val="8EA25806"/>
    <w:styleLink w:val="15"/>
    <w:lvl w:ilvl="0">
      <w:start w:val="1"/>
      <w:numFmt w:val="bullet"/>
      <w:pStyle w:val="Pointmark"/>
      <w:lvlText w:val=""/>
      <w:lvlJc w:val="left"/>
      <w:pPr>
        <w:tabs>
          <w:tab w:val="num" w:pos="360"/>
        </w:tabs>
        <w:ind w:left="360" w:hanging="360"/>
      </w:pPr>
      <w:rPr>
        <w:rFonts w:ascii="Symbol" w:hAnsi="Symbol" w:hint="default"/>
      </w:rPr>
    </w:lvl>
  </w:abstractNum>
  <w:abstractNum w:abstractNumId="21">
    <w:nsid w:val="27B161A0"/>
    <w:multiLevelType w:val="multilevel"/>
    <w:tmpl w:val="37DC6D3C"/>
    <w:lvl w:ilvl="0">
      <w:start w:val="1"/>
      <w:numFmt w:val="decimal"/>
      <w:pStyle w:val="1"/>
      <w:suff w:val="nothing"/>
      <w:lvlText w:val="%1."/>
      <w:lvlJc w:val="left"/>
      <w:pPr>
        <w:ind w:left="2138" w:hanging="360"/>
      </w:pPr>
      <w:rPr>
        <w:rFonts w:hint="default"/>
      </w:rPr>
    </w:lvl>
    <w:lvl w:ilvl="1">
      <w:start w:val="1"/>
      <w:numFmt w:val="decimal"/>
      <w:pStyle w:val="20"/>
      <w:lvlText w:val="%1.%2."/>
      <w:lvlJc w:val="left"/>
      <w:pPr>
        <w:tabs>
          <w:tab w:val="num" w:pos="2858"/>
        </w:tabs>
        <w:ind w:left="2570" w:hanging="432"/>
      </w:pPr>
      <w:rPr>
        <w:rFonts w:hint="default"/>
      </w:rPr>
    </w:lvl>
    <w:lvl w:ilvl="2">
      <w:start w:val="1"/>
      <w:numFmt w:val="decimal"/>
      <w:lvlText w:val="%1.%2.%3."/>
      <w:lvlJc w:val="left"/>
      <w:pPr>
        <w:tabs>
          <w:tab w:val="num" w:pos="3578"/>
        </w:tabs>
        <w:ind w:left="3002" w:hanging="504"/>
      </w:pPr>
      <w:rPr>
        <w:rFonts w:hint="default"/>
      </w:rPr>
    </w:lvl>
    <w:lvl w:ilvl="3">
      <w:start w:val="1"/>
      <w:numFmt w:val="decimal"/>
      <w:lvlText w:val="%1.%2.%3.%4."/>
      <w:lvlJc w:val="left"/>
      <w:pPr>
        <w:tabs>
          <w:tab w:val="num" w:pos="3938"/>
        </w:tabs>
        <w:ind w:left="3506" w:hanging="648"/>
      </w:pPr>
      <w:rPr>
        <w:rFonts w:hint="default"/>
      </w:rPr>
    </w:lvl>
    <w:lvl w:ilvl="4">
      <w:start w:val="1"/>
      <w:numFmt w:val="decimal"/>
      <w:lvlText w:val="%1.%2.%3.%4.%5."/>
      <w:lvlJc w:val="left"/>
      <w:pPr>
        <w:tabs>
          <w:tab w:val="num" w:pos="4658"/>
        </w:tabs>
        <w:ind w:left="4010" w:hanging="792"/>
      </w:pPr>
      <w:rPr>
        <w:rFonts w:hint="default"/>
      </w:rPr>
    </w:lvl>
    <w:lvl w:ilvl="5">
      <w:start w:val="1"/>
      <w:numFmt w:val="decimal"/>
      <w:lvlText w:val="%1.%2.%3.%4.%5.%6."/>
      <w:lvlJc w:val="left"/>
      <w:pPr>
        <w:tabs>
          <w:tab w:val="num" w:pos="5378"/>
        </w:tabs>
        <w:ind w:left="4514" w:hanging="936"/>
      </w:pPr>
      <w:rPr>
        <w:rFonts w:hint="default"/>
      </w:rPr>
    </w:lvl>
    <w:lvl w:ilvl="6">
      <w:start w:val="1"/>
      <w:numFmt w:val="decimal"/>
      <w:lvlText w:val="%1.%2.%3.%4.%5.%6.%7."/>
      <w:lvlJc w:val="left"/>
      <w:pPr>
        <w:tabs>
          <w:tab w:val="num" w:pos="6098"/>
        </w:tabs>
        <w:ind w:left="5018" w:hanging="1080"/>
      </w:pPr>
      <w:rPr>
        <w:rFonts w:hint="default"/>
      </w:rPr>
    </w:lvl>
    <w:lvl w:ilvl="7">
      <w:start w:val="1"/>
      <w:numFmt w:val="decimal"/>
      <w:lvlText w:val="%1.%2.%3.%4.%5.%6.%7.%8."/>
      <w:lvlJc w:val="left"/>
      <w:pPr>
        <w:tabs>
          <w:tab w:val="num" w:pos="6458"/>
        </w:tabs>
        <w:ind w:left="5522" w:hanging="1224"/>
      </w:pPr>
      <w:rPr>
        <w:rFonts w:hint="default"/>
      </w:rPr>
    </w:lvl>
    <w:lvl w:ilvl="8">
      <w:start w:val="1"/>
      <w:numFmt w:val="decimal"/>
      <w:lvlText w:val="%1.%2.%3.%4.%5.%6.%7.%8.%9."/>
      <w:lvlJc w:val="left"/>
      <w:pPr>
        <w:tabs>
          <w:tab w:val="num" w:pos="7178"/>
        </w:tabs>
        <w:ind w:left="6098" w:hanging="1440"/>
      </w:pPr>
      <w:rPr>
        <w:rFonts w:hint="default"/>
      </w:rPr>
    </w:lvl>
  </w:abstractNum>
  <w:abstractNum w:abstractNumId="22">
    <w:nsid w:val="28841695"/>
    <w:multiLevelType w:val="hybridMultilevel"/>
    <w:tmpl w:val="34E0C84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2AAB2B9D"/>
    <w:multiLevelType w:val="hybridMultilevel"/>
    <w:tmpl w:val="AC12BFB2"/>
    <w:lvl w:ilvl="0" w:tplc="9CB6A3B2">
      <w:start w:val="1"/>
      <w:numFmt w:val="bullet"/>
      <w:pStyle w:val="a2"/>
      <w:lvlText w:val=""/>
      <w:lvlJc w:val="left"/>
      <w:pPr>
        <w:tabs>
          <w:tab w:val="num" w:pos="284"/>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2AAE00E3"/>
    <w:multiLevelType w:val="hybridMultilevel"/>
    <w:tmpl w:val="928C96E8"/>
    <w:lvl w:ilvl="0" w:tplc="ED8E1270">
      <w:start w:val="1"/>
      <w:numFmt w:val="bullet"/>
      <w:pStyle w:val="Pointmarko"/>
      <w:lvlText w:val="o"/>
      <w:lvlJc w:val="left"/>
      <w:pPr>
        <w:ind w:left="1637" w:hanging="360"/>
      </w:pPr>
      <w:rPr>
        <w:rFonts w:ascii="Courier New" w:hAnsi="Courier New" w:cs="Courier New" w:hint="default"/>
      </w:rPr>
    </w:lvl>
    <w:lvl w:ilvl="1" w:tplc="C3A2CADA" w:tentative="1">
      <w:start w:val="1"/>
      <w:numFmt w:val="bullet"/>
      <w:lvlText w:val="o"/>
      <w:lvlJc w:val="left"/>
      <w:pPr>
        <w:ind w:left="2858" w:hanging="360"/>
      </w:pPr>
      <w:rPr>
        <w:rFonts w:ascii="Courier New" w:hAnsi="Courier New" w:cs="Courier New" w:hint="default"/>
      </w:rPr>
    </w:lvl>
    <w:lvl w:ilvl="2" w:tplc="C2E419D2" w:tentative="1">
      <w:start w:val="1"/>
      <w:numFmt w:val="bullet"/>
      <w:lvlText w:val=""/>
      <w:lvlJc w:val="left"/>
      <w:pPr>
        <w:ind w:left="3578" w:hanging="360"/>
      </w:pPr>
      <w:rPr>
        <w:rFonts w:ascii="Wingdings" w:hAnsi="Wingdings" w:hint="default"/>
      </w:rPr>
    </w:lvl>
    <w:lvl w:ilvl="3" w:tplc="05F2794C" w:tentative="1">
      <w:start w:val="1"/>
      <w:numFmt w:val="bullet"/>
      <w:lvlText w:val=""/>
      <w:lvlJc w:val="left"/>
      <w:pPr>
        <w:ind w:left="4298" w:hanging="360"/>
      </w:pPr>
      <w:rPr>
        <w:rFonts w:ascii="Symbol" w:hAnsi="Symbol" w:hint="default"/>
      </w:rPr>
    </w:lvl>
    <w:lvl w:ilvl="4" w:tplc="EA3216D2">
      <w:start w:val="1"/>
      <w:numFmt w:val="bullet"/>
      <w:lvlText w:val="o"/>
      <w:lvlJc w:val="left"/>
      <w:pPr>
        <w:ind w:left="5018" w:hanging="360"/>
      </w:pPr>
      <w:rPr>
        <w:rFonts w:ascii="Courier New" w:hAnsi="Courier New" w:cs="Courier New" w:hint="default"/>
      </w:rPr>
    </w:lvl>
    <w:lvl w:ilvl="5" w:tplc="BF9A1E8C" w:tentative="1">
      <w:start w:val="1"/>
      <w:numFmt w:val="bullet"/>
      <w:lvlText w:val=""/>
      <w:lvlJc w:val="left"/>
      <w:pPr>
        <w:ind w:left="5738" w:hanging="360"/>
      </w:pPr>
      <w:rPr>
        <w:rFonts w:ascii="Wingdings" w:hAnsi="Wingdings" w:hint="default"/>
      </w:rPr>
    </w:lvl>
    <w:lvl w:ilvl="6" w:tplc="572EDEB6" w:tentative="1">
      <w:start w:val="1"/>
      <w:numFmt w:val="bullet"/>
      <w:lvlText w:val=""/>
      <w:lvlJc w:val="left"/>
      <w:pPr>
        <w:ind w:left="6458" w:hanging="360"/>
      </w:pPr>
      <w:rPr>
        <w:rFonts w:ascii="Symbol" w:hAnsi="Symbol" w:hint="default"/>
      </w:rPr>
    </w:lvl>
    <w:lvl w:ilvl="7" w:tplc="A9549A2C" w:tentative="1">
      <w:start w:val="1"/>
      <w:numFmt w:val="bullet"/>
      <w:lvlText w:val="o"/>
      <w:lvlJc w:val="left"/>
      <w:pPr>
        <w:ind w:left="7178" w:hanging="360"/>
      </w:pPr>
      <w:rPr>
        <w:rFonts w:ascii="Courier New" w:hAnsi="Courier New" w:cs="Courier New" w:hint="default"/>
      </w:rPr>
    </w:lvl>
    <w:lvl w:ilvl="8" w:tplc="2B5814C6" w:tentative="1">
      <w:start w:val="1"/>
      <w:numFmt w:val="bullet"/>
      <w:lvlText w:val=""/>
      <w:lvlJc w:val="left"/>
      <w:pPr>
        <w:ind w:left="7898" w:hanging="360"/>
      </w:pPr>
      <w:rPr>
        <w:rFonts w:ascii="Wingdings" w:hAnsi="Wingdings" w:hint="default"/>
      </w:rPr>
    </w:lvl>
  </w:abstractNum>
  <w:abstractNum w:abstractNumId="25">
    <w:nsid w:val="2AD61768"/>
    <w:multiLevelType w:val="hybridMultilevel"/>
    <w:tmpl w:val="4DC052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C294D8F"/>
    <w:multiLevelType w:val="hybridMultilevel"/>
    <w:tmpl w:val="73B0B7E2"/>
    <w:lvl w:ilvl="0" w:tplc="FFFFFFFF">
      <w:start w:val="1"/>
      <w:numFmt w:val="decimal"/>
      <w:pStyle w:val="Title1"/>
      <w:lvlText w:val="%1."/>
      <w:lvlJc w:val="left"/>
      <w:pPr>
        <w:tabs>
          <w:tab w:val="num" w:pos="660"/>
        </w:tabs>
        <w:ind w:left="660" w:hanging="660"/>
      </w:pPr>
      <w:rPr>
        <w:rFonts w:hint="default"/>
      </w:rPr>
    </w:lvl>
    <w:lvl w:ilvl="1" w:tplc="FFFFFFFF" w:tentative="1">
      <w:start w:val="1"/>
      <w:numFmt w:val="lowerLetter"/>
      <w:pStyle w:val="Title2"/>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7">
    <w:nsid w:val="2C6D1DD7"/>
    <w:multiLevelType w:val="hybridMultilevel"/>
    <w:tmpl w:val="26D07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C9B698D"/>
    <w:multiLevelType w:val="hybridMultilevel"/>
    <w:tmpl w:val="396C51E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2CBF5CCB"/>
    <w:multiLevelType w:val="hybridMultilevel"/>
    <w:tmpl w:val="518488B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2CFE4329"/>
    <w:multiLevelType w:val="hybridMultilevel"/>
    <w:tmpl w:val="596CD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DC35DCC"/>
    <w:multiLevelType w:val="hybridMultilevel"/>
    <w:tmpl w:val="CA74489C"/>
    <w:lvl w:ilvl="0" w:tplc="FFFFFFFF">
      <w:start w:val="1"/>
      <w:numFmt w:val="decimal"/>
      <w:pStyle w:val="a3"/>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nsid w:val="2FB02ED1"/>
    <w:multiLevelType w:val="hybridMultilevel"/>
    <w:tmpl w:val="A148F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1925F08"/>
    <w:multiLevelType w:val="hybridMultilevel"/>
    <w:tmpl w:val="0220F7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32EE1AFA"/>
    <w:multiLevelType w:val="hybridMultilevel"/>
    <w:tmpl w:val="729C3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4CD6A69"/>
    <w:multiLevelType w:val="hybridMultilevel"/>
    <w:tmpl w:val="8E909616"/>
    <w:lvl w:ilvl="0" w:tplc="078CE38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5814DE1"/>
    <w:multiLevelType w:val="multilevel"/>
    <w:tmpl w:val="72FA45EE"/>
    <w:lvl w:ilvl="0">
      <w:start w:val="1"/>
      <w:numFmt w:val="decimal"/>
      <w:pStyle w:val="a4"/>
      <w:lvlText w:val="%1."/>
      <w:lvlJc w:val="left"/>
      <w:pPr>
        <w:tabs>
          <w:tab w:val="num" w:pos="851"/>
        </w:tabs>
        <w:ind w:left="851" w:hanging="851"/>
      </w:pPr>
      <w:rPr>
        <w:rFonts w:hint="default"/>
      </w:rPr>
    </w:lvl>
    <w:lvl w:ilvl="1">
      <w:start w:val="1"/>
      <w:numFmt w:val="decimal"/>
      <w:pStyle w:val="a5"/>
      <w:lvlText w:val="%1.%2."/>
      <w:lvlJc w:val="left"/>
      <w:pPr>
        <w:tabs>
          <w:tab w:val="num" w:pos="851"/>
        </w:tabs>
        <w:ind w:left="851"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nsid w:val="388929B8"/>
    <w:multiLevelType w:val="hybridMultilevel"/>
    <w:tmpl w:val="4F6A1874"/>
    <w:lvl w:ilvl="0" w:tplc="04190001">
      <w:start w:val="1"/>
      <w:numFmt w:val="bullet"/>
      <w:lvlText w:val=""/>
      <w:lvlJc w:val="left"/>
      <w:pPr>
        <w:ind w:left="2292" w:hanging="1506"/>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nsid w:val="38E60FB6"/>
    <w:multiLevelType w:val="hybridMultilevel"/>
    <w:tmpl w:val="F064AB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38E72D56"/>
    <w:multiLevelType w:val="hybridMultilevel"/>
    <w:tmpl w:val="FB54884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39221400"/>
    <w:multiLevelType w:val="hybridMultilevel"/>
    <w:tmpl w:val="EB92E018"/>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1">
    <w:nsid w:val="399002BB"/>
    <w:multiLevelType w:val="hybridMultilevel"/>
    <w:tmpl w:val="C2D2669E"/>
    <w:lvl w:ilvl="0" w:tplc="A8E6339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D4A0070"/>
    <w:multiLevelType w:val="hybridMultilevel"/>
    <w:tmpl w:val="344EDA5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nsid w:val="3E370FD3"/>
    <w:multiLevelType w:val="hybridMultilevel"/>
    <w:tmpl w:val="7212B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2FB4C08"/>
    <w:multiLevelType w:val="hybridMultilevel"/>
    <w:tmpl w:val="2D382D6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5">
    <w:nsid w:val="43C650E9"/>
    <w:multiLevelType w:val="hybridMultilevel"/>
    <w:tmpl w:val="A202A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ABB2716"/>
    <w:multiLevelType w:val="hybridMultilevel"/>
    <w:tmpl w:val="815E9204"/>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47">
    <w:nsid w:val="4DDA70D9"/>
    <w:multiLevelType w:val="hybridMultilevel"/>
    <w:tmpl w:val="F9A86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E5A1869"/>
    <w:multiLevelType w:val="hybridMultilevel"/>
    <w:tmpl w:val="42E4A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004746D"/>
    <w:multiLevelType w:val="hybridMultilevel"/>
    <w:tmpl w:val="B9E65D5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0">
    <w:nsid w:val="51EE5B3B"/>
    <w:multiLevelType w:val="hybridMultilevel"/>
    <w:tmpl w:val="5A168108"/>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1">
    <w:nsid w:val="535709A4"/>
    <w:multiLevelType w:val="hybridMultilevel"/>
    <w:tmpl w:val="312A9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3EF2C97"/>
    <w:multiLevelType w:val="hybridMultilevel"/>
    <w:tmpl w:val="BA90B728"/>
    <w:lvl w:ilvl="0" w:tplc="04190001">
      <w:start w:val="1"/>
      <w:numFmt w:val="bullet"/>
      <w:lvlText w:val=""/>
      <w:lvlJc w:val="left"/>
      <w:pPr>
        <w:ind w:left="840" w:hanging="360"/>
      </w:pPr>
      <w:rPr>
        <w:rFonts w:ascii="Symbol" w:hAnsi="Symbol" w:hint="default"/>
      </w:rPr>
    </w:lvl>
    <w:lvl w:ilvl="1" w:tplc="04190001">
      <w:start w:val="1"/>
      <w:numFmt w:val="bullet"/>
      <w:lvlText w:val=""/>
      <w:lvlJc w:val="left"/>
      <w:pPr>
        <w:ind w:left="1560" w:hanging="360"/>
      </w:pPr>
      <w:rPr>
        <w:rFonts w:ascii="Symbol" w:hAnsi="Symbol"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53">
    <w:nsid w:val="562639C8"/>
    <w:multiLevelType w:val="hybridMultilevel"/>
    <w:tmpl w:val="F3A6ABC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4">
    <w:nsid w:val="5DED17F8"/>
    <w:multiLevelType w:val="hybridMultilevel"/>
    <w:tmpl w:val="68944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DF67CF1"/>
    <w:multiLevelType w:val="hybridMultilevel"/>
    <w:tmpl w:val="F384B87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6">
    <w:nsid w:val="62A1038F"/>
    <w:multiLevelType w:val="hybridMultilevel"/>
    <w:tmpl w:val="4506717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nsid w:val="63102AAB"/>
    <w:multiLevelType w:val="hybridMultilevel"/>
    <w:tmpl w:val="1ABC0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34B6DEC"/>
    <w:multiLevelType w:val="multilevel"/>
    <w:tmpl w:val="0419001F"/>
    <w:styleLink w:val="10"/>
    <w:lvl w:ilvl="0">
      <w:start w:val="1"/>
      <w:numFmt w:val="decimal"/>
      <w:lvlText w:val="%1."/>
      <w:lvlJc w:val="left"/>
      <w:pPr>
        <w:ind w:left="1069" w:hanging="360"/>
      </w:pPr>
    </w:lvl>
    <w:lvl w:ilvl="1">
      <w:start w:val="1"/>
      <w:numFmt w:val="decimal"/>
      <w:lvlText w:val="%1.%2."/>
      <w:lvlJc w:val="left"/>
      <w:pPr>
        <w:ind w:left="114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59">
    <w:nsid w:val="652A50C1"/>
    <w:multiLevelType w:val="hybridMultilevel"/>
    <w:tmpl w:val="695EB4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7015ED7"/>
    <w:multiLevelType w:val="hybridMultilevel"/>
    <w:tmpl w:val="6BB44D2C"/>
    <w:lvl w:ilvl="0" w:tplc="044E6036">
      <w:start w:val="1"/>
      <w:numFmt w:val="bullet"/>
      <w:pStyle w:val="21"/>
      <w:lvlText w:val="•"/>
      <w:lvlJc w:val="left"/>
      <w:pPr>
        <w:ind w:left="720" w:hanging="360"/>
      </w:pPr>
      <w:rPr>
        <w:rFonts w:ascii="Arial" w:hAnsi="Aria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73C2DB4"/>
    <w:multiLevelType w:val="hybridMultilevel"/>
    <w:tmpl w:val="36A268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nsid w:val="699B2337"/>
    <w:multiLevelType w:val="multilevel"/>
    <w:tmpl w:val="42E60502"/>
    <w:lvl w:ilvl="0">
      <w:start w:val="1"/>
      <w:numFmt w:val="bullet"/>
      <w:lvlText w:val=""/>
      <w:lvlJc w:val="left"/>
      <w:pPr>
        <w:tabs>
          <w:tab w:val="num" w:pos="432"/>
        </w:tabs>
        <w:ind w:left="432" w:hanging="432"/>
      </w:pPr>
      <w:rPr>
        <w:rFonts w:ascii="Symbol" w:hAnsi="Symbol" w:hint="default"/>
      </w:rPr>
    </w:lvl>
    <w:lvl w:ilvl="1">
      <w:start w:val="1"/>
      <w:numFmt w:val="decimal"/>
      <w:lvlText w:val="%1.%2"/>
      <w:lvlJc w:val="left"/>
      <w:pPr>
        <w:tabs>
          <w:tab w:val="num" w:pos="576"/>
        </w:tabs>
        <w:ind w:left="576" w:hanging="576"/>
      </w:pPr>
      <w:rPr>
        <w:rFonts w:hint="default"/>
      </w:rPr>
    </w:lvl>
    <w:lvl w:ilvl="2">
      <w:start w:val="1"/>
      <w:numFmt w:val="decimal"/>
      <w:lvlText w:val="%2.%3"/>
      <w:lvlJc w:val="left"/>
      <w:pPr>
        <w:tabs>
          <w:tab w:val="num" w:pos="720"/>
        </w:tabs>
        <w:ind w:left="720" w:hanging="720"/>
      </w:pPr>
      <w:rPr>
        <w:rFonts w:hint="default"/>
      </w:rPr>
    </w:lvl>
    <w:lvl w:ilvl="3">
      <w:start w:val="2"/>
      <w:numFmt w:val="bullet"/>
      <w:pStyle w:val="-"/>
      <w:lvlText w:val="-"/>
      <w:lvlJc w:val="left"/>
      <w:pPr>
        <w:tabs>
          <w:tab w:val="num" w:pos="360"/>
        </w:tabs>
        <w:ind w:left="360" w:hanging="360"/>
      </w:pPr>
      <w:rPr>
        <w:rFonts w:ascii="Times New Roman" w:eastAsia="Times New Roman" w:hAnsi="Times New Roman" w:cs="Times New Roman"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3">
    <w:nsid w:val="6A37155B"/>
    <w:multiLevelType w:val="hybridMultilevel"/>
    <w:tmpl w:val="0DE4358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nsid w:val="6BB978AD"/>
    <w:multiLevelType w:val="hybridMultilevel"/>
    <w:tmpl w:val="BF34DD8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5">
    <w:nsid w:val="6DD666E7"/>
    <w:multiLevelType w:val="hybridMultilevel"/>
    <w:tmpl w:val="7EB43B60"/>
    <w:lvl w:ilvl="0" w:tplc="04190001">
      <w:start w:val="1"/>
      <w:numFmt w:val="bullet"/>
      <w:lvlText w:val=""/>
      <w:lvlJc w:val="left"/>
      <w:pPr>
        <w:ind w:left="1068" w:hanging="360"/>
      </w:pPr>
      <w:rPr>
        <w:rFonts w:ascii="Symbol" w:hAnsi="Symbol" w:hint="default"/>
      </w:rPr>
    </w:lvl>
    <w:lvl w:ilvl="1" w:tplc="04190001">
      <w:start w:val="1"/>
      <w:numFmt w:val="bullet"/>
      <w:lvlText w:val=""/>
      <w:lvlJc w:val="left"/>
      <w:pPr>
        <w:ind w:left="1788" w:hanging="360"/>
      </w:pPr>
      <w:rPr>
        <w:rFonts w:ascii="Symbol" w:hAnsi="Symbol"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6">
    <w:nsid w:val="6EE52924"/>
    <w:multiLevelType w:val="hybridMultilevel"/>
    <w:tmpl w:val="1226896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7">
    <w:nsid w:val="709978FF"/>
    <w:multiLevelType w:val="hybridMultilevel"/>
    <w:tmpl w:val="54BC4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18432A3"/>
    <w:multiLevelType w:val="hybridMultilevel"/>
    <w:tmpl w:val="BCEEB0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729215A3"/>
    <w:multiLevelType w:val="hybridMultilevel"/>
    <w:tmpl w:val="A9C69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3DC0FBB"/>
    <w:multiLevelType w:val="hybridMultilevel"/>
    <w:tmpl w:val="3BE071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1">
    <w:nsid w:val="76346963"/>
    <w:multiLevelType w:val="hybridMultilevel"/>
    <w:tmpl w:val="8FB47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6795140"/>
    <w:multiLevelType w:val="hybridMultilevel"/>
    <w:tmpl w:val="9AAC44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6EF1148"/>
    <w:multiLevelType w:val="hybridMultilevel"/>
    <w:tmpl w:val="57586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6FD2334"/>
    <w:multiLevelType w:val="multilevel"/>
    <w:tmpl w:val="4CCA3D7A"/>
    <w:lvl w:ilvl="0">
      <w:start w:val="1"/>
      <w:numFmt w:val="decimal"/>
      <w:pStyle w:val="Title3"/>
      <w:lvlText w:val="%1."/>
      <w:lvlJc w:val="left"/>
      <w:pPr>
        <w:ind w:left="19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Point"/>
      <w:isLgl/>
      <w:lvlText w:val="%1.%2."/>
      <w:lvlJc w:val="left"/>
      <w:pPr>
        <w:ind w:left="9591" w:hanging="6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Point2"/>
      <w:isLgl/>
      <w:lvlText w:val="%1.%2.%3."/>
      <w:lvlJc w:val="left"/>
      <w:pPr>
        <w:ind w:left="4265"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Point3"/>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75">
    <w:nsid w:val="78FB0EA4"/>
    <w:multiLevelType w:val="hybridMultilevel"/>
    <w:tmpl w:val="D44AAB0C"/>
    <w:lvl w:ilvl="0" w:tplc="8B28F3C6">
      <w:start w:val="1"/>
      <w:numFmt w:val="bullet"/>
      <w:lvlText w:val="•"/>
      <w:lvlJc w:val="left"/>
      <w:pPr>
        <w:tabs>
          <w:tab w:val="num" w:pos="720"/>
        </w:tabs>
        <w:ind w:left="720" w:hanging="360"/>
      </w:pPr>
      <w:rPr>
        <w:rFonts w:ascii="Arial" w:hAnsi="Arial" w:hint="default"/>
      </w:rPr>
    </w:lvl>
    <w:lvl w:ilvl="1" w:tplc="83803786" w:tentative="1">
      <w:start w:val="1"/>
      <w:numFmt w:val="bullet"/>
      <w:lvlText w:val="•"/>
      <w:lvlJc w:val="left"/>
      <w:pPr>
        <w:tabs>
          <w:tab w:val="num" w:pos="1440"/>
        </w:tabs>
        <w:ind w:left="1440" w:hanging="360"/>
      </w:pPr>
      <w:rPr>
        <w:rFonts w:ascii="Arial" w:hAnsi="Arial" w:hint="default"/>
      </w:rPr>
    </w:lvl>
    <w:lvl w:ilvl="2" w:tplc="91AE317C" w:tentative="1">
      <w:start w:val="1"/>
      <w:numFmt w:val="bullet"/>
      <w:lvlText w:val="•"/>
      <w:lvlJc w:val="left"/>
      <w:pPr>
        <w:tabs>
          <w:tab w:val="num" w:pos="2160"/>
        </w:tabs>
        <w:ind w:left="2160" w:hanging="360"/>
      </w:pPr>
      <w:rPr>
        <w:rFonts w:ascii="Arial" w:hAnsi="Arial" w:hint="default"/>
      </w:rPr>
    </w:lvl>
    <w:lvl w:ilvl="3" w:tplc="ED7897CA" w:tentative="1">
      <w:start w:val="1"/>
      <w:numFmt w:val="bullet"/>
      <w:lvlText w:val="•"/>
      <w:lvlJc w:val="left"/>
      <w:pPr>
        <w:tabs>
          <w:tab w:val="num" w:pos="2880"/>
        </w:tabs>
        <w:ind w:left="2880" w:hanging="360"/>
      </w:pPr>
      <w:rPr>
        <w:rFonts w:ascii="Arial" w:hAnsi="Arial" w:hint="default"/>
      </w:rPr>
    </w:lvl>
    <w:lvl w:ilvl="4" w:tplc="9C3293E8" w:tentative="1">
      <w:start w:val="1"/>
      <w:numFmt w:val="bullet"/>
      <w:lvlText w:val="•"/>
      <w:lvlJc w:val="left"/>
      <w:pPr>
        <w:tabs>
          <w:tab w:val="num" w:pos="3600"/>
        </w:tabs>
        <w:ind w:left="3600" w:hanging="360"/>
      </w:pPr>
      <w:rPr>
        <w:rFonts w:ascii="Arial" w:hAnsi="Arial" w:hint="default"/>
      </w:rPr>
    </w:lvl>
    <w:lvl w:ilvl="5" w:tplc="92DA61E4" w:tentative="1">
      <w:start w:val="1"/>
      <w:numFmt w:val="bullet"/>
      <w:lvlText w:val="•"/>
      <w:lvlJc w:val="left"/>
      <w:pPr>
        <w:tabs>
          <w:tab w:val="num" w:pos="4320"/>
        </w:tabs>
        <w:ind w:left="4320" w:hanging="360"/>
      </w:pPr>
      <w:rPr>
        <w:rFonts w:ascii="Arial" w:hAnsi="Arial" w:hint="default"/>
      </w:rPr>
    </w:lvl>
    <w:lvl w:ilvl="6" w:tplc="E63E5B82" w:tentative="1">
      <w:start w:val="1"/>
      <w:numFmt w:val="bullet"/>
      <w:lvlText w:val="•"/>
      <w:lvlJc w:val="left"/>
      <w:pPr>
        <w:tabs>
          <w:tab w:val="num" w:pos="5040"/>
        </w:tabs>
        <w:ind w:left="5040" w:hanging="360"/>
      </w:pPr>
      <w:rPr>
        <w:rFonts w:ascii="Arial" w:hAnsi="Arial" w:hint="default"/>
      </w:rPr>
    </w:lvl>
    <w:lvl w:ilvl="7" w:tplc="FF48F3F0" w:tentative="1">
      <w:start w:val="1"/>
      <w:numFmt w:val="bullet"/>
      <w:lvlText w:val="•"/>
      <w:lvlJc w:val="left"/>
      <w:pPr>
        <w:tabs>
          <w:tab w:val="num" w:pos="5760"/>
        </w:tabs>
        <w:ind w:left="5760" w:hanging="360"/>
      </w:pPr>
      <w:rPr>
        <w:rFonts w:ascii="Arial" w:hAnsi="Arial" w:hint="default"/>
      </w:rPr>
    </w:lvl>
    <w:lvl w:ilvl="8" w:tplc="D276901C" w:tentative="1">
      <w:start w:val="1"/>
      <w:numFmt w:val="bullet"/>
      <w:lvlText w:val="•"/>
      <w:lvlJc w:val="left"/>
      <w:pPr>
        <w:tabs>
          <w:tab w:val="num" w:pos="6480"/>
        </w:tabs>
        <w:ind w:left="6480" w:hanging="360"/>
      </w:pPr>
      <w:rPr>
        <w:rFonts w:ascii="Arial" w:hAnsi="Arial" w:hint="default"/>
      </w:rPr>
    </w:lvl>
  </w:abstractNum>
  <w:abstractNum w:abstractNumId="76">
    <w:nsid w:val="79697972"/>
    <w:multiLevelType w:val="hybridMultilevel"/>
    <w:tmpl w:val="1444C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AB003BA"/>
    <w:multiLevelType w:val="hybridMultilevel"/>
    <w:tmpl w:val="695EB4C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BCD3199"/>
    <w:multiLevelType w:val="hybridMultilevel"/>
    <w:tmpl w:val="DE18E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DBD0EF7"/>
    <w:multiLevelType w:val="hybridMultilevel"/>
    <w:tmpl w:val="01EAC04A"/>
    <w:lvl w:ilvl="0" w:tplc="107481A4">
      <w:start w:val="1"/>
      <w:numFmt w:val="decimal"/>
      <w:lvlText w:val="%1."/>
      <w:lvlJc w:val="left"/>
      <w:pPr>
        <w:ind w:left="1065"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5"/>
  </w:num>
  <w:num w:numId="2">
    <w:abstractNumId w:val="22"/>
  </w:num>
  <w:num w:numId="3">
    <w:abstractNumId w:val="8"/>
  </w:num>
  <w:num w:numId="4">
    <w:abstractNumId w:val="19"/>
  </w:num>
  <w:num w:numId="5">
    <w:abstractNumId w:val="55"/>
  </w:num>
  <w:num w:numId="6">
    <w:abstractNumId w:val="6"/>
  </w:num>
  <w:num w:numId="7">
    <w:abstractNumId w:val="27"/>
  </w:num>
  <w:num w:numId="8">
    <w:abstractNumId w:val="59"/>
  </w:num>
  <w:num w:numId="9">
    <w:abstractNumId w:val="77"/>
  </w:num>
  <w:num w:numId="10">
    <w:abstractNumId w:val="1"/>
  </w:num>
  <w:num w:numId="11">
    <w:abstractNumId w:val="14"/>
  </w:num>
  <w:num w:numId="12">
    <w:abstractNumId w:val="75"/>
  </w:num>
  <w:num w:numId="13">
    <w:abstractNumId w:val="41"/>
  </w:num>
  <w:num w:numId="14">
    <w:abstractNumId w:val="76"/>
  </w:num>
  <w:num w:numId="15">
    <w:abstractNumId w:val="16"/>
  </w:num>
  <w:num w:numId="16">
    <w:abstractNumId w:val="32"/>
  </w:num>
  <w:num w:numId="17">
    <w:abstractNumId w:val="53"/>
  </w:num>
  <w:num w:numId="18">
    <w:abstractNumId w:val="48"/>
  </w:num>
  <w:num w:numId="19">
    <w:abstractNumId w:val="15"/>
  </w:num>
  <w:num w:numId="20">
    <w:abstractNumId w:val="30"/>
  </w:num>
  <w:num w:numId="21">
    <w:abstractNumId w:val="35"/>
  </w:num>
  <w:num w:numId="22">
    <w:abstractNumId w:val="79"/>
  </w:num>
  <w:num w:numId="23">
    <w:abstractNumId w:val="50"/>
  </w:num>
  <w:num w:numId="24">
    <w:abstractNumId w:val="17"/>
  </w:num>
  <w:num w:numId="25">
    <w:abstractNumId w:val="37"/>
  </w:num>
  <w:num w:numId="26">
    <w:abstractNumId w:val="0"/>
  </w:num>
  <w:num w:numId="27">
    <w:abstractNumId w:val="23"/>
  </w:num>
  <w:num w:numId="28">
    <w:abstractNumId w:val="74"/>
  </w:num>
  <w:num w:numId="29">
    <w:abstractNumId w:val="20"/>
    <w:lvlOverride w:ilvl="0">
      <w:lvl w:ilvl="0">
        <w:start w:val="1"/>
        <w:numFmt w:val="bullet"/>
        <w:pStyle w:val="Pointmark"/>
        <w:lvlText w:val="伀Ŋ儀Ŋ漀(桰＀좖6ÿ"/>
        <w:lvlJc w:val="left"/>
        <w:pPr>
          <w:tabs>
            <w:tab w:val="num" w:pos="360"/>
          </w:tabs>
          <w:ind w:left="360" w:hanging="360"/>
        </w:pPr>
      </w:lvl>
    </w:lvlOverride>
  </w:num>
  <w:num w:numId="30">
    <w:abstractNumId w:val="62"/>
  </w:num>
  <w:num w:numId="31">
    <w:abstractNumId w:val="21"/>
  </w:num>
  <w:num w:numId="32">
    <w:abstractNumId w:val="26"/>
  </w:num>
  <w:num w:numId="33">
    <w:abstractNumId w:val="24"/>
  </w:num>
  <w:num w:numId="34">
    <w:abstractNumId w:val="2"/>
  </w:num>
  <w:num w:numId="35">
    <w:abstractNumId w:val="31"/>
  </w:num>
  <w:num w:numId="36">
    <w:abstractNumId w:val="58"/>
  </w:num>
  <w:num w:numId="37">
    <w:abstractNumId w:val="36"/>
  </w:num>
  <w:num w:numId="38">
    <w:abstractNumId w:val="60"/>
  </w:num>
  <w:num w:numId="39">
    <w:abstractNumId w:val="39"/>
  </w:num>
  <w:num w:numId="40">
    <w:abstractNumId w:val="61"/>
  </w:num>
  <w:num w:numId="41">
    <w:abstractNumId w:val="63"/>
  </w:num>
  <w:num w:numId="42">
    <w:abstractNumId w:val="38"/>
  </w:num>
  <w:num w:numId="43">
    <w:abstractNumId w:val="9"/>
  </w:num>
  <w:num w:numId="44">
    <w:abstractNumId w:val="45"/>
  </w:num>
  <w:num w:numId="45">
    <w:abstractNumId w:val="72"/>
  </w:num>
  <w:num w:numId="46">
    <w:abstractNumId w:val="66"/>
  </w:num>
  <w:num w:numId="47">
    <w:abstractNumId w:val="44"/>
  </w:num>
  <w:num w:numId="48">
    <w:abstractNumId w:val="57"/>
  </w:num>
  <w:num w:numId="49">
    <w:abstractNumId w:val="71"/>
  </w:num>
  <w:num w:numId="50">
    <w:abstractNumId w:val="7"/>
  </w:num>
  <w:num w:numId="51">
    <w:abstractNumId w:val="70"/>
  </w:num>
  <w:num w:numId="52">
    <w:abstractNumId w:val="64"/>
  </w:num>
  <w:num w:numId="53">
    <w:abstractNumId w:val="25"/>
  </w:num>
  <w:num w:numId="54">
    <w:abstractNumId w:val="67"/>
  </w:num>
  <w:num w:numId="55">
    <w:abstractNumId w:val="12"/>
  </w:num>
  <w:num w:numId="56">
    <w:abstractNumId w:val="33"/>
  </w:num>
  <w:num w:numId="57">
    <w:abstractNumId w:val="3"/>
  </w:num>
  <w:num w:numId="58">
    <w:abstractNumId w:val="43"/>
  </w:num>
  <w:num w:numId="59">
    <w:abstractNumId w:val="51"/>
  </w:num>
  <w:num w:numId="60">
    <w:abstractNumId w:val="47"/>
  </w:num>
  <w:num w:numId="61">
    <w:abstractNumId w:val="56"/>
  </w:num>
  <w:num w:numId="62">
    <w:abstractNumId w:val="11"/>
  </w:num>
  <w:num w:numId="63">
    <w:abstractNumId w:val="5"/>
  </w:num>
  <w:num w:numId="64">
    <w:abstractNumId w:val="18"/>
  </w:num>
  <w:num w:numId="65">
    <w:abstractNumId w:val="69"/>
  </w:num>
  <w:num w:numId="66">
    <w:abstractNumId w:val="29"/>
  </w:num>
  <w:num w:numId="67">
    <w:abstractNumId w:val="54"/>
  </w:num>
  <w:num w:numId="68">
    <w:abstractNumId w:val="28"/>
  </w:num>
  <w:num w:numId="69">
    <w:abstractNumId w:val="4"/>
  </w:num>
  <w:num w:numId="70">
    <w:abstractNumId w:val="10"/>
  </w:num>
  <w:num w:numId="71">
    <w:abstractNumId w:val="49"/>
  </w:num>
  <w:num w:numId="72">
    <w:abstractNumId w:val="78"/>
  </w:num>
  <w:num w:numId="73">
    <w:abstractNumId w:val="73"/>
  </w:num>
  <w:num w:numId="74">
    <w:abstractNumId w:val="40"/>
  </w:num>
  <w:num w:numId="75">
    <w:abstractNumId w:val="46"/>
  </w:num>
  <w:num w:numId="76">
    <w:abstractNumId w:val="13"/>
  </w:num>
  <w:num w:numId="77">
    <w:abstractNumId w:val="52"/>
  </w:num>
  <w:num w:numId="78">
    <w:abstractNumId w:val="68"/>
  </w:num>
  <w:num w:numId="79">
    <w:abstractNumId w:val="42"/>
  </w:num>
  <w:num w:numId="80">
    <w:abstractNumId w:val="34"/>
  </w:num>
  <w:num w:numId="81">
    <w:abstractNumId w:val="2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240"/>
    <w:rsid w:val="000160F6"/>
    <w:rsid w:val="00025C9E"/>
    <w:rsid w:val="000C29EB"/>
    <w:rsid w:val="00176DC0"/>
    <w:rsid w:val="00337E4A"/>
    <w:rsid w:val="00341240"/>
    <w:rsid w:val="005224C5"/>
    <w:rsid w:val="009004DC"/>
    <w:rsid w:val="009165CF"/>
    <w:rsid w:val="00AB0ACF"/>
    <w:rsid w:val="00B334AA"/>
    <w:rsid w:val="00D536DA"/>
    <w:rsid w:val="00DF66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style>
  <w:style w:type="paragraph" w:styleId="11">
    <w:name w:val="heading 1"/>
    <w:basedOn w:val="a6"/>
    <w:next w:val="a6"/>
    <w:link w:val="12"/>
    <w:qFormat/>
    <w:rsid w:val="00341240"/>
    <w:pPr>
      <w:keepNext/>
      <w:widowControl w:val="0"/>
      <w:overflowPunct w:val="0"/>
      <w:autoSpaceDE w:val="0"/>
      <w:autoSpaceDN w:val="0"/>
      <w:adjustRightInd w:val="0"/>
      <w:spacing w:before="240" w:after="60" w:line="240" w:lineRule="auto"/>
      <w:textAlignment w:val="baseline"/>
      <w:outlineLvl w:val="0"/>
    </w:pPr>
    <w:rPr>
      <w:rFonts w:ascii="Arial" w:eastAsia="Times New Roman" w:hAnsi="Arial" w:cs="Arial"/>
      <w:b/>
      <w:bCs/>
      <w:kern w:val="32"/>
      <w:sz w:val="32"/>
      <w:szCs w:val="32"/>
      <w:lang w:eastAsia="ru-RU"/>
    </w:rPr>
  </w:style>
  <w:style w:type="paragraph" w:styleId="22">
    <w:name w:val="heading 2"/>
    <w:basedOn w:val="a6"/>
    <w:next w:val="a6"/>
    <w:link w:val="23"/>
    <w:qFormat/>
    <w:rsid w:val="00341240"/>
    <w:pPr>
      <w:keepNext/>
      <w:widowControl w:val="0"/>
      <w:overflowPunct w:val="0"/>
      <w:autoSpaceDE w:val="0"/>
      <w:autoSpaceDN w:val="0"/>
      <w:adjustRightInd w:val="0"/>
      <w:spacing w:before="240" w:after="60" w:line="240" w:lineRule="auto"/>
      <w:textAlignment w:val="baseline"/>
      <w:outlineLvl w:val="1"/>
    </w:pPr>
    <w:rPr>
      <w:rFonts w:ascii="Cambria" w:eastAsia="Times New Roman" w:hAnsi="Cambria" w:cs="Times New Roman"/>
      <w:b/>
      <w:bCs/>
      <w:i/>
      <w:iCs/>
      <w:sz w:val="28"/>
      <w:szCs w:val="28"/>
      <w:lang w:eastAsia="ru-RU"/>
    </w:rPr>
  </w:style>
  <w:style w:type="paragraph" w:styleId="3">
    <w:name w:val="heading 3"/>
    <w:basedOn w:val="a6"/>
    <w:next w:val="a6"/>
    <w:link w:val="30"/>
    <w:qFormat/>
    <w:rsid w:val="00341240"/>
    <w:pPr>
      <w:keepNext/>
      <w:widowControl w:val="0"/>
      <w:overflowPunct w:val="0"/>
      <w:autoSpaceDE w:val="0"/>
      <w:autoSpaceDN w:val="0"/>
      <w:adjustRightInd w:val="0"/>
      <w:spacing w:before="240" w:after="60" w:line="240" w:lineRule="auto"/>
      <w:textAlignment w:val="baseline"/>
      <w:outlineLvl w:val="2"/>
    </w:pPr>
    <w:rPr>
      <w:rFonts w:ascii="Cambria" w:eastAsia="Times New Roman" w:hAnsi="Cambria" w:cs="Times New Roman"/>
      <w:b/>
      <w:bCs/>
      <w:sz w:val="26"/>
      <w:szCs w:val="26"/>
      <w:lang w:eastAsia="ru-RU"/>
    </w:rPr>
  </w:style>
  <w:style w:type="paragraph" w:styleId="4">
    <w:name w:val="heading 4"/>
    <w:basedOn w:val="a6"/>
    <w:next w:val="a6"/>
    <w:link w:val="40"/>
    <w:qFormat/>
    <w:rsid w:val="00341240"/>
    <w:pPr>
      <w:tabs>
        <w:tab w:val="num" w:pos="851"/>
        <w:tab w:val="right" w:pos="9356"/>
      </w:tabs>
      <w:autoSpaceDE w:val="0"/>
      <w:autoSpaceDN w:val="0"/>
      <w:spacing w:before="60" w:after="0" w:line="360" w:lineRule="auto"/>
      <w:ind w:left="851" w:hanging="851"/>
      <w:jc w:val="both"/>
      <w:outlineLvl w:val="3"/>
    </w:pPr>
    <w:rPr>
      <w:rFonts w:ascii="Times New Roman" w:eastAsia="Calibri" w:hAnsi="Times New Roman" w:cs="Times New Roman"/>
      <w:bCs/>
      <w:noProof/>
      <w:sz w:val="24"/>
      <w:szCs w:val="28"/>
      <w:lang w:val="x-none" w:eastAsia="x-none"/>
    </w:rPr>
  </w:style>
  <w:style w:type="paragraph" w:styleId="5">
    <w:name w:val="heading 5"/>
    <w:basedOn w:val="a6"/>
    <w:next w:val="a6"/>
    <w:link w:val="50"/>
    <w:qFormat/>
    <w:rsid w:val="00341240"/>
    <w:pPr>
      <w:keepNext/>
      <w:overflowPunct w:val="0"/>
      <w:autoSpaceDE w:val="0"/>
      <w:autoSpaceDN w:val="0"/>
      <w:adjustRightInd w:val="0"/>
      <w:spacing w:after="0" w:line="240" w:lineRule="auto"/>
      <w:ind w:left="851" w:right="-242" w:firstLine="425"/>
      <w:jc w:val="both"/>
      <w:textAlignment w:val="baseline"/>
      <w:outlineLvl w:val="4"/>
    </w:pPr>
    <w:rPr>
      <w:rFonts w:ascii="Times New Roman" w:eastAsia="Times New Roman" w:hAnsi="Times New Roman" w:cs="Times New Roman"/>
      <w:b/>
      <w:sz w:val="24"/>
      <w:szCs w:val="20"/>
      <w:lang w:eastAsia="ru-RU"/>
    </w:rPr>
  </w:style>
  <w:style w:type="paragraph" w:styleId="6">
    <w:name w:val="heading 6"/>
    <w:basedOn w:val="a6"/>
    <w:next w:val="a6"/>
    <w:link w:val="60"/>
    <w:qFormat/>
    <w:rsid w:val="00341240"/>
    <w:pPr>
      <w:tabs>
        <w:tab w:val="num" w:pos="1152"/>
        <w:tab w:val="right" w:pos="9356"/>
      </w:tabs>
      <w:autoSpaceDE w:val="0"/>
      <w:autoSpaceDN w:val="0"/>
      <w:spacing w:after="60" w:line="360" w:lineRule="auto"/>
      <w:ind w:left="1152" w:hanging="1152"/>
      <w:jc w:val="both"/>
      <w:outlineLvl w:val="5"/>
    </w:pPr>
    <w:rPr>
      <w:rFonts w:ascii="Times New Roman" w:eastAsia="Calibri" w:hAnsi="Times New Roman" w:cs="Times New Roman"/>
      <w:b/>
      <w:bCs/>
      <w:noProof/>
      <w:lang w:val="x-none" w:eastAsia="x-none"/>
    </w:rPr>
  </w:style>
  <w:style w:type="paragraph" w:styleId="7">
    <w:name w:val="heading 7"/>
    <w:basedOn w:val="a6"/>
    <w:next w:val="a6"/>
    <w:link w:val="70"/>
    <w:qFormat/>
    <w:rsid w:val="00341240"/>
    <w:pPr>
      <w:tabs>
        <w:tab w:val="num" w:pos="1296"/>
        <w:tab w:val="right" w:pos="9356"/>
      </w:tabs>
      <w:autoSpaceDE w:val="0"/>
      <w:autoSpaceDN w:val="0"/>
      <w:spacing w:after="60" w:line="360" w:lineRule="auto"/>
      <w:ind w:left="1296" w:hanging="1296"/>
      <w:jc w:val="both"/>
      <w:outlineLvl w:val="6"/>
    </w:pPr>
    <w:rPr>
      <w:rFonts w:ascii="Times New Roman" w:eastAsia="Calibri" w:hAnsi="Times New Roman" w:cs="Times New Roman"/>
      <w:noProof/>
      <w:sz w:val="24"/>
      <w:szCs w:val="24"/>
      <w:lang w:val="x-none" w:eastAsia="x-none"/>
    </w:rPr>
  </w:style>
  <w:style w:type="paragraph" w:styleId="8">
    <w:name w:val="heading 8"/>
    <w:basedOn w:val="a6"/>
    <w:next w:val="a6"/>
    <w:link w:val="80"/>
    <w:qFormat/>
    <w:rsid w:val="00341240"/>
    <w:pPr>
      <w:tabs>
        <w:tab w:val="num" w:pos="1440"/>
        <w:tab w:val="right" w:pos="9356"/>
      </w:tabs>
      <w:autoSpaceDE w:val="0"/>
      <w:autoSpaceDN w:val="0"/>
      <w:spacing w:after="60" w:line="360" w:lineRule="auto"/>
      <w:ind w:left="1440" w:hanging="1440"/>
      <w:jc w:val="both"/>
      <w:outlineLvl w:val="7"/>
    </w:pPr>
    <w:rPr>
      <w:rFonts w:ascii="Times New Roman" w:eastAsia="Calibri" w:hAnsi="Times New Roman" w:cs="Times New Roman"/>
      <w:iCs/>
      <w:noProof/>
      <w:sz w:val="24"/>
      <w:szCs w:val="24"/>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2">
    <w:name w:val="Заголовок 1 Знак"/>
    <w:basedOn w:val="a7"/>
    <w:link w:val="11"/>
    <w:rsid w:val="00341240"/>
    <w:rPr>
      <w:rFonts w:ascii="Arial" w:eastAsia="Times New Roman" w:hAnsi="Arial" w:cs="Arial"/>
      <w:b/>
      <w:bCs/>
      <w:kern w:val="32"/>
      <w:sz w:val="32"/>
      <w:szCs w:val="32"/>
      <w:lang w:eastAsia="ru-RU"/>
    </w:rPr>
  </w:style>
  <w:style w:type="character" w:customStyle="1" w:styleId="23">
    <w:name w:val="Заголовок 2 Знак"/>
    <w:basedOn w:val="a7"/>
    <w:link w:val="22"/>
    <w:rsid w:val="00341240"/>
    <w:rPr>
      <w:rFonts w:ascii="Cambria" w:eastAsia="Times New Roman" w:hAnsi="Cambria" w:cs="Times New Roman"/>
      <w:b/>
      <w:bCs/>
      <w:i/>
      <w:iCs/>
      <w:sz w:val="28"/>
      <w:szCs w:val="28"/>
      <w:lang w:eastAsia="ru-RU"/>
    </w:rPr>
  </w:style>
  <w:style w:type="character" w:customStyle="1" w:styleId="30">
    <w:name w:val="Заголовок 3 Знак"/>
    <w:basedOn w:val="a7"/>
    <w:link w:val="3"/>
    <w:rsid w:val="00341240"/>
    <w:rPr>
      <w:rFonts w:ascii="Cambria" w:eastAsia="Times New Roman" w:hAnsi="Cambria" w:cs="Times New Roman"/>
      <w:b/>
      <w:bCs/>
      <w:sz w:val="26"/>
      <w:szCs w:val="26"/>
      <w:lang w:eastAsia="ru-RU"/>
    </w:rPr>
  </w:style>
  <w:style w:type="character" w:customStyle="1" w:styleId="40">
    <w:name w:val="Заголовок 4 Знак"/>
    <w:basedOn w:val="a7"/>
    <w:link w:val="4"/>
    <w:rsid w:val="00341240"/>
    <w:rPr>
      <w:rFonts w:ascii="Times New Roman" w:eastAsia="Calibri" w:hAnsi="Times New Roman" w:cs="Times New Roman"/>
      <w:bCs/>
      <w:noProof/>
      <w:sz w:val="24"/>
      <w:szCs w:val="28"/>
      <w:lang w:val="x-none" w:eastAsia="x-none"/>
    </w:rPr>
  </w:style>
  <w:style w:type="character" w:customStyle="1" w:styleId="50">
    <w:name w:val="Заголовок 5 Знак"/>
    <w:basedOn w:val="a7"/>
    <w:link w:val="5"/>
    <w:rsid w:val="00341240"/>
    <w:rPr>
      <w:rFonts w:ascii="Times New Roman" w:eastAsia="Times New Roman" w:hAnsi="Times New Roman" w:cs="Times New Roman"/>
      <w:b/>
      <w:sz w:val="24"/>
      <w:szCs w:val="20"/>
      <w:lang w:eastAsia="ru-RU"/>
    </w:rPr>
  </w:style>
  <w:style w:type="character" w:customStyle="1" w:styleId="60">
    <w:name w:val="Заголовок 6 Знак"/>
    <w:basedOn w:val="a7"/>
    <w:link w:val="6"/>
    <w:rsid w:val="00341240"/>
    <w:rPr>
      <w:rFonts w:ascii="Times New Roman" w:eastAsia="Calibri" w:hAnsi="Times New Roman" w:cs="Times New Roman"/>
      <w:b/>
      <w:bCs/>
      <w:noProof/>
      <w:lang w:val="x-none" w:eastAsia="x-none"/>
    </w:rPr>
  </w:style>
  <w:style w:type="character" w:customStyle="1" w:styleId="70">
    <w:name w:val="Заголовок 7 Знак"/>
    <w:basedOn w:val="a7"/>
    <w:link w:val="7"/>
    <w:rsid w:val="00341240"/>
    <w:rPr>
      <w:rFonts w:ascii="Times New Roman" w:eastAsia="Calibri" w:hAnsi="Times New Roman" w:cs="Times New Roman"/>
      <w:noProof/>
      <w:sz w:val="24"/>
      <w:szCs w:val="24"/>
      <w:lang w:val="x-none" w:eastAsia="x-none"/>
    </w:rPr>
  </w:style>
  <w:style w:type="character" w:customStyle="1" w:styleId="80">
    <w:name w:val="Заголовок 8 Знак"/>
    <w:basedOn w:val="a7"/>
    <w:link w:val="8"/>
    <w:rsid w:val="00341240"/>
    <w:rPr>
      <w:rFonts w:ascii="Times New Roman" w:eastAsia="Calibri" w:hAnsi="Times New Roman" w:cs="Times New Roman"/>
      <w:iCs/>
      <w:noProof/>
      <w:sz w:val="24"/>
      <w:szCs w:val="24"/>
      <w:lang w:val="x-none" w:eastAsia="x-none"/>
    </w:rPr>
  </w:style>
  <w:style w:type="paragraph" w:styleId="aa">
    <w:name w:val="List Paragraph"/>
    <w:basedOn w:val="a6"/>
    <w:uiPriority w:val="34"/>
    <w:qFormat/>
    <w:rsid w:val="00341240"/>
    <w:pPr>
      <w:ind w:left="720"/>
      <w:contextualSpacing/>
    </w:pPr>
    <w:rPr>
      <w:rFonts w:ascii="Calibri" w:eastAsia="Calibri" w:hAnsi="Calibri" w:cs="Times New Roman"/>
    </w:rPr>
  </w:style>
  <w:style w:type="paragraph" w:customStyle="1" w:styleId="ConsPlusNormal">
    <w:name w:val="ConsPlusNormal"/>
    <w:rsid w:val="00341240"/>
    <w:pPr>
      <w:autoSpaceDE w:val="0"/>
      <w:autoSpaceDN w:val="0"/>
      <w:adjustRightInd w:val="0"/>
      <w:spacing w:after="0" w:line="240" w:lineRule="auto"/>
    </w:pPr>
    <w:rPr>
      <w:rFonts w:ascii="Arial" w:hAnsi="Arial" w:cs="Arial"/>
      <w:sz w:val="20"/>
      <w:szCs w:val="20"/>
    </w:rPr>
  </w:style>
  <w:style w:type="paragraph" w:styleId="ab">
    <w:name w:val="Balloon Text"/>
    <w:basedOn w:val="a6"/>
    <w:link w:val="ac"/>
    <w:uiPriority w:val="99"/>
    <w:semiHidden/>
    <w:unhideWhenUsed/>
    <w:rsid w:val="00341240"/>
    <w:pPr>
      <w:spacing w:after="0" w:line="240" w:lineRule="auto"/>
    </w:pPr>
    <w:rPr>
      <w:rFonts w:ascii="Tahoma" w:hAnsi="Tahoma" w:cs="Tahoma"/>
      <w:sz w:val="16"/>
      <w:szCs w:val="16"/>
    </w:rPr>
  </w:style>
  <w:style w:type="character" w:customStyle="1" w:styleId="ac">
    <w:name w:val="Текст выноски Знак"/>
    <w:basedOn w:val="a7"/>
    <w:link w:val="ab"/>
    <w:uiPriority w:val="99"/>
    <w:semiHidden/>
    <w:rsid w:val="00341240"/>
    <w:rPr>
      <w:rFonts w:ascii="Tahoma" w:hAnsi="Tahoma" w:cs="Tahoma"/>
      <w:sz w:val="16"/>
      <w:szCs w:val="16"/>
    </w:rPr>
  </w:style>
  <w:style w:type="paragraph" w:customStyle="1" w:styleId="a">
    <w:name w:val="Пункт с точкой"/>
    <w:basedOn w:val="31"/>
    <w:link w:val="ad"/>
    <w:qFormat/>
    <w:rsid w:val="00341240"/>
    <w:pPr>
      <w:numPr>
        <w:numId w:val="10"/>
      </w:numPr>
      <w:tabs>
        <w:tab w:val="clear" w:pos="720"/>
        <w:tab w:val="num" w:pos="426"/>
      </w:tabs>
      <w:spacing w:before="60" w:after="0" w:line="240" w:lineRule="auto"/>
      <w:ind w:left="426" w:hanging="426"/>
      <w:jc w:val="both"/>
    </w:pPr>
    <w:rPr>
      <w:rFonts w:ascii="Times New Roman" w:eastAsia="Times New Roman" w:hAnsi="Times New Roman" w:cs="Times New Roman"/>
      <w:bCs/>
      <w:sz w:val="24"/>
      <w:szCs w:val="24"/>
      <w:lang w:eastAsia="ru-RU"/>
    </w:rPr>
  </w:style>
  <w:style w:type="paragraph" w:styleId="31">
    <w:name w:val="Body Text 3"/>
    <w:basedOn w:val="a6"/>
    <w:link w:val="32"/>
    <w:unhideWhenUsed/>
    <w:rsid w:val="00341240"/>
    <w:pPr>
      <w:spacing w:after="120"/>
    </w:pPr>
    <w:rPr>
      <w:sz w:val="16"/>
      <w:szCs w:val="16"/>
    </w:rPr>
  </w:style>
  <w:style w:type="character" w:customStyle="1" w:styleId="32">
    <w:name w:val="Основной текст 3 Знак"/>
    <w:basedOn w:val="a7"/>
    <w:link w:val="31"/>
    <w:rsid w:val="00341240"/>
    <w:rPr>
      <w:sz w:val="16"/>
      <w:szCs w:val="16"/>
    </w:rPr>
  </w:style>
  <w:style w:type="character" w:styleId="ae">
    <w:name w:val="annotation reference"/>
    <w:basedOn w:val="a7"/>
    <w:uiPriority w:val="99"/>
    <w:semiHidden/>
    <w:unhideWhenUsed/>
    <w:rsid w:val="00341240"/>
    <w:rPr>
      <w:sz w:val="16"/>
      <w:szCs w:val="16"/>
    </w:rPr>
  </w:style>
  <w:style w:type="paragraph" w:styleId="af">
    <w:name w:val="annotation text"/>
    <w:basedOn w:val="a6"/>
    <w:link w:val="af0"/>
    <w:uiPriority w:val="99"/>
    <w:semiHidden/>
    <w:unhideWhenUsed/>
    <w:rsid w:val="00341240"/>
    <w:pPr>
      <w:spacing w:line="240" w:lineRule="auto"/>
    </w:pPr>
    <w:rPr>
      <w:sz w:val="20"/>
      <w:szCs w:val="20"/>
    </w:rPr>
  </w:style>
  <w:style w:type="character" w:customStyle="1" w:styleId="af0">
    <w:name w:val="Текст примечания Знак"/>
    <w:basedOn w:val="a7"/>
    <w:link w:val="af"/>
    <w:uiPriority w:val="99"/>
    <w:semiHidden/>
    <w:rsid w:val="00341240"/>
    <w:rPr>
      <w:sz w:val="20"/>
      <w:szCs w:val="20"/>
    </w:rPr>
  </w:style>
  <w:style w:type="paragraph" w:styleId="af1">
    <w:name w:val="annotation subject"/>
    <w:basedOn w:val="af"/>
    <w:next w:val="af"/>
    <w:link w:val="af2"/>
    <w:uiPriority w:val="99"/>
    <w:semiHidden/>
    <w:unhideWhenUsed/>
    <w:rsid w:val="00341240"/>
    <w:rPr>
      <w:b/>
      <w:bCs/>
    </w:rPr>
  </w:style>
  <w:style w:type="character" w:customStyle="1" w:styleId="af2">
    <w:name w:val="Тема примечания Знак"/>
    <w:basedOn w:val="af0"/>
    <w:link w:val="af1"/>
    <w:uiPriority w:val="99"/>
    <w:semiHidden/>
    <w:rsid w:val="00341240"/>
    <w:rPr>
      <w:b/>
      <w:bCs/>
      <w:sz w:val="20"/>
      <w:szCs w:val="20"/>
    </w:rPr>
  </w:style>
  <w:style w:type="paragraph" w:styleId="af3">
    <w:name w:val="footnote text"/>
    <w:basedOn w:val="a6"/>
    <w:link w:val="af4"/>
    <w:uiPriority w:val="99"/>
    <w:semiHidden/>
    <w:unhideWhenUsed/>
    <w:rsid w:val="00341240"/>
    <w:pPr>
      <w:spacing w:after="0" w:line="240" w:lineRule="auto"/>
    </w:pPr>
    <w:rPr>
      <w:sz w:val="20"/>
      <w:szCs w:val="20"/>
    </w:rPr>
  </w:style>
  <w:style w:type="character" w:customStyle="1" w:styleId="af4">
    <w:name w:val="Текст сноски Знак"/>
    <w:basedOn w:val="a7"/>
    <w:link w:val="af3"/>
    <w:uiPriority w:val="99"/>
    <w:semiHidden/>
    <w:rsid w:val="00341240"/>
    <w:rPr>
      <w:sz w:val="20"/>
      <w:szCs w:val="20"/>
    </w:rPr>
  </w:style>
  <w:style w:type="character" w:styleId="af5">
    <w:name w:val="footnote reference"/>
    <w:uiPriority w:val="99"/>
    <w:rsid w:val="00341240"/>
    <w:rPr>
      <w:vertAlign w:val="superscript"/>
    </w:rPr>
  </w:style>
  <w:style w:type="numbering" w:customStyle="1" w:styleId="13">
    <w:name w:val="Нет списка1"/>
    <w:next w:val="a9"/>
    <w:uiPriority w:val="99"/>
    <w:semiHidden/>
    <w:unhideWhenUsed/>
    <w:rsid w:val="00341240"/>
  </w:style>
  <w:style w:type="numbering" w:customStyle="1" w:styleId="110">
    <w:name w:val="Нет списка11"/>
    <w:next w:val="a9"/>
    <w:uiPriority w:val="99"/>
    <w:semiHidden/>
    <w:unhideWhenUsed/>
    <w:rsid w:val="00341240"/>
  </w:style>
  <w:style w:type="paragraph" w:styleId="af6">
    <w:name w:val="header"/>
    <w:basedOn w:val="a6"/>
    <w:link w:val="af7"/>
    <w:unhideWhenUsed/>
    <w:rsid w:val="00341240"/>
    <w:pPr>
      <w:tabs>
        <w:tab w:val="center" w:pos="4677"/>
        <w:tab w:val="right" w:pos="9355"/>
      </w:tabs>
      <w:spacing w:after="0" w:line="240" w:lineRule="auto"/>
    </w:pPr>
    <w:rPr>
      <w:rFonts w:ascii="Calibri" w:eastAsia="Calibri" w:hAnsi="Calibri" w:cs="Times New Roman"/>
    </w:rPr>
  </w:style>
  <w:style w:type="character" w:customStyle="1" w:styleId="af7">
    <w:name w:val="Верхний колонтитул Знак"/>
    <w:basedOn w:val="a7"/>
    <w:link w:val="af6"/>
    <w:rsid w:val="00341240"/>
    <w:rPr>
      <w:rFonts w:ascii="Calibri" w:eastAsia="Calibri" w:hAnsi="Calibri" w:cs="Times New Roman"/>
    </w:rPr>
  </w:style>
  <w:style w:type="paragraph" w:styleId="af8">
    <w:name w:val="footer"/>
    <w:basedOn w:val="a6"/>
    <w:link w:val="af9"/>
    <w:uiPriority w:val="99"/>
    <w:unhideWhenUsed/>
    <w:rsid w:val="00341240"/>
    <w:pPr>
      <w:tabs>
        <w:tab w:val="center" w:pos="4677"/>
        <w:tab w:val="right" w:pos="9355"/>
      </w:tabs>
      <w:spacing w:after="0" w:line="240" w:lineRule="auto"/>
    </w:pPr>
    <w:rPr>
      <w:rFonts w:ascii="Calibri" w:eastAsia="Calibri" w:hAnsi="Calibri" w:cs="Times New Roman"/>
    </w:rPr>
  </w:style>
  <w:style w:type="character" w:customStyle="1" w:styleId="af9">
    <w:name w:val="Нижний колонтитул Знак"/>
    <w:basedOn w:val="a7"/>
    <w:link w:val="af8"/>
    <w:uiPriority w:val="99"/>
    <w:rsid w:val="00341240"/>
    <w:rPr>
      <w:rFonts w:ascii="Calibri" w:eastAsia="Calibri" w:hAnsi="Calibri" w:cs="Times New Roman"/>
    </w:rPr>
  </w:style>
  <w:style w:type="character" w:customStyle="1" w:styleId="msoins0">
    <w:name w:val="msoins"/>
    <w:basedOn w:val="a7"/>
    <w:rsid w:val="00341240"/>
  </w:style>
  <w:style w:type="paragraph" w:styleId="24">
    <w:name w:val="Body Text 2"/>
    <w:basedOn w:val="a6"/>
    <w:link w:val="25"/>
    <w:unhideWhenUsed/>
    <w:rsid w:val="00341240"/>
    <w:pPr>
      <w:spacing w:after="120" w:line="480" w:lineRule="auto"/>
    </w:pPr>
    <w:rPr>
      <w:rFonts w:ascii="Calibri" w:eastAsia="Calibri" w:hAnsi="Calibri" w:cs="Times New Roman"/>
    </w:rPr>
  </w:style>
  <w:style w:type="character" w:customStyle="1" w:styleId="25">
    <w:name w:val="Основной текст 2 Знак"/>
    <w:basedOn w:val="a7"/>
    <w:link w:val="24"/>
    <w:rsid w:val="00341240"/>
    <w:rPr>
      <w:rFonts w:ascii="Calibri" w:eastAsia="Calibri" w:hAnsi="Calibri" w:cs="Times New Roman"/>
    </w:rPr>
  </w:style>
  <w:style w:type="paragraph" w:styleId="2">
    <w:name w:val="List Bullet 2"/>
    <w:basedOn w:val="a2"/>
    <w:rsid w:val="00341240"/>
    <w:pPr>
      <w:numPr>
        <w:numId w:val="26"/>
      </w:numPr>
      <w:tabs>
        <w:tab w:val="clear" w:pos="953"/>
      </w:tabs>
      <w:spacing w:after="60" w:line="240" w:lineRule="auto"/>
      <w:ind w:left="502" w:hanging="360"/>
      <w:contextualSpacing w:val="0"/>
      <w:jc w:val="both"/>
    </w:pPr>
    <w:rPr>
      <w:rFonts w:ascii="Arial" w:eastAsia="Arial Unicode MS" w:hAnsi="Arial"/>
      <w:sz w:val="20"/>
      <w:lang w:val="en-US" w:eastAsia="ru-RU"/>
    </w:rPr>
  </w:style>
  <w:style w:type="paragraph" w:styleId="a2">
    <w:name w:val="List Bullet"/>
    <w:basedOn w:val="a6"/>
    <w:semiHidden/>
    <w:unhideWhenUsed/>
    <w:rsid w:val="00341240"/>
    <w:pPr>
      <w:numPr>
        <w:numId w:val="27"/>
      </w:numPr>
      <w:contextualSpacing/>
    </w:pPr>
    <w:rPr>
      <w:rFonts w:ascii="Calibri" w:eastAsia="Calibri" w:hAnsi="Calibri" w:cs="Times New Roman"/>
    </w:rPr>
  </w:style>
  <w:style w:type="numbering" w:customStyle="1" w:styleId="111">
    <w:name w:val="Нет списка111"/>
    <w:next w:val="a9"/>
    <w:uiPriority w:val="99"/>
    <w:semiHidden/>
    <w:unhideWhenUsed/>
    <w:rsid w:val="00341240"/>
  </w:style>
  <w:style w:type="paragraph" w:customStyle="1" w:styleId="Iauiue3">
    <w:name w:val="Iau?iue3"/>
    <w:link w:val="Iauiue30"/>
    <w:rsid w:val="00341240"/>
    <w:pPr>
      <w:keepLines/>
      <w:widowControl w:val="0"/>
      <w:overflowPunct w:val="0"/>
      <w:autoSpaceDE w:val="0"/>
      <w:autoSpaceDN w:val="0"/>
      <w:adjustRightInd w:val="0"/>
      <w:spacing w:after="0" w:line="240" w:lineRule="auto"/>
      <w:ind w:firstLine="720"/>
      <w:jc w:val="both"/>
      <w:textAlignment w:val="baseline"/>
    </w:pPr>
    <w:rPr>
      <w:rFonts w:ascii="Baltica" w:eastAsia="Times New Roman" w:hAnsi="Baltica" w:cs="Times New Roman"/>
      <w:sz w:val="24"/>
      <w:lang w:eastAsia="ru-RU"/>
    </w:rPr>
  </w:style>
  <w:style w:type="paragraph" w:customStyle="1" w:styleId="14">
    <w:name w:val="Обычный1"/>
    <w:rsid w:val="00341240"/>
    <w:pPr>
      <w:spacing w:after="0" w:line="240" w:lineRule="auto"/>
    </w:pPr>
    <w:rPr>
      <w:rFonts w:ascii="Times New Roman" w:eastAsia="Times New Roman" w:hAnsi="Times New Roman" w:cs="Times New Roman"/>
      <w:sz w:val="20"/>
      <w:szCs w:val="20"/>
      <w:lang w:eastAsia="ru-RU"/>
    </w:rPr>
  </w:style>
  <w:style w:type="character" w:customStyle="1" w:styleId="SUBST">
    <w:name w:val="__SUBST"/>
    <w:rsid w:val="00341240"/>
    <w:rPr>
      <w:b/>
      <w:i/>
      <w:sz w:val="22"/>
    </w:rPr>
  </w:style>
  <w:style w:type="paragraph" w:customStyle="1" w:styleId="afa">
    <w:name w:val="заглавные"/>
    <w:basedOn w:val="a6"/>
    <w:rsid w:val="00341240"/>
    <w:pPr>
      <w:spacing w:after="0" w:line="240" w:lineRule="auto"/>
      <w:jc w:val="center"/>
    </w:pPr>
    <w:rPr>
      <w:rFonts w:ascii="Arial" w:eastAsia="Times New Roman" w:hAnsi="Arial" w:cs="Arial"/>
      <w:b/>
      <w:sz w:val="24"/>
      <w:szCs w:val="24"/>
      <w:lang w:eastAsia="ru-RU"/>
    </w:rPr>
  </w:style>
  <w:style w:type="paragraph" w:styleId="afb">
    <w:name w:val="Body Text"/>
    <w:basedOn w:val="a6"/>
    <w:link w:val="afc"/>
    <w:semiHidden/>
    <w:unhideWhenUsed/>
    <w:rsid w:val="00341240"/>
    <w:pPr>
      <w:widowControl w:val="0"/>
      <w:overflowPunct w:val="0"/>
      <w:autoSpaceDE w:val="0"/>
      <w:autoSpaceDN w:val="0"/>
      <w:adjustRightInd w:val="0"/>
      <w:spacing w:after="120" w:line="240" w:lineRule="auto"/>
      <w:textAlignment w:val="baseline"/>
    </w:pPr>
    <w:rPr>
      <w:rFonts w:ascii="Times New Roman" w:eastAsia="Times New Roman" w:hAnsi="Times New Roman" w:cs="Times New Roman"/>
      <w:sz w:val="20"/>
      <w:szCs w:val="20"/>
      <w:lang w:eastAsia="ru-RU"/>
    </w:rPr>
  </w:style>
  <w:style w:type="character" w:customStyle="1" w:styleId="afc">
    <w:name w:val="Основной текст Знак"/>
    <w:basedOn w:val="a7"/>
    <w:link w:val="afb"/>
    <w:semiHidden/>
    <w:rsid w:val="00341240"/>
    <w:rPr>
      <w:rFonts w:ascii="Times New Roman" w:eastAsia="Times New Roman" w:hAnsi="Times New Roman" w:cs="Times New Roman"/>
      <w:sz w:val="20"/>
      <w:szCs w:val="20"/>
      <w:lang w:eastAsia="ru-RU"/>
    </w:rPr>
  </w:style>
  <w:style w:type="character" w:styleId="afd">
    <w:name w:val="Emphasis"/>
    <w:qFormat/>
    <w:rsid w:val="00341240"/>
    <w:rPr>
      <w:b/>
      <w:i/>
      <w:iCs/>
    </w:rPr>
  </w:style>
  <w:style w:type="paragraph" w:customStyle="1" w:styleId="16">
    <w:name w:val="Цитата1"/>
    <w:basedOn w:val="a6"/>
    <w:rsid w:val="00341240"/>
    <w:pPr>
      <w:overflowPunct w:val="0"/>
      <w:autoSpaceDE w:val="0"/>
      <w:autoSpaceDN w:val="0"/>
      <w:adjustRightInd w:val="0"/>
      <w:spacing w:after="0" w:line="240" w:lineRule="auto"/>
      <w:ind w:left="567" w:right="-143" w:firstLine="567"/>
      <w:jc w:val="both"/>
      <w:textAlignment w:val="baseline"/>
    </w:pPr>
    <w:rPr>
      <w:rFonts w:ascii="Times New Roman" w:eastAsia="Times New Roman" w:hAnsi="Times New Roman" w:cs="Times New Roman"/>
      <w:sz w:val="24"/>
      <w:szCs w:val="20"/>
      <w:lang w:eastAsia="ru-RU"/>
    </w:rPr>
  </w:style>
  <w:style w:type="paragraph" w:customStyle="1" w:styleId="310">
    <w:name w:val="Основной текст 31"/>
    <w:basedOn w:val="a6"/>
    <w:rsid w:val="00341240"/>
    <w:pPr>
      <w:overflowPunct w:val="0"/>
      <w:autoSpaceDE w:val="0"/>
      <w:autoSpaceDN w:val="0"/>
      <w:adjustRightInd w:val="0"/>
      <w:spacing w:after="0" w:line="240" w:lineRule="auto"/>
      <w:jc w:val="both"/>
      <w:textAlignment w:val="baseline"/>
    </w:pPr>
    <w:rPr>
      <w:rFonts w:ascii="Times New Roman" w:eastAsia="Times New Roman" w:hAnsi="Times New Roman" w:cs="Times New Roman"/>
      <w:b/>
      <w:sz w:val="24"/>
      <w:szCs w:val="20"/>
      <w:lang w:eastAsia="ru-RU"/>
    </w:rPr>
  </w:style>
  <w:style w:type="paragraph" w:customStyle="1" w:styleId="210">
    <w:name w:val="Основной текст 21"/>
    <w:basedOn w:val="a6"/>
    <w:rsid w:val="00341240"/>
    <w:pPr>
      <w:tabs>
        <w:tab w:val="left" w:pos="1440"/>
      </w:tabs>
      <w:overflowPunct w:val="0"/>
      <w:autoSpaceDE w:val="0"/>
      <w:autoSpaceDN w:val="0"/>
      <w:adjustRightInd w:val="0"/>
      <w:spacing w:after="0" w:line="240" w:lineRule="auto"/>
      <w:ind w:left="1080"/>
      <w:jc w:val="both"/>
      <w:textAlignment w:val="baseline"/>
    </w:pPr>
    <w:rPr>
      <w:rFonts w:ascii="Times New Roman CYR" w:eastAsia="Times New Roman" w:hAnsi="Times New Roman CYR" w:cs="Times New Roman"/>
      <w:i/>
      <w:sz w:val="24"/>
      <w:szCs w:val="20"/>
      <w:lang w:eastAsia="ru-RU"/>
    </w:rPr>
  </w:style>
  <w:style w:type="character" w:styleId="afe">
    <w:name w:val="Strong"/>
    <w:uiPriority w:val="22"/>
    <w:qFormat/>
    <w:rsid w:val="00341240"/>
    <w:rPr>
      <w:b/>
      <w:bCs/>
    </w:rPr>
  </w:style>
  <w:style w:type="paragraph" w:styleId="aff">
    <w:name w:val="Title"/>
    <w:basedOn w:val="a6"/>
    <w:link w:val="aff0"/>
    <w:qFormat/>
    <w:rsid w:val="00341240"/>
    <w:pPr>
      <w:autoSpaceDE w:val="0"/>
      <w:autoSpaceDN w:val="0"/>
      <w:adjustRightInd w:val="0"/>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7"/>
    <w:link w:val="aff"/>
    <w:rsid w:val="00341240"/>
    <w:rPr>
      <w:rFonts w:ascii="Times New Roman" w:eastAsia="Times New Roman" w:hAnsi="Times New Roman" w:cs="Times New Roman"/>
      <w:b/>
      <w:bCs/>
      <w:sz w:val="24"/>
      <w:szCs w:val="24"/>
      <w:lang w:eastAsia="ru-RU"/>
    </w:rPr>
  </w:style>
  <w:style w:type="paragraph" w:customStyle="1" w:styleId="Title3">
    <w:name w:val="Title 3"/>
    <w:basedOn w:val="a6"/>
    <w:qFormat/>
    <w:rsid w:val="00341240"/>
    <w:pPr>
      <w:keepNext/>
      <w:widowControl w:val="0"/>
      <w:numPr>
        <w:numId w:val="28"/>
      </w:numPr>
      <w:tabs>
        <w:tab w:val="left" w:pos="851"/>
      </w:tabs>
      <w:adjustRightInd w:val="0"/>
      <w:spacing w:before="360" w:after="0" w:line="240" w:lineRule="auto"/>
      <w:jc w:val="both"/>
      <w:textAlignment w:val="baseline"/>
    </w:pPr>
    <w:rPr>
      <w:rFonts w:ascii="Times New Roman" w:eastAsia="Times New Roman" w:hAnsi="Times New Roman" w:cs="Times New Roman"/>
      <w:b/>
      <w:sz w:val="24"/>
      <w:szCs w:val="24"/>
    </w:rPr>
  </w:style>
  <w:style w:type="paragraph" w:customStyle="1" w:styleId="Point">
    <w:name w:val="Point"/>
    <w:basedOn w:val="Title3"/>
    <w:qFormat/>
    <w:rsid w:val="00341240"/>
    <w:pPr>
      <w:keepNext w:val="0"/>
      <w:numPr>
        <w:ilvl w:val="1"/>
      </w:numPr>
      <w:tabs>
        <w:tab w:val="clear" w:pos="851"/>
      </w:tabs>
      <w:spacing w:before="240"/>
    </w:pPr>
    <w:rPr>
      <w:b w:val="0"/>
      <w:bCs/>
    </w:rPr>
  </w:style>
  <w:style w:type="paragraph" w:customStyle="1" w:styleId="Point2">
    <w:name w:val="Point 2"/>
    <w:basedOn w:val="Point"/>
    <w:qFormat/>
    <w:rsid w:val="00341240"/>
    <w:pPr>
      <w:numPr>
        <w:ilvl w:val="2"/>
      </w:numPr>
      <w:tabs>
        <w:tab w:val="left" w:pos="851"/>
      </w:tabs>
      <w:spacing w:before="120"/>
      <w:ind w:left="851" w:hanging="851"/>
    </w:pPr>
    <w:rPr>
      <w:rFonts w:cs="Arial"/>
    </w:rPr>
  </w:style>
  <w:style w:type="paragraph" w:customStyle="1" w:styleId="Point3">
    <w:name w:val="Point 3"/>
    <w:basedOn w:val="a6"/>
    <w:qFormat/>
    <w:rsid w:val="00341240"/>
    <w:pPr>
      <w:widowControl w:val="0"/>
      <w:numPr>
        <w:ilvl w:val="3"/>
        <w:numId w:val="28"/>
      </w:numPr>
      <w:tabs>
        <w:tab w:val="left" w:pos="993"/>
        <w:tab w:val="left" w:pos="1418"/>
      </w:tabs>
      <w:adjustRightInd w:val="0"/>
      <w:spacing w:before="60" w:after="0" w:line="360" w:lineRule="atLeast"/>
      <w:ind w:left="993" w:hanging="993"/>
      <w:jc w:val="both"/>
      <w:textAlignment w:val="baseline"/>
    </w:pPr>
    <w:rPr>
      <w:rFonts w:ascii="Times New Roman" w:eastAsia="Times New Roman" w:hAnsi="Times New Roman" w:cs="Arial"/>
      <w:sz w:val="24"/>
      <w:szCs w:val="20"/>
    </w:rPr>
  </w:style>
  <w:style w:type="paragraph" w:customStyle="1" w:styleId="aff1">
    <w:name w:val="Текст таб"/>
    <w:basedOn w:val="a6"/>
    <w:qFormat/>
    <w:rsid w:val="00341240"/>
    <w:pPr>
      <w:spacing w:before="120" w:after="0" w:line="240" w:lineRule="auto"/>
      <w:ind w:left="709"/>
      <w:jc w:val="both"/>
    </w:pPr>
    <w:rPr>
      <w:rFonts w:ascii="Times New Roman" w:eastAsia="Calibri" w:hAnsi="Times New Roman" w:cs="Times New Roman"/>
      <w:sz w:val="24"/>
      <w:szCs w:val="24"/>
    </w:rPr>
  </w:style>
  <w:style w:type="paragraph" w:customStyle="1" w:styleId="Pointmark">
    <w:name w:val="Point (mark)"/>
    <w:next w:val="aff2"/>
    <w:link w:val="Pointmark0"/>
    <w:rsid w:val="00341240"/>
    <w:pPr>
      <w:numPr>
        <w:numId w:val="29"/>
      </w:numPr>
      <w:spacing w:before="60" w:after="0" w:line="240" w:lineRule="auto"/>
      <w:jc w:val="both"/>
    </w:pPr>
    <w:rPr>
      <w:rFonts w:ascii="Times New Roman" w:eastAsia="Times New Roman" w:hAnsi="Times New Roman" w:cs="Arial"/>
      <w:sz w:val="24"/>
      <w:szCs w:val="20"/>
    </w:rPr>
  </w:style>
  <w:style w:type="character" w:styleId="aff3">
    <w:name w:val="Hyperlink"/>
    <w:rsid w:val="00341240"/>
    <w:rPr>
      <w:color w:val="0000FF"/>
      <w:u w:val="single"/>
    </w:rPr>
  </w:style>
  <w:style w:type="paragraph" w:styleId="aff4">
    <w:name w:val="Normal (Web)"/>
    <w:basedOn w:val="a6"/>
    <w:uiPriority w:val="99"/>
    <w:rsid w:val="003412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
    <w:name w:val="Пункт -"/>
    <w:basedOn w:val="a6"/>
    <w:qFormat/>
    <w:rsid w:val="00341240"/>
    <w:pPr>
      <w:numPr>
        <w:ilvl w:val="3"/>
        <w:numId w:val="30"/>
      </w:numPr>
      <w:tabs>
        <w:tab w:val="clear" w:pos="360"/>
        <w:tab w:val="left" w:pos="1418"/>
      </w:tabs>
      <w:overflowPunct w:val="0"/>
      <w:autoSpaceDE w:val="0"/>
      <w:autoSpaceDN w:val="0"/>
      <w:adjustRightInd w:val="0"/>
      <w:spacing w:before="60" w:after="0" w:line="240" w:lineRule="auto"/>
      <w:ind w:left="1418" w:hanging="567"/>
      <w:jc w:val="both"/>
      <w:textAlignment w:val="baseline"/>
    </w:pPr>
    <w:rPr>
      <w:rFonts w:ascii="Times New Roman" w:eastAsia="Times New Roman" w:hAnsi="Times New Roman" w:cs="Times New Roman"/>
      <w:sz w:val="24"/>
      <w:szCs w:val="20"/>
      <w:lang w:eastAsia="ru-RU"/>
    </w:rPr>
  </w:style>
  <w:style w:type="character" w:customStyle="1" w:styleId="Iauiue30">
    <w:name w:val="Iau?iue3 Знак"/>
    <w:link w:val="Iauiue3"/>
    <w:rsid w:val="00341240"/>
    <w:rPr>
      <w:rFonts w:ascii="Baltica" w:eastAsia="Times New Roman" w:hAnsi="Baltica" w:cs="Times New Roman"/>
      <w:sz w:val="24"/>
      <w:lang w:eastAsia="ru-RU"/>
    </w:rPr>
  </w:style>
  <w:style w:type="paragraph" w:customStyle="1" w:styleId="1">
    <w:name w:val="Список 1"/>
    <w:basedOn w:val="a6"/>
    <w:qFormat/>
    <w:rsid w:val="00341240"/>
    <w:pPr>
      <w:numPr>
        <w:numId w:val="31"/>
      </w:numPr>
      <w:tabs>
        <w:tab w:val="left" w:pos="709"/>
      </w:tabs>
      <w:spacing w:before="360" w:after="0" w:line="240" w:lineRule="auto"/>
      <w:jc w:val="both"/>
    </w:pPr>
    <w:rPr>
      <w:rFonts w:ascii="Times New Roman" w:eastAsia="Times New Roman" w:hAnsi="Times New Roman" w:cs="Times New Roman"/>
      <w:b/>
      <w:sz w:val="28"/>
      <w:szCs w:val="28"/>
      <w:lang w:eastAsia="ru-RU"/>
    </w:rPr>
  </w:style>
  <w:style w:type="paragraph" w:customStyle="1" w:styleId="20">
    <w:name w:val="2 Список"/>
    <w:basedOn w:val="a6"/>
    <w:qFormat/>
    <w:rsid w:val="00341240"/>
    <w:pPr>
      <w:numPr>
        <w:ilvl w:val="1"/>
        <w:numId w:val="31"/>
      </w:numPr>
      <w:spacing w:before="240" w:after="0" w:line="240" w:lineRule="auto"/>
      <w:jc w:val="both"/>
    </w:pPr>
    <w:rPr>
      <w:rFonts w:ascii="Times New Roman" w:eastAsia="Times New Roman" w:hAnsi="Times New Roman" w:cs="Times New Roman"/>
      <w:b/>
      <w:sz w:val="24"/>
      <w:szCs w:val="24"/>
      <w:lang w:eastAsia="ru-RU"/>
    </w:rPr>
  </w:style>
  <w:style w:type="paragraph" w:customStyle="1" w:styleId="Title1">
    <w:name w:val="Title 1"/>
    <w:qFormat/>
    <w:rsid w:val="00341240"/>
    <w:pPr>
      <w:keepNext/>
      <w:keepLines/>
      <w:pageBreakBefore/>
      <w:numPr>
        <w:numId w:val="32"/>
      </w:numPr>
      <w:spacing w:after="0" w:line="240" w:lineRule="auto"/>
      <w:jc w:val="both"/>
    </w:pPr>
    <w:rPr>
      <w:rFonts w:ascii="Times New Roman" w:eastAsia="Times New Roman" w:hAnsi="Times New Roman" w:cs="Times New Roman"/>
      <w:b/>
      <w:sz w:val="24"/>
      <w:szCs w:val="24"/>
    </w:rPr>
  </w:style>
  <w:style w:type="paragraph" w:customStyle="1" w:styleId="Title2">
    <w:name w:val="Title 2"/>
    <w:basedOn w:val="Title1"/>
    <w:qFormat/>
    <w:rsid w:val="00341240"/>
    <w:pPr>
      <w:numPr>
        <w:ilvl w:val="1"/>
      </w:numPr>
    </w:pPr>
    <w:rPr>
      <w:lang w:val="en-US"/>
    </w:rPr>
  </w:style>
  <w:style w:type="paragraph" w:customStyle="1" w:styleId="Headcenter">
    <w:name w:val="Head center"/>
    <w:basedOn w:val="a6"/>
    <w:rsid w:val="00341240"/>
    <w:pPr>
      <w:keepLines/>
      <w:tabs>
        <w:tab w:val="right" w:pos="9356"/>
      </w:tabs>
      <w:spacing w:after="0" w:line="240" w:lineRule="auto"/>
      <w:ind w:left="142"/>
      <w:jc w:val="center"/>
    </w:pPr>
    <w:rPr>
      <w:rFonts w:ascii="Times New Roman" w:eastAsia="Times New Roman" w:hAnsi="Times New Roman" w:cs="Arial"/>
      <w:b/>
      <w:bCs/>
      <w:noProof/>
      <w:sz w:val="32"/>
      <w:szCs w:val="24"/>
      <w:lang w:eastAsia="ru-RU"/>
    </w:rPr>
  </w:style>
  <w:style w:type="character" w:customStyle="1" w:styleId="bullet">
    <w:name w:val="bullet"/>
    <w:basedOn w:val="a7"/>
    <w:rsid w:val="00341240"/>
  </w:style>
  <w:style w:type="paragraph" w:customStyle="1" w:styleId="Pointmarko">
    <w:name w:val="Point (mark) o"/>
    <w:basedOn w:val="Pointmark"/>
    <w:qFormat/>
    <w:rsid w:val="00341240"/>
    <w:pPr>
      <w:numPr>
        <w:numId w:val="33"/>
      </w:numPr>
      <w:spacing w:before="0"/>
      <w:ind w:left="1985" w:hanging="567"/>
    </w:pPr>
  </w:style>
  <w:style w:type="paragraph" w:customStyle="1" w:styleId="a0">
    <w:name w:val="Раздел"/>
    <w:basedOn w:val="a6"/>
    <w:qFormat/>
    <w:rsid w:val="00341240"/>
    <w:pPr>
      <w:keepNext/>
      <w:numPr>
        <w:numId w:val="34"/>
      </w:numPr>
      <w:spacing w:before="360" w:after="0" w:line="240" w:lineRule="auto"/>
      <w:jc w:val="both"/>
    </w:pPr>
    <w:rPr>
      <w:rFonts w:ascii="Times New Roman" w:eastAsia="Times New Roman" w:hAnsi="Times New Roman" w:cs="Times New Roman"/>
      <w:b/>
      <w:sz w:val="24"/>
      <w:szCs w:val="24"/>
      <w:lang w:eastAsia="ru-RU"/>
    </w:rPr>
  </w:style>
  <w:style w:type="paragraph" w:customStyle="1" w:styleId="a1">
    <w:name w:val="Пункт"/>
    <w:basedOn w:val="a6"/>
    <w:qFormat/>
    <w:rsid w:val="00341240"/>
    <w:pPr>
      <w:numPr>
        <w:ilvl w:val="1"/>
        <w:numId w:val="34"/>
      </w:numPr>
      <w:spacing w:before="240" w:after="0" w:line="240" w:lineRule="auto"/>
      <w:jc w:val="both"/>
    </w:pPr>
    <w:rPr>
      <w:rFonts w:ascii="Times New Roman" w:eastAsia="Calibri" w:hAnsi="Times New Roman" w:cs="Times New Roman"/>
      <w:sz w:val="24"/>
      <w:szCs w:val="24"/>
    </w:rPr>
  </w:style>
  <w:style w:type="paragraph" w:customStyle="1" w:styleId="aff5">
    <w:name w:val="Комментарий"/>
    <w:basedOn w:val="a"/>
    <w:qFormat/>
    <w:rsid w:val="00341240"/>
    <w:pPr>
      <w:numPr>
        <w:numId w:val="0"/>
      </w:numPr>
      <w:ind w:left="1985"/>
    </w:pPr>
    <w:rPr>
      <w:color w:val="000080"/>
    </w:rPr>
  </w:style>
  <w:style w:type="paragraph" w:customStyle="1" w:styleId="a3">
    <w:name w:val="Пункт со скобкой"/>
    <w:basedOn w:val="a6"/>
    <w:qFormat/>
    <w:rsid w:val="00341240"/>
    <w:pPr>
      <w:numPr>
        <w:numId w:val="35"/>
      </w:numPr>
      <w:tabs>
        <w:tab w:val="left" w:pos="851"/>
      </w:tabs>
      <w:spacing w:before="240" w:after="0" w:line="240" w:lineRule="auto"/>
      <w:jc w:val="both"/>
    </w:pPr>
    <w:rPr>
      <w:rFonts w:ascii="Times New Roman" w:eastAsia="Times New Roman" w:hAnsi="Times New Roman" w:cs="Times New Roman"/>
      <w:sz w:val="24"/>
      <w:szCs w:val="24"/>
      <w:lang w:bidi="en-US"/>
    </w:rPr>
  </w:style>
  <w:style w:type="paragraph" w:styleId="HTML">
    <w:name w:val="HTML Preformatted"/>
    <w:basedOn w:val="a6"/>
    <w:link w:val="HTML0"/>
    <w:uiPriority w:val="99"/>
    <w:unhideWhenUsed/>
    <w:rsid w:val="00341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7"/>
    <w:link w:val="HTML"/>
    <w:uiPriority w:val="99"/>
    <w:rsid w:val="00341240"/>
    <w:rPr>
      <w:rFonts w:ascii="Courier New" w:eastAsia="Times New Roman" w:hAnsi="Courier New" w:cs="Courier New"/>
      <w:sz w:val="20"/>
      <w:szCs w:val="20"/>
      <w:lang w:eastAsia="ru-RU"/>
    </w:rPr>
  </w:style>
  <w:style w:type="table" w:styleId="aff6">
    <w:name w:val="Colorful Shading"/>
    <w:basedOn w:val="a8"/>
    <w:uiPriority w:val="71"/>
    <w:rsid w:val="00341240"/>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paragraph" w:customStyle="1" w:styleId="26">
    <w:name w:val="Обычный2"/>
    <w:rsid w:val="00341240"/>
    <w:pPr>
      <w:spacing w:after="0" w:line="240" w:lineRule="auto"/>
    </w:pPr>
    <w:rPr>
      <w:rFonts w:ascii="Times New Roman" w:eastAsia="Times New Roman" w:hAnsi="Times New Roman" w:cs="Times New Roman"/>
      <w:sz w:val="20"/>
      <w:szCs w:val="20"/>
      <w:lang w:eastAsia="ru-RU"/>
    </w:rPr>
  </w:style>
  <w:style w:type="numbering" w:customStyle="1" w:styleId="10">
    <w:name w:val="Стиль1"/>
    <w:uiPriority w:val="99"/>
    <w:rsid w:val="00341240"/>
    <w:pPr>
      <w:numPr>
        <w:numId w:val="36"/>
      </w:numPr>
    </w:pPr>
  </w:style>
  <w:style w:type="table" w:styleId="aff7">
    <w:name w:val="Table Grid"/>
    <w:basedOn w:val="a8"/>
    <w:uiPriority w:val="59"/>
    <w:rsid w:val="0034124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Revision"/>
    <w:hidden/>
    <w:uiPriority w:val="99"/>
    <w:semiHidden/>
    <w:rsid w:val="00341240"/>
    <w:pPr>
      <w:spacing w:after="0" w:line="240" w:lineRule="auto"/>
    </w:pPr>
    <w:rPr>
      <w:rFonts w:ascii="Calibri" w:eastAsia="Calibri" w:hAnsi="Calibri" w:cs="Times New Roman"/>
    </w:rPr>
  </w:style>
  <w:style w:type="numbering" w:customStyle="1" w:styleId="27">
    <w:name w:val="Нет списка2"/>
    <w:next w:val="a9"/>
    <w:uiPriority w:val="99"/>
    <w:semiHidden/>
    <w:unhideWhenUsed/>
    <w:rsid w:val="00341240"/>
  </w:style>
  <w:style w:type="numbering" w:customStyle="1" w:styleId="120">
    <w:name w:val="Нет списка12"/>
    <w:next w:val="a9"/>
    <w:uiPriority w:val="99"/>
    <w:semiHidden/>
    <w:unhideWhenUsed/>
    <w:rsid w:val="00341240"/>
  </w:style>
  <w:style w:type="paragraph" w:customStyle="1" w:styleId="Default">
    <w:name w:val="Default"/>
    <w:rsid w:val="0034124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onsNormal">
    <w:name w:val="ConsNormal"/>
    <w:rsid w:val="0034124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12">
    <w:name w:val="Стиль11"/>
    <w:uiPriority w:val="99"/>
    <w:rsid w:val="00341240"/>
  </w:style>
  <w:style w:type="paragraph" w:customStyle="1" w:styleId="a4">
    <w:name w:val="Раздел договора"/>
    <w:basedOn w:val="a6"/>
    <w:qFormat/>
    <w:rsid w:val="00341240"/>
    <w:pPr>
      <w:keepNext/>
      <w:numPr>
        <w:numId w:val="37"/>
      </w:numPr>
      <w:autoSpaceDE w:val="0"/>
      <w:autoSpaceDN w:val="0"/>
      <w:spacing w:before="240" w:after="0" w:line="360" w:lineRule="auto"/>
      <w:jc w:val="both"/>
      <w:outlineLvl w:val="2"/>
    </w:pPr>
    <w:rPr>
      <w:rFonts w:ascii="Times New Roman" w:eastAsia="MS Mincho" w:hAnsi="Times New Roman" w:cs="Arial"/>
      <w:b/>
      <w:bCs/>
      <w:noProof/>
      <w:sz w:val="24"/>
      <w:szCs w:val="20"/>
      <w:lang w:eastAsia="ru-RU"/>
    </w:rPr>
  </w:style>
  <w:style w:type="paragraph" w:customStyle="1" w:styleId="a5">
    <w:name w:val="Пункт договора"/>
    <w:basedOn w:val="a6"/>
    <w:qFormat/>
    <w:rsid w:val="00341240"/>
    <w:pPr>
      <w:numPr>
        <w:ilvl w:val="1"/>
        <w:numId w:val="37"/>
      </w:numPr>
      <w:spacing w:before="240" w:after="0" w:line="360" w:lineRule="auto"/>
      <w:jc w:val="both"/>
    </w:pPr>
    <w:rPr>
      <w:rFonts w:ascii="Times New Roman" w:eastAsia="MS Mincho" w:hAnsi="Times New Roman" w:cs="Arial"/>
      <w:iCs/>
      <w:sz w:val="24"/>
      <w:szCs w:val="20"/>
      <w:lang w:eastAsia="ru-RU"/>
    </w:rPr>
  </w:style>
  <w:style w:type="paragraph" w:customStyle="1" w:styleId="aff9">
    <w:name w:val="Текст без отступа"/>
    <w:basedOn w:val="aff4"/>
    <w:link w:val="affa"/>
    <w:qFormat/>
    <w:rsid w:val="00341240"/>
    <w:pPr>
      <w:tabs>
        <w:tab w:val="right" w:pos="9356"/>
      </w:tabs>
      <w:autoSpaceDE w:val="0"/>
      <w:autoSpaceDN w:val="0"/>
      <w:ind w:left="142"/>
      <w:jc w:val="both"/>
    </w:pPr>
    <w:rPr>
      <w:rFonts w:eastAsia="Calibri"/>
      <w:noProof/>
    </w:rPr>
  </w:style>
  <w:style w:type="character" w:customStyle="1" w:styleId="affa">
    <w:name w:val="Текст без отступа Знак"/>
    <w:link w:val="aff9"/>
    <w:rsid w:val="00341240"/>
    <w:rPr>
      <w:rFonts w:ascii="Times New Roman" w:eastAsia="Calibri" w:hAnsi="Times New Roman" w:cs="Times New Roman"/>
      <w:noProof/>
      <w:sz w:val="24"/>
      <w:szCs w:val="24"/>
      <w:lang w:eastAsia="ru-RU"/>
    </w:rPr>
  </w:style>
  <w:style w:type="numbering" w:customStyle="1" w:styleId="121">
    <w:name w:val="Стиль12"/>
    <w:uiPriority w:val="99"/>
    <w:rsid w:val="00341240"/>
  </w:style>
  <w:style w:type="table" w:customStyle="1" w:styleId="17">
    <w:name w:val="Сетка таблицы1"/>
    <w:basedOn w:val="a8"/>
    <w:next w:val="aff7"/>
    <w:rsid w:val="00341240"/>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8"/>
    <w:next w:val="aff7"/>
    <w:rsid w:val="00341240"/>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8"/>
    <w:next w:val="aff7"/>
    <w:rsid w:val="00341240"/>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8"/>
    <w:next w:val="aff7"/>
    <w:rsid w:val="00341240"/>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Стиль13"/>
    <w:uiPriority w:val="99"/>
    <w:rsid w:val="00341240"/>
  </w:style>
  <w:style w:type="numbering" w:customStyle="1" w:styleId="140">
    <w:name w:val="Стиль14"/>
    <w:uiPriority w:val="99"/>
    <w:rsid w:val="00341240"/>
  </w:style>
  <w:style w:type="paragraph" w:customStyle="1" w:styleId="1114">
    <w:name w:val="Стиль 1.1 14 Ж"/>
    <w:basedOn w:val="a6"/>
    <w:link w:val="11140"/>
    <w:qFormat/>
    <w:rsid w:val="00341240"/>
    <w:pPr>
      <w:tabs>
        <w:tab w:val="right" w:pos="9356"/>
      </w:tabs>
      <w:autoSpaceDE w:val="0"/>
      <w:autoSpaceDN w:val="0"/>
      <w:spacing w:after="0" w:line="360" w:lineRule="auto"/>
      <w:ind w:firstLine="709"/>
      <w:jc w:val="both"/>
    </w:pPr>
    <w:rPr>
      <w:rFonts w:ascii="Times New Roman" w:eastAsia="Calibri" w:hAnsi="Times New Roman" w:cs="Arial"/>
      <w:b/>
      <w:noProof/>
      <w:sz w:val="28"/>
      <w:szCs w:val="28"/>
      <w:lang w:eastAsia="ru-RU"/>
    </w:rPr>
  </w:style>
  <w:style w:type="character" w:customStyle="1" w:styleId="11140">
    <w:name w:val="Стиль 1.1 14 Ж Знак"/>
    <w:link w:val="1114"/>
    <w:rsid w:val="00341240"/>
    <w:rPr>
      <w:rFonts w:ascii="Times New Roman" w:eastAsia="Calibri" w:hAnsi="Times New Roman" w:cs="Arial"/>
      <w:b/>
      <w:noProof/>
      <w:sz w:val="28"/>
      <w:szCs w:val="28"/>
      <w:lang w:eastAsia="ru-RU"/>
    </w:rPr>
  </w:style>
  <w:style w:type="numbering" w:customStyle="1" w:styleId="15">
    <w:name w:val="Стиль15"/>
    <w:uiPriority w:val="99"/>
    <w:rsid w:val="00341240"/>
    <w:pPr>
      <w:numPr>
        <w:numId w:val="81"/>
      </w:numPr>
    </w:pPr>
  </w:style>
  <w:style w:type="paragraph" w:styleId="affb">
    <w:name w:val="caption"/>
    <w:basedOn w:val="a6"/>
    <w:next w:val="a6"/>
    <w:uiPriority w:val="35"/>
    <w:unhideWhenUsed/>
    <w:qFormat/>
    <w:rsid w:val="00341240"/>
    <w:pPr>
      <w:spacing w:line="240" w:lineRule="auto"/>
    </w:pPr>
    <w:rPr>
      <w:rFonts w:ascii="Calibri" w:eastAsia="Calibri" w:hAnsi="Calibri" w:cs="Times New Roman"/>
      <w:b/>
      <w:bCs/>
      <w:color w:val="4F81BD"/>
      <w:sz w:val="18"/>
      <w:szCs w:val="18"/>
    </w:rPr>
  </w:style>
  <w:style w:type="table" w:customStyle="1" w:styleId="18">
    <w:name w:val="Цветная заливка1"/>
    <w:basedOn w:val="a8"/>
    <w:next w:val="aff6"/>
    <w:uiPriority w:val="71"/>
    <w:rsid w:val="00341240"/>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paragraph" w:customStyle="1" w:styleId="Texttab">
    <w:name w:val="Text tab"/>
    <w:basedOn w:val="a6"/>
    <w:link w:val="Texttab0"/>
    <w:qFormat/>
    <w:rsid w:val="00341240"/>
    <w:pPr>
      <w:tabs>
        <w:tab w:val="right" w:pos="851"/>
      </w:tabs>
      <w:spacing w:after="0" w:line="240" w:lineRule="auto"/>
      <w:ind w:left="851"/>
      <w:jc w:val="both"/>
    </w:pPr>
    <w:rPr>
      <w:rFonts w:ascii="Times New Roman" w:eastAsia="Times New Roman" w:hAnsi="Times New Roman" w:cs="Times New Roman"/>
      <w:iCs/>
      <w:noProof/>
      <w:sz w:val="24"/>
      <w:szCs w:val="24"/>
      <w:lang w:val="x-none" w:eastAsia="x-none"/>
    </w:rPr>
  </w:style>
  <w:style w:type="character" w:customStyle="1" w:styleId="Texttab0">
    <w:name w:val="Text tab Знак"/>
    <w:link w:val="Texttab"/>
    <w:rsid w:val="00341240"/>
    <w:rPr>
      <w:rFonts w:ascii="Times New Roman" w:eastAsia="Times New Roman" w:hAnsi="Times New Roman" w:cs="Times New Roman"/>
      <w:iCs/>
      <w:noProof/>
      <w:sz w:val="24"/>
      <w:szCs w:val="24"/>
      <w:lang w:val="x-none" w:eastAsia="x-none"/>
    </w:rPr>
  </w:style>
  <w:style w:type="paragraph" w:customStyle="1" w:styleId="affc">
    <w:name w:val="текст обычный"/>
    <w:basedOn w:val="Pointmark"/>
    <w:link w:val="affd"/>
    <w:qFormat/>
    <w:rsid w:val="00341240"/>
    <w:pPr>
      <w:numPr>
        <w:numId w:val="0"/>
      </w:numPr>
    </w:pPr>
  </w:style>
  <w:style w:type="paragraph" w:styleId="aff2">
    <w:name w:val="Normal Indent"/>
    <w:basedOn w:val="a6"/>
    <w:uiPriority w:val="99"/>
    <w:semiHidden/>
    <w:unhideWhenUsed/>
    <w:rsid w:val="00341240"/>
    <w:pPr>
      <w:ind w:left="708"/>
    </w:pPr>
    <w:rPr>
      <w:rFonts w:ascii="Calibri" w:eastAsia="Calibri" w:hAnsi="Calibri" w:cs="Times New Roman"/>
    </w:rPr>
  </w:style>
  <w:style w:type="character" w:customStyle="1" w:styleId="Pointmark0">
    <w:name w:val="Point (mark) Знак"/>
    <w:basedOn w:val="a7"/>
    <w:link w:val="Pointmark"/>
    <w:rsid w:val="00341240"/>
    <w:rPr>
      <w:rFonts w:ascii="Times New Roman" w:eastAsia="Times New Roman" w:hAnsi="Times New Roman" w:cs="Arial"/>
      <w:sz w:val="24"/>
      <w:szCs w:val="20"/>
    </w:rPr>
  </w:style>
  <w:style w:type="character" w:customStyle="1" w:styleId="affd">
    <w:name w:val="текст обычный Знак"/>
    <w:basedOn w:val="Pointmark0"/>
    <w:link w:val="affc"/>
    <w:rsid w:val="00341240"/>
    <w:rPr>
      <w:rFonts w:ascii="Times New Roman" w:eastAsia="Times New Roman" w:hAnsi="Times New Roman" w:cs="Arial"/>
      <w:sz w:val="24"/>
      <w:szCs w:val="20"/>
    </w:rPr>
  </w:style>
  <w:style w:type="paragraph" w:customStyle="1" w:styleId="21">
    <w:name w:val="Стиль2 с мал т"/>
    <w:basedOn w:val="a"/>
    <w:link w:val="29"/>
    <w:qFormat/>
    <w:rsid w:val="00341240"/>
    <w:pPr>
      <w:numPr>
        <w:numId w:val="38"/>
      </w:numPr>
    </w:pPr>
  </w:style>
  <w:style w:type="character" w:customStyle="1" w:styleId="ad">
    <w:name w:val="Пункт с точкой Знак"/>
    <w:basedOn w:val="32"/>
    <w:link w:val="a"/>
    <w:rsid w:val="00341240"/>
    <w:rPr>
      <w:rFonts w:ascii="Times New Roman" w:eastAsia="Times New Roman" w:hAnsi="Times New Roman" w:cs="Times New Roman"/>
      <w:bCs/>
      <w:sz w:val="24"/>
      <w:szCs w:val="24"/>
      <w:lang w:eastAsia="ru-RU"/>
    </w:rPr>
  </w:style>
  <w:style w:type="character" w:customStyle="1" w:styleId="29">
    <w:name w:val="Стиль2 с мал т Знак"/>
    <w:basedOn w:val="ad"/>
    <w:link w:val="21"/>
    <w:rsid w:val="00341240"/>
    <w:rPr>
      <w:rFonts w:ascii="Times New Roman" w:eastAsia="Times New Roman" w:hAnsi="Times New Roman" w:cs="Times New Roman"/>
      <w:bCs/>
      <w:sz w:val="24"/>
      <w:szCs w:val="24"/>
      <w:lang w:eastAsia="ru-RU"/>
    </w:rPr>
  </w:style>
  <w:style w:type="character" w:customStyle="1" w:styleId="apple-converted-space">
    <w:name w:val="apple-converted-space"/>
    <w:basedOn w:val="a7"/>
    <w:rsid w:val="00341240"/>
  </w:style>
  <w:style w:type="paragraph" w:customStyle="1" w:styleId="Text-10-TimesNewRoman">
    <w:name w:val="Text - 10 - Times New Roman"/>
    <w:basedOn w:val="24"/>
    <w:link w:val="Text-10-TimesNewRomanChar"/>
    <w:autoRedefine/>
    <w:qFormat/>
    <w:rsid w:val="00341240"/>
    <w:pPr>
      <w:spacing w:after="0" w:line="240" w:lineRule="auto"/>
      <w:jc w:val="both"/>
    </w:pPr>
    <w:rPr>
      <w:rFonts w:ascii="Tahoma" w:eastAsia="MS Mincho" w:hAnsi="Tahoma" w:cs="Tahoma"/>
      <w:noProof/>
      <w:snapToGrid w:val="0"/>
      <w:lang w:eastAsia="x-none"/>
    </w:rPr>
  </w:style>
  <w:style w:type="character" w:customStyle="1" w:styleId="Text-10-TimesNewRomanChar">
    <w:name w:val="Text - 10 - Times New Roman Char"/>
    <w:link w:val="Text-10-TimesNewRoman"/>
    <w:rsid w:val="00341240"/>
    <w:rPr>
      <w:rFonts w:ascii="Tahoma" w:eastAsia="MS Mincho" w:hAnsi="Tahoma" w:cs="Tahoma"/>
      <w:noProof/>
      <w:snapToGrid w:val="0"/>
      <w:lang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style>
  <w:style w:type="paragraph" w:styleId="11">
    <w:name w:val="heading 1"/>
    <w:basedOn w:val="a6"/>
    <w:next w:val="a6"/>
    <w:link w:val="12"/>
    <w:qFormat/>
    <w:rsid w:val="00341240"/>
    <w:pPr>
      <w:keepNext/>
      <w:widowControl w:val="0"/>
      <w:overflowPunct w:val="0"/>
      <w:autoSpaceDE w:val="0"/>
      <w:autoSpaceDN w:val="0"/>
      <w:adjustRightInd w:val="0"/>
      <w:spacing w:before="240" w:after="60" w:line="240" w:lineRule="auto"/>
      <w:textAlignment w:val="baseline"/>
      <w:outlineLvl w:val="0"/>
    </w:pPr>
    <w:rPr>
      <w:rFonts w:ascii="Arial" w:eastAsia="Times New Roman" w:hAnsi="Arial" w:cs="Arial"/>
      <w:b/>
      <w:bCs/>
      <w:kern w:val="32"/>
      <w:sz w:val="32"/>
      <w:szCs w:val="32"/>
      <w:lang w:eastAsia="ru-RU"/>
    </w:rPr>
  </w:style>
  <w:style w:type="paragraph" w:styleId="22">
    <w:name w:val="heading 2"/>
    <w:basedOn w:val="a6"/>
    <w:next w:val="a6"/>
    <w:link w:val="23"/>
    <w:qFormat/>
    <w:rsid w:val="00341240"/>
    <w:pPr>
      <w:keepNext/>
      <w:widowControl w:val="0"/>
      <w:overflowPunct w:val="0"/>
      <w:autoSpaceDE w:val="0"/>
      <w:autoSpaceDN w:val="0"/>
      <w:adjustRightInd w:val="0"/>
      <w:spacing w:before="240" w:after="60" w:line="240" w:lineRule="auto"/>
      <w:textAlignment w:val="baseline"/>
      <w:outlineLvl w:val="1"/>
    </w:pPr>
    <w:rPr>
      <w:rFonts w:ascii="Cambria" w:eastAsia="Times New Roman" w:hAnsi="Cambria" w:cs="Times New Roman"/>
      <w:b/>
      <w:bCs/>
      <w:i/>
      <w:iCs/>
      <w:sz w:val="28"/>
      <w:szCs w:val="28"/>
      <w:lang w:eastAsia="ru-RU"/>
    </w:rPr>
  </w:style>
  <w:style w:type="paragraph" w:styleId="3">
    <w:name w:val="heading 3"/>
    <w:basedOn w:val="a6"/>
    <w:next w:val="a6"/>
    <w:link w:val="30"/>
    <w:qFormat/>
    <w:rsid w:val="00341240"/>
    <w:pPr>
      <w:keepNext/>
      <w:widowControl w:val="0"/>
      <w:overflowPunct w:val="0"/>
      <w:autoSpaceDE w:val="0"/>
      <w:autoSpaceDN w:val="0"/>
      <w:adjustRightInd w:val="0"/>
      <w:spacing w:before="240" w:after="60" w:line="240" w:lineRule="auto"/>
      <w:textAlignment w:val="baseline"/>
      <w:outlineLvl w:val="2"/>
    </w:pPr>
    <w:rPr>
      <w:rFonts w:ascii="Cambria" w:eastAsia="Times New Roman" w:hAnsi="Cambria" w:cs="Times New Roman"/>
      <w:b/>
      <w:bCs/>
      <w:sz w:val="26"/>
      <w:szCs w:val="26"/>
      <w:lang w:eastAsia="ru-RU"/>
    </w:rPr>
  </w:style>
  <w:style w:type="paragraph" w:styleId="4">
    <w:name w:val="heading 4"/>
    <w:basedOn w:val="a6"/>
    <w:next w:val="a6"/>
    <w:link w:val="40"/>
    <w:qFormat/>
    <w:rsid w:val="00341240"/>
    <w:pPr>
      <w:tabs>
        <w:tab w:val="num" w:pos="851"/>
        <w:tab w:val="right" w:pos="9356"/>
      </w:tabs>
      <w:autoSpaceDE w:val="0"/>
      <w:autoSpaceDN w:val="0"/>
      <w:spacing w:before="60" w:after="0" w:line="360" w:lineRule="auto"/>
      <w:ind w:left="851" w:hanging="851"/>
      <w:jc w:val="both"/>
      <w:outlineLvl w:val="3"/>
    </w:pPr>
    <w:rPr>
      <w:rFonts w:ascii="Times New Roman" w:eastAsia="Calibri" w:hAnsi="Times New Roman" w:cs="Times New Roman"/>
      <w:bCs/>
      <w:noProof/>
      <w:sz w:val="24"/>
      <w:szCs w:val="28"/>
      <w:lang w:val="x-none" w:eastAsia="x-none"/>
    </w:rPr>
  </w:style>
  <w:style w:type="paragraph" w:styleId="5">
    <w:name w:val="heading 5"/>
    <w:basedOn w:val="a6"/>
    <w:next w:val="a6"/>
    <w:link w:val="50"/>
    <w:qFormat/>
    <w:rsid w:val="00341240"/>
    <w:pPr>
      <w:keepNext/>
      <w:overflowPunct w:val="0"/>
      <w:autoSpaceDE w:val="0"/>
      <w:autoSpaceDN w:val="0"/>
      <w:adjustRightInd w:val="0"/>
      <w:spacing w:after="0" w:line="240" w:lineRule="auto"/>
      <w:ind w:left="851" w:right="-242" w:firstLine="425"/>
      <w:jc w:val="both"/>
      <w:textAlignment w:val="baseline"/>
      <w:outlineLvl w:val="4"/>
    </w:pPr>
    <w:rPr>
      <w:rFonts w:ascii="Times New Roman" w:eastAsia="Times New Roman" w:hAnsi="Times New Roman" w:cs="Times New Roman"/>
      <w:b/>
      <w:sz w:val="24"/>
      <w:szCs w:val="20"/>
      <w:lang w:eastAsia="ru-RU"/>
    </w:rPr>
  </w:style>
  <w:style w:type="paragraph" w:styleId="6">
    <w:name w:val="heading 6"/>
    <w:basedOn w:val="a6"/>
    <w:next w:val="a6"/>
    <w:link w:val="60"/>
    <w:qFormat/>
    <w:rsid w:val="00341240"/>
    <w:pPr>
      <w:tabs>
        <w:tab w:val="num" w:pos="1152"/>
        <w:tab w:val="right" w:pos="9356"/>
      </w:tabs>
      <w:autoSpaceDE w:val="0"/>
      <w:autoSpaceDN w:val="0"/>
      <w:spacing w:after="60" w:line="360" w:lineRule="auto"/>
      <w:ind w:left="1152" w:hanging="1152"/>
      <w:jc w:val="both"/>
      <w:outlineLvl w:val="5"/>
    </w:pPr>
    <w:rPr>
      <w:rFonts w:ascii="Times New Roman" w:eastAsia="Calibri" w:hAnsi="Times New Roman" w:cs="Times New Roman"/>
      <w:b/>
      <w:bCs/>
      <w:noProof/>
      <w:lang w:val="x-none" w:eastAsia="x-none"/>
    </w:rPr>
  </w:style>
  <w:style w:type="paragraph" w:styleId="7">
    <w:name w:val="heading 7"/>
    <w:basedOn w:val="a6"/>
    <w:next w:val="a6"/>
    <w:link w:val="70"/>
    <w:qFormat/>
    <w:rsid w:val="00341240"/>
    <w:pPr>
      <w:tabs>
        <w:tab w:val="num" w:pos="1296"/>
        <w:tab w:val="right" w:pos="9356"/>
      </w:tabs>
      <w:autoSpaceDE w:val="0"/>
      <w:autoSpaceDN w:val="0"/>
      <w:spacing w:after="60" w:line="360" w:lineRule="auto"/>
      <w:ind w:left="1296" w:hanging="1296"/>
      <w:jc w:val="both"/>
      <w:outlineLvl w:val="6"/>
    </w:pPr>
    <w:rPr>
      <w:rFonts w:ascii="Times New Roman" w:eastAsia="Calibri" w:hAnsi="Times New Roman" w:cs="Times New Roman"/>
      <w:noProof/>
      <w:sz w:val="24"/>
      <w:szCs w:val="24"/>
      <w:lang w:val="x-none" w:eastAsia="x-none"/>
    </w:rPr>
  </w:style>
  <w:style w:type="paragraph" w:styleId="8">
    <w:name w:val="heading 8"/>
    <w:basedOn w:val="a6"/>
    <w:next w:val="a6"/>
    <w:link w:val="80"/>
    <w:qFormat/>
    <w:rsid w:val="00341240"/>
    <w:pPr>
      <w:tabs>
        <w:tab w:val="num" w:pos="1440"/>
        <w:tab w:val="right" w:pos="9356"/>
      </w:tabs>
      <w:autoSpaceDE w:val="0"/>
      <w:autoSpaceDN w:val="0"/>
      <w:spacing w:after="60" w:line="360" w:lineRule="auto"/>
      <w:ind w:left="1440" w:hanging="1440"/>
      <w:jc w:val="both"/>
      <w:outlineLvl w:val="7"/>
    </w:pPr>
    <w:rPr>
      <w:rFonts w:ascii="Times New Roman" w:eastAsia="Calibri" w:hAnsi="Times New Roman" w:cs="Times New Roman"/>
      <w:iCs/>
      <w:noProof/>
      <w:sz w:val="24"/>
      <w:szCs w:val="24"/>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2">
    <w:name w:val="Заголовок 1 Знак"/>
    <w:basedOn w:val="a7"/>
    <w:link w:val="11"/>
    <w:rsid w:val="00341240"/>
    <w:rPr>
      <w:rFonts w:ascii="Arial" w:eastAsia="Times New Roman" w:hAnsi="Arial" w:cs="Arial"/>
      <w:b/>
      <w:bCs/>
      <w:kern w:val="32"/>
      <w:sz w:val="32"/>
      <w:szCs w:val="32"/>
      <w:lang w:eastAsia="ru-RU"/>
    </w:rPr>
  </w:style>
  <w:style w:type="character" w:customStyle="1" w:styleId="23">
    <w:name w:val="Заголовок 2 Знак"/>
    <w:basedOn w:val="a7"/>
    <w:link w:val="22"/>
    <w:rsid w:val="00341240"/>
    <w:rPr>
      <w:rFonts w:ascii="Cambria" w:eastAsia="Times New Roman" w:hAnsi="Cambria" w:cs="Times New Roman"/>
      <w:b/>
      <w:bCs/>
      <w:i/>
      <w:iCs/>
      <w:sz w:val="28"/>
      <w:szCs w:val="28"/>
      <w:lang w:eastAsia="ru-RU"/>
    </w:rPr>
  </w:style>
  <w:style w:type="character" w:customStyle="1" w:styleId="30">
    <w:name w:val="Заголовок 3 Знак"/>
    <w:basedOn w:val="a7"/>
    <w:link w:val="3"/>
    <w:rsid w:val="00341240"/>
    <w:rPr>
      <w:rFonts w:ascii="Cambria" w:eastAsia="Times New Roman" w:hAnsi="Cambria" w:cs="Times New Roman"/>
      <w:b/>
      <w:bCs/>
      <w:sz w:val="26"/>
      <w:szCs w:val="26"/>
      <w:lang w:eastAsia="ru-RU"/>
    </w:rPr>
  </w:style>
  <w:style w:type="character" w:customStyle="1" w:styleId="40">
    <w:name w:val="Заголовок 4 Знак"/>
    <w:basedOn w:val="a7"/>
    <w:link w:val="4"/>
    <w:rsid w:val="00341240"/>
    <w:rPr>
      <w:rFonts w:ascii="Times New Roman" w:eastAsia="Calibri" w:hAnsi="Times New Roman" w:cs="Times New Roman"/>
      <w:bCs/>
      <w:noProof/>
      <w:sz w:val="24"/>
      <w:szCs w:val="28"/>
      <w:lang w:val="x-none" w:eastAsia="x-none"/>
    </w:rPr>
  </w:style>
  <w:style w:type="character" w:customStyle="1" w:styleId="50">
    <w:name w:val="Заголовок 5 Знак"/>
    <w:basedOn w:val="a7"/>
    <w:link w:val="5"/>
    <w:rsid w:val="00341240"/>
    <w:rPr>
      <w:rFonts w:ascii="Times New Roman" w:eastAsia="Times New Roman" w:hAnsi="Times New Roman" w:cs="Times New Roman"/>
      <w:b/>
      <w:sz w:val="24"/>
      <w:szCs w:val="20"/>
      <w:lang w:eastAsia="ru-RU"/>
    </w:rPr>
  </w:style>
  <w:style w:type="character" w:customStyle="1" w:styleId="60">
    <w:name w:val="Заголовок 6 Знак"/>
    <w:basedOn w:val="a7"/>
    <w:link w:val="6"/>
    <w:rsid w:val="00341240"/>
    <w:rPr>
      <w:rFonts w:ascii="Times New Roman" w:eastAsia="Calibri" w:hAnsi="Times New Roman" w:cs="Times New Roman"/>
      <w:b/>
      <w:bCs/>
      <w:noProof/>
      <w:lang w:val="x-none" w:eastAsia="x-none"/>
    </w:rPr>
  </w:style>
  <w:style w:type="character" w:customStyle="1" w:styleId="70">
    <w:name w:val="Заголовок 7 Знак"/>
    <w:basedOn w:val="a7"/>
    <w:link w:val="7"/>
    <w:rsid w:val="00341240"/>
    <w:rPr>
      <w:rFonts w:ascii="Times New Roman" w:eastAsia="Calibri" w:hAnsi="Times New Roman" w:cs="Times New Roman"/>
      <w:noProof/>
      <w:sz w:val="24"/>
      <w:szCs w:val="24"/>
      <w:lang w:val="x-none" w:eastAsia="x-none"/>
    </w:rPr>
  </w:style>
  <w:style w:type="character" w:customStyle="1" w:styleId="80">
    <w:name w:val="Заголовок 8 Знак"/>
    <w:basedOn w:val="a7"/>
    <w:link w:val="8"/>
    <w:rsid w:val="00341240"/>
    <w:rPr>
      <w:rFonts w:ascii="Times New Roman" w:eastAsia="Calibri" w:hAnsi="Times New Roman" w:cs="Times New Roman"/>
      <w:iCs/>
      <w:noProof/>
      <w:sz w:val="24"/>
      <w:szCs w:val="24"/>
      <w:lang w:val="x-none" w:eastAsia="x-none"/>
    </w:rPr>
  </w:style>
  <w:style w:type="paragraph" w:styleId="aa">
    <w:name w:val="List Paragraph"/>
    <w:basedOn w:val="a6"/>
    <w:uiPriority w:val="34"/>
    <w:qFormat/>
    <w:rsid w:val="00341240"/>
    <w:pPr>
      <w:ind w:left="720"/>
      <w:contextualSpacing/>
    </w:pPr>
    <w:rPr>
      <w:rFonts w:ascii="Calibri" w:eastAsia="Calibri" w:hAnsi="Calibri" w:cs="Times New Roman"/>
    </w:rPr>
  </w:style>
  <w:style w:type="paragraph" w:customStyle="1" w:styleId="ConsPlusNormal">
    <w:name w:val="ConsPlusNormal"/>
    <w:rsid w:val="00341240"/>
    <w:pPr>
      <w:autoSpaceDE w:val="0"/>
      <w:autoSpaceDN w:val="0"/>
      <w:adjustRightInd w:val="0"/>
      <w:spacing w:after="0" w:line="240" w:lineRule="auto"/>
    </w:pPr>
    <w:rPr>
      <w:rFonts w:ascii="Arial" w:hAnsi="Arial" w:cs="Arial"/>
      <w:sz w:val="20"/>
      <w:szCs w:val="20"/>
    </w:rPr>
  </w:style>
  <w:style w:type="paragraph" w:styleId="ab">
    <w:name w:val="Balloon Text"/>
    <w:basedOn w:val="a6"/>
    <w:link w:val="ac"/>
    <w:uiPriority w:val="99"/>
    <w:semiHidden/>
    <w:unhideWhenUsed/>
    <w:rsid w:val="00341240"/>
    <w:pPr>
      <w:spacing w:after="0" w:line="240" w:lineRule="auto"/>
    </w:pPr>
    <w:rPr>
      <w:rFonts w:ascii="Tahoma" w:hAnsi="Tahoma" w:cs="Tahoma"/>
      <w:sz w:val="16"/>
      <w:szCs w:val="16"/>
    </w:rPr>
  </w:style>
  <w:style w:type="character" w:customStyle="1" w:styleId="ac">
    <w:name w:val="Текст выноски Знак"/>
    <w:basedOn w:val="a7"/>
    <w:link w:val="ab"/>
    <w:uiPriority w:val="99"/>
    <w:semiHidden/>
    <w:rsid w:val="00341240"/>
    <w:rPr>
      <w:rFonts w:ascii="Tahoma" w:hAnsi="Tahoma" w:cs="Tahoma"/>
      <w:sz w:val="16"/>
      <w:szCs w:val="16"/>
    </w:rPr>
  </w:style>
  <w:style w:type="paragraph" w:customStyle="1" w:styleId="a">
    <w:name w:val="Пункт с точкой"/>
    <w:basedOn w:val="31"/>
    <w:link w:val="ad"/>
    <w:qFormat/>
    <w:rsid w:val="00341240"/>
    <w:pPr>
      <w:numPr>
        <w:numId w:val="10"/>
      </w:numPr>
      <w:tabs>
        <w:tab w:val="clear" w:pos="720"/>
        <w:tab w:val="num" w:pos="426"/>
      </w:tabs>
      <w:spacing w:before="60" w:after="0" w:line="240" w:lineRule="auto"/>
      <w:ind w:left="426" w:hanging="426"/>
      <w:jc w:val="both"/>
    </w:pPr>
    <w:rPr>
      <w:rFonts w:ascii="Times New Roman" w:eastAsia="Times New Roman" w:hAnsi="Times New Roman" w:cs="Times New Roman"/>
      <w:bCs/>
      <w:sz w:val="24"/>
      <w:szCs w:val="24"/>
      <w:lang w:eastAsia="ru-RU"/>
    </w:rPr>
  </w:style>
  <w:style w:type="paragraph" w:styleId="31">
    <w:name w:val="Body Text 3"/>
    <w:basedOn w:val="a6"/>
    <w:link w:val="32"/>
    <w:unhideWhenUsed/>
    <w:rsid w:val="00341240"/>
    <w:pPr>
      <w:spacing w:after="120"/>
    </w:pPr>
    <w:rPr>
      <w:sz w:val="16"/>
      <w:szCs w:val="16"/>
    </w:rPr>
  </w:style>
  <w:style w:type="character" w:customStyle="1" w:styleId="32">
    <w:name w:val="Основной текст 3 Знак"/>
    <w:basedOn w:val="a7"/>
    <w:link w:val="31"/>
    <w:rsid w:val="00341240"/>
    <w:rPr>
      <w:sz w:val="16"/>
      <w:szCs w:val="16"/>
    </w:rPr>
  </w:style>
  <w:style w:type="character" w:styleId="ae">
    <w:name w:val="annotation reference"/>
    <w:basedOn w:val="a7"/>
    <w:uiPriority w:val="99"/>
    <w:semiHidden/>
    <w:unhideWhenUsed/>
    <w:rsid w:val="00341240"/>
    <w:rPr>
      <w:sz w:val="16"/>
      <w:szCs w:val="16"/>
    </w:rPr>
  </w:style>
  <w:style w:type="paragraph" w:styleId="af">
    <w:name w:val="annotation text"/>
    <w:basedOn w:val="a6"/>
    <w:link w:val="af0"/>
    <w:uiPriority w:val="99"/>
    <w:semiHidden/>
    <w:unhideWhenUsed/>
    <w:rsid w:val="00341240"/>
    <w:pPr>
      <w:spacing w:line="240" w:lineRule="auto"/>
    </w:pPr>
    <w:rPr>
      <w:sz w:val="20"/>
      <w:szCs w:val="20"/>
    </w:rPr>
  </w:style>
  <w:style w:type="character" w:customStyle="1" w:styleId="af0">
    <w:name w:val="Текст примечания Знак"/>
    <w:basedOn w:val="a7"/>
    <w:link w:val="af"/>
    <w:uiPriority w:val="99"/>
    <w:semiHidden/>
    <w:rsid w:val="00341240"/>
    <w:rPr>
      <w:sz w:val="20"/>
      <w:szCs w:val="20"/>
    </w:rPr>
  </w:style>
  <w:style w:type="paragraph" w:styleId="af1">
    <w:name w:val="annotation subject"/>
    <w:basedOn w:val="af"/>
    <w:next w:val="af"/>
    <w:link w:val="af2"/>
    <w:uiPriority w:val="99"/>
    <w:semiHidden/>
    <w:unhideWhenUsed/>
    <w:rsid w:val="00341240"/>
    <w:rPr>
      <w:b/>
      <w:bCs/>
    </w:rPr>
  </w:style>
  <w:style w:type="character" w:customStyle="1" w:styleId="af2">
    <w:name w:val="Тема примечания Знак"/>
    <w:basedOn w:val="af0"/>
    <w:link w:val="af1"/>
    <w:uiPriority w:val="99"/>
    <w:semiHidden/>
    <w:rsid w:val="00341240"/>
    <w:rPr>
      <w:b/>
      <w:bCs/>
      <w:sz w:val="20"/>
      <w:szCs w:val="20"/>
    </w:rPr>
  </w:style>
  <w:style w:type="paragraph" w:styleId="af3">
    <w:name w:val="footnote text"/>
    <w:basedOn w:val="a6"/>
    <w:link w:val="af4"/>
    <w:uiPriority w:val="99"/>
    <w:semiHidden/>
    <w:unhideWhenUsed/>
    <w:rsid w:val="00341240"/>
    <w:pPr>
      <w:spacing w:after="0" w:line="240" w:lineRule="auto"/>
    </w:pPr>
    <w:rPr>
      <w:sz w:val="20"/>
      <w:szCs w:val="20"/>
    </w:rPr>
  </w:style>
  <w:style w:type="character" w:customStyle="1" w:styleId="af4">
    <w:name w:val="Текст сноски Знак"/>
    <w:basedOn w:val="a7"/>
    <w:link w:val="af3"/>
    <w:uiPriority w:val="99"/>
    <w:semiHidden/>
    <w:rsid w:val="00341240"/>
    <w:rPr>
      <w:sz w:val="20"/>
      <w:szCs w:val="20"/>
    </w:rPr>
  </w:style>
  <w:style w:type="character" w:styleId="af5">
    <w:name w:val="footnote reference"/>
    <w:uiPriority w:val="99"/>
    <w:rsid w:val="00341240"/>
    <w:rPr>
      <w:vertAlign w:val="superscript"/>
    </w:rPr>
  </w:style>
  <w:style w:type="numbering" w:customStyle="1" w:styleId="13">
    <w:name w:val="Нет списка1"/>
    <w:next w:val="a9"/>
    <w:uiPriority w:val="99"/>
    <w:semiHidden/>
    <w:unhideWhenUsed/>
    <w:rsid w:val="00341240"/>
  </w:style>
  <w:style w:type="numbering" w:customStyle="1" w:styleId="110">
    <w:name w:val="Нет списка11"/>
    <w:next w:val="a9"/>
    <w:uiPriority w:val="99"/>
    <w:semiHidden/>
    <w:unhideWhenUsed/>
    <w:rsid w:val="00341240"/>
  </w:style>
  <w:style w:type="paragraph" w:styleId="af6">
    <w:name w:val="header"/>
    <w:basedOn w:val="a6"/>
    <w:link w:val="af7"/>
    <w:unhideWhenUsed/>
    <w:rsid w:val="00341240"/>
    <w:pPr>
      <w:tabs>
        <w:tab w:val="center" w:pos="4677"/>
        <w:tab w:val="right" w:pos="9355"/>
      </w:tabs>
      <w:spacing w:after="0" w:line="240" w:lineRule="auto"/>
    </w:pPr>
    <w:rPr>
      <w:rFonts w:ascii="Calibri" w:eastAsia="Calibri" w:hAnsi="Calibri" w:cs="Times New Roman"/>
    </w:rPr>
  </w:style>
  <w:style w:type="character" w:customStyle="1" w:styleId="af7">
    <w:name w:val="Верхний колонтитул Знак"/>
    <w:basedOn w:val="a7"/>
    <w:link w:val="af6"/>
    <w:rsid w:val="00341240"/>
    <w:rPr>
      <w:rFonts w:ascii="Calibri" w:eastAsia="Calibri" w:hAnsi="Calibri" w:cs="Times New Roman"/>
    </w:rPr>
  </w:style>
  <w:style w:type="paragraph" w:styleId="af8">
    <w:name w:val="footer"/>
    <w:basedOn w:val="a6"/>
    <w:link w:val="af9"/>
    <w:uiPriority w:val="99"/>
    <w:unhideWhenUsed/>
    <w:rsid w:val="00341240"/>
    <w:pPr>
      <w:tabs>
        <w:tab w:val="center" w:pos="4677"/>
        <w:tab w:val="right" w:pos="9355"/>
      </w:tabs>
      <w:spacing w:after="0" w:line="240" w:lineRule="auto"/>
    </w:pPr>
    <w:rPr>
      <w:rFonts w:ascii="Calibri" w:eastAsia="Calibri" w:hAnsi="Calibri" w:cs="Times New Roman"/>
    </w:rPr>
  </w:style>
  <w:style w:type="character" w:customStyle="1" w:styleId="af9">
    <w:name w:val="Нижний колонтитул Знак"/>
    <w:basedOn w:val="a7"/>
    <w:link w:val="af8"/>
    <w:uiPriority w:val="99"/>
    <w:rsid w:val="00341240"/>
    <w:rPr>
      <w:rFonts w:ascii="Calibri" w:eastAsia="Calibri" w:hAnsi="Calibri" w:cs="Times New Roman"/>
    </w:rPr>
  </w:style>
  <w:style w:type="character" w:customStyle="1" w:styleId="msoins0">
    <w:name w:val="msoins"/>
    <w:basedOn w:val="a7"/>
    <w:rsid w:val="00341240"/>
  </w:style>
  <w:style w:type="paragraph" w:styleId="24">
    <w:name w:val="Body Text 2"/>
    <w:basedOn w:val="a6"/>
    <w:link w:val="25"/>
    <w:unhideWhenUsed/>
    <w:rsid w:val="00341240"/>
    <w:pPr>
      <w:spacing w:after="120" w:line="480" w:lineRule="auto"/>
    </w:pPr>
    <w:rPr>
      <w:rFonts w:ascii="Calibri" w:eastAsia="Calibri" w:hAnsi="Calibri" w:cs="Times New Roman"/>
    </w:rPr>
  </w:style>
  <w:style w:type="character" w:customStyle="1" w:styleId="25">
    <w:name w:val="Основной текст 2 Знак"/>
    <w:basedOn w:val="a7"/>
    <w:link w:val="24"/>
    <w:rsid w:val="00341240"/>
    <w:rPr>
      <w:rFonts w:ascii="Calibri" w:eastAsia="Calibri" w:hAnsi="Calibri" w:cs="Times New Roman"/>
    </w:rPr>
  </w:style>
  <w:style w:type="paragraph" w:styleId="2">
    <w:name w:val="List Bullet 2"/>
    <w:basedOn w:val="a2"/>
    <w:rsid w:val="00341240"/>
    <w:pPr>
      <w:numPr>
        <w:numId w:val="26"/>
      </w:numPr>
      <w:tabs>
        <w:tab w:val="clear" w:pos="953"/>
      </w:tabs>
      <w:spacing w:after="60" w:line="240" w:lineRule="auto"/>
      <w:ind w:left="502" w:hanging="360"/>
      <w:contextualSpacing w:val="0"/>
      <w:jc w:val="both"/>
    </w:pPr>
    <w:rPr>
      <w:rFonts w:ascii="Arial" w:eastAsia="Arial Unicode MS" w:hAnsi="Arial"/>
      <w:sz w:val="20"/>
      <w:lang w:val="en-US" w:eastAsia="ru-RU"/>
    </w:rPr>
  </w:style>
  <w:style w:type="paragraph" w:styleId="a2">
    <w:name w:val="List Bullet"/>
    <w:basedOn w:val="a6"/>
    <w:semiHidden/>
    <w:unhideWhenUsed/>
    <w:rsid w:val="00341240"/>
    <w:pPr>
      <w:numPr>
        <w:numId w:val="27"/>
      </w:numPr>
      <w:contextualSpacing/>
    </w:pPr>
    <w:rPr>
      <w:rFonts w:ascii="Calibri" w:eastAsia="Calibri" w:hAnsi="Calibri" w:cs="Times New Roman"/>
    </w:rPr>
  </w:style>
  <w:style w:type="numbering" w:customStyle="1" w:styleId="111">
    <w:name w:val="Нет списка111"/>
    <w:next w:val="a9"/>
    <w:uiPriority w:val="99"/>
    <w:semiHidden/>
    <w:unhideWhenUsed/>
    <w:rsid w:val="00341240"/>
  </w:style>
  <w:style w:type="paragraph" w:customStyle="1" w:styleId="Iauiue3">
    <w:name w:val="Iau?iue3"/>
    <w:link w:val="Iauiue30"/>
    <w:rsid w:val="00341240"/>
    <w:pPr>
      <w:keepLines/>
      <w:widowControl w:val="0"/>
      <w:overflowPunct w:val="0"/>
      <w:autoSpaceDE w:val="0"/>
      <w:autoSpaceDN w:val="0"/>
      <w:adjustRightInd w:val="0"/>
      <w:spacing w:after="0" w:line="240" w:lineRule="auto"/>
      <w:ind w:firstLine="720"/>
      <w:jc w:val="both"/>
      <w:textAlignment w:val="baseline"/>
    </w:pPr>
    <w:rPr>
      <w:rFonts w:ascii="Baltica" w:eastAsia="Times New Roman" w:hAnsi="Baltica" w:cs="Times New Roman"/>
      <w:sz w:val="24"/>
      <w:lang w:eastAsia="ru-RU"/>
    </w:rPr>
  </w:style>
  <w:style w:type="paragraph" w:customStyle="1" w:styleId="14">
    <w:name w:val="Обычный1"/>
    <w:rsid w:val="00341240"/>
    <w:pPr>
      <w:spacing w:after="0" w:line="240" w:lineRule="auto"/>
    </w:pPr>
    <w:rPr>
      <w:rFonts w:ascii="Times New Roman" w:eastAsia="Times New Roman" w:hAnsi="Times New Roman" w:cs="Times New Roman"/>
      <w:sz w:val="20"/>
      <w:szCs w:val="20"/>
      <w:lang w:eastAsia="ru-RU"/>
    </w:rPr>
  </w:style>
  <w:style w:type="character" w:customStyle="1" w:styleId="SUBST">
    <w:name w:val="__SUBST"/>
    <w:rsid w:val="00341240"/>
    <w:rPr>
      <w:b/>
      <w:i/>
      <w:sz w:val="22"/>
    </w:rPr>
  </w:style>
  <w:style w:type="paragraph" w:customStyle="1" w:styleId="afa">
    <w:name w:val="заглавные"/>
    <w:basedOn w:val="a6"/>
    <w:rsid w:val="00341240"/>
    <w:pPr>
      <w:spacing w:after="0" w:line="240" w:lineRule="auto"/>
      <w:jc w:val="center"/>
    </w:pPr>
    <w:rPr>
      <w:rFonts w:ascii="Arial" w:eastAsia="Times New Roman" w:hAnsi="Arial" w:cs="Arial"/>
      <w:b/>
      <w:sz w:val="24"/>
      <w:szCs w:val="24"/>
      <w:lang w:eastAsia="ru-RU"/>
    </w:rPr>
  </w:style>
  <w:style w:type="paragraph" w:styleId="afb">
    <w:name w:val="Body Text"/>
    <w:basedOn w:val="a6"/>
    <w:link w:val="afc"/>
    <w:semiHidden/>
    <w:unhideWhenUsed/>
    <w:rsid w:val="00341240"/>
    <w:pPr>
      <w:widowControl w:val="0"/>
      <w:overflowPunct w:val="0"/>
      <w:autoSpaceDE w:val="0"/>
      <w:autoSpaceDN w:val="0"/>
      <w:adjustRightInd w:val="0"/>
      <w:spacing w:after="120" w:line="240" w:lineRule="auto"/>
      <w:textAlignment w:val="baseline"/>
    </w:pPr>
    <w:rPr>
      <w:rFonts w:ascii="Times New Roman" w:eastAsia="Times New Roman" w:hAnsi="Times New Roman" w:cs="Times New Roman"/>
      <w:sz w:val="20"/>
      <w:szCs w:val="20"/>
      <w:lang w:eastAsia="ru-RU"/>
    </w:rPr>
  </w:style>
  <w:style w:type="character" w:customStyle="1" w:styleId="afc">
    <w:name w:val="Основной текст Знак"/>
    <w:basedOn w:val="a7"/>
    <w:link w:val="afb"/>
    <w:semiHidden/>
    <w:rsid w:val="00341240"/>
    <w:rPr>
      <w:rFonts w:ascii="Times New Roman" w:eastAsia="Times New Roman" w:hAnsi="Times New Roman" w:cs="Times New Roman"/>
      <w:sz w:val="20"/>
      <w:szCs w:val="20"/>
      <w:lang w:eastAsia="ru-RU"/>
    </w:rPr>
  </w:style>
  <w:style w:type="character" w:styleId="afd">
    <w:name w:val="Emphasis"/>
    <w:qFormat/>
    <w:rsid w:val="00341240"/>
    <w:rPr>
      <w:b/>
      <w:i/>
      <w:iCs/>
    </w:rPr>
  </w:style>
  <w:style w:type="paragraph" w:customStyle="1" w:styleId="16">
    <w:name w:val="Цитата1"/>
    <w:basedOn w:val="a6"/>
    <w:rsid w:val="00341240"/>
    <w:pPr>
      <w:overflowPunct w:val="0"/>
      <w:autoSpaceDE w:val="0"/>
      <w:autoSpaceDN w:val="0"/>
      <w:adjustRightInd w:val="0"/>
      <w:spacing w:after="0" w:line="240" w:lineRule="auto"/>
      <w:ind w:left="567" w:right="-143" w:firstLine="567"/>
      <w:jc w:val="both"/>
      <w:textAlignment w:val="baseline"/>
    </w:pPr>
    <w:rPr>
      <w:rFonts w:ascii="Times New Roman" w:eastAsia="Times New Roman" w:hAnsi="Times New Roman" w:cs="Times New Roman"/>
      <w:sz w:val="24"/>
      <w:szCs w:val="20"/>
      <w:lang w:eastAsia="ru-RU"/>
    </w:rPr>
  </w:style>
  <w:style w:type="paragraph" w:customStyle="1" w:styleId="310">
    <w:name w:val="Основной текст 31"/>
    <w:basedOn w:val="a6"/>
    <w:rsid w:val="00341240"/>
    <w:pPr>
      <w:overflowPunct w:val="0"/>
      <w:autoSpaceDE w:val="0"/>
      <w:autoSpaceDN w:val="0"/>
      <w:adjustRightInd w:val="0"/>
      <w:spacing w:after="0" w:line="240" w:lineRule="auto"/>
      <w:jc w:val="both"/>
      <w:textAlignment w:val="baseline"/>
    </w:pPr>
    <w:rPr>
      <w:rFonts w:ascii="Times New Roman" w:eastAsia="Times New Roman" w:hAnsi="Times New Roman" w:cs="Times New Roman"/>
      <w:b/>
      <w:sz w:val="24"/>
      <w:szCs w:val="20"/>
      <w:lang w:eastAsia="ru-RU"/>
    </w:rPr>
  </w:style>
  <w:style w:type="paragraph" w:customStyle="1" w:styleId="210">
    <w:name w:val="Основной текст 21"/>
    <w:basedOn w:val="a6"/>
    <w:rsid w:val="00341240"/>
    <w:pPr>
      <w:tabs>
        <w:tab w:val="left" w:pos="1440"/>
      </w:tabs>
      <w:overflowPunct w:val="0"/>
      <w:autoSpaceDE w:val="0"/>
      <w:autoSpaceDN w:val="0"/>
      <w:adjustRightInd w:val="0"/>
      <w:spacing w:after="0" w:line="240" w:lineRule="auto"/>
      <w:ind w:left="1080"/>
      <w:jc w:val="both"/>
      <w:textAlignment w:val="baseline"/>
    </w:pPr>
    <w:rPr>
      <w:rFonts w:ascii="Times New Roman CYR" w:eastAsia="Times New Roman" w:hAnsi="Times New Roman CYR" w:cs="Times New Roman"/>
      <w:i/>
      <w:sz w:val="24"/>
      <w:szCs w:val="20"/>
      <w:lang w:eastAsia="ru-RU"/>
    </w:rPr>
  </w:style>
  <w:style w:type="character" w:styleId="afe">
    <w:name w:val="Strong"/>
    <w:uiPriority w:val="22"/>
    <w:qFormat/>
    <w:rsid w:val="00341240"/>
    <w:rPr>
      <w:b/>
      <w:bCs/>
    </w:rPr>
  </w:style>
  <w:style w:type="paragraph" w:styleId="aff">
    <w:name w:val="Title"/>
    <w:basedOn w:val="a6"/>
    <w:link w:val="aff0"/>
    <w:qFormat/>
    <w:rsid w:val="00341240"/>
    <w:pPr>
      <w:autoSpaceDE w:val="0"/>
      <w:autoSpaceDN w:val="0"/>
      <w:adjustRightInd w:val="0"/>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7"/>
    <w:link w:val="aff"/>
    <w:rsid w:val="00341240"/>
    <w:rPr>
      <w:rFonts w:ascii="Times New Roman" w:eastAsia="Times New Roman" w:hAnsi="Times New Roman" w:cs="Times New Roman"/>
      <w:b/>
      <w:bCs/>
      <w:sz w:val="24"/>
      <w:szCs w:val="24"/>
      <w:lang w:eastAsia="ru-RU"/>
    </w:rPr>
  </w:style>
  <w:style w:type="paragraph" w:customStyle="1" w:styleId="Title3">
    <w:name w:val="Title 3"/>
    <w:basedOn w:val="a6"/>
    <w:qFormat/>
    <w:rsid w:val="00341240"/>
    <w:pPr>
      <w:keepNext/>
      <w:widowControl w:val="0"/>
      <w:numPr>
        <w:numId w:val="28"/>
      </w:numPr>
      <w:tabs>
        <w:tab w:val="left" w:pos="851"/>
      </w:tabs>
      <w:adjustRightInd w:val="0"/>
      <w:spacing w:before="360" w:after="0" w:line="240" w:lineRule="auto"/>
      <w:jc w:val="both"/>
      <w:textAlignment w:val="baseline"/>
    </w:pPr>
    <w:rPr>
      <w:rFonts w:ascii="Times New Roman" w:eastAsia="Times New Roman" w:hAnsi="Times New Roman" w:cs="Times New Roman"/>
      <w:b/>
      <w:sz w:val="24"/>
      <w:szCs w:val="24"/>
    </w:rPr>
  </w:style>
  <w:style w:type="paragraph" w:customStyle="1" w:styleId="Point">
    <w:name w:val="Point"/>
    <w:basedOn w:val="Title3"/>
    <w:qFormat/>
    <w:rsid w:val="00341240"/>
    <w:pPr>
      <w:keepNext w:val="0"/>
      <w:numPr>
        <w:ilvl w:val="1"/>
      </w:numPr>
      <w:tabs>
        <w:tab w:val="clear" w:pos="851"/>
      </w:tabs>
      <w:spacing w:before="240"/>
    </w:pPr>
    <w:rPr>
      <w:b w:val="0"/>
      <w:bCs/>
    </w:rPr>
  </w:style>
  <w:style w:type="paragraph" w:customStyle="1" w:styleId="Point2">
    <w:name w:val="Point 2"/>
    <w:basedOn w:val="Point"/>
    <w:qFormat/>
    <w:rsid w:val="00341240"/>
    <w:pPr>
      <w:numPr>
        <w:ilvl w:val="2"/>
      </w:numPr>
      <w:tabs>
        <w:tab w:val="left" w:pos="851"/>
      </w:tabs>
      <w:spacing w:before="120"/>
      <w:ind w:left="851" w:hanging="851"/>
    </w:pPr>
    <w:rPr>
      <w:rFonts w:cs="Arial"/>
    </w:rPr>
  </w:style>
  <w:style w:type="paragraph" w:customStyle="1" w:styleId="Point3">
    <w:name w:val="Point 3"/>
    <w:basedOn w:val="a6"/>
    <w:qFormat/>
    <w:rsid w:val="00341240"/>
    <w:pPr>
      <w:widowControl w:val="0"/>
      <w:numPr>
        <w:ilvl w:val="3"/>
        <w:numId w:val="28"/>
      </w:numPr>
      <w:tabs>
        <w:tab w:val="left" w:pos="993"/>
        <w:tab w:val="left" w:pos="1418"/>
      </w:tabs>
      <w:adjustRightInd w:val="0"/>
      <w:spacing w:before="60" w:after="0" w:line="360" w:lineRule="atLeast"/>
      <w:ind w:left="993" w:hanging="993"/>
      <w:jc w:val="both"/>
      <w:textAlignment w:val="baseline"/>
    </w:pPr>
    <w:rPr>
      <w:rFonts w:ascii="Times New Roman" w:eastAsia="Times New Roman" w:hAnsi="Times New Roman" w:cs="Arial"/>
      <w:sz w:val="24"/>
      <w:szCs w:val="20"/>
    </w:rPr>
  </w:style>
  <w:style w:type="paragraph" w:customStyle="1" w:styleId="aff1">
    <w:name w:val="Текст таб"/>
    <w:basedOn w:val="a6"/>
    <w:qFormat/>
    <w:rsid w:val="00341240"/>
    <w:pPr>
      <w:spacing w:before="120" w:after="0" w:line="240" w:lineRule="auto"/>
      <w:ind w:left="709"/>
      <w:jc w:val="both"/>
    </w:pPr>
    <w:rPr>
      <w:rFonts w:ascii="Times New Roman" w:eastAsia="Calibri" w:hAnsi="Times New Roman" w:cs="Times New Roman"/>
      <w:sz w:val="24"/>
      <w:szCs w:val="24"/>
    </w:rPr>
  </w:style>
  <w:style w:type="paragraph" w:customStyle="1" w:styleId="Pointmark">
    <w:name w:val="Point (mark)"/>
    <w:next w:val="aff2"/>
    <w:link w:val="Pointmark0"/>
    <w:rsid w:val="00341240"/>
    <w:pPr>
      <w:numPr>
        <w:numId w:val="29"/>
      </w:numPr>
      <w:spacing w:before="60" w:after="0" w:line="240" w:lineRule="auto"/>
      <w:jc w:val="both"/>
    </w:pPr>
    <w:rPr>
      <w:rFonts w:ascii="Times New Roman" w:eastAsia="Times New Roman" w:hAnsi="Times New Roman" w:cs="Arial"/>
      <w:sz w:val="24"/>
      <w:szCs w:val="20"/>
    </w:rPr>
  </w:style>
  <w:style w:type="character" w:styleId="aff3">
    <w:name w:val="Hyperlink"/>
    <w:rsid w:val="00341240"/>
    <w:rPr>
      <w:color w:val="0000FF"/>
      <w:u w:val="single"/>
    </w:rPr>
  </w:style>
  <w:style w:type="paragraph" w:styleId="aff4">
    <w:name w:val="Normal (Web)"/>
    <w:basedOn w:val="a6"/>
    <w:uiPriority w:val="99"/>
    <w:rsid w:val="003412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
    <w:name w:val="Пункт -"/>
    <w:basedOn w:val="a6"/>
    <w:qFormat/>
    <w:rsid w:val="00341240"/>
    <w:pPr>
      <w:numPr>
        <w:ilvl w:val="3"/>
        <w:numId w:val="30"/>
      </w:numPr>
      <w:tabs>
        <w:tab w:val="clear" w:pos="360"/>
        <w:tab w:val="left" w:pos="1418"/>
      </w:tabs>
      <w:overflowPunct w:val="0"/>
      <w:autoSpaceDE w:val="0"/>
      <w:autoSpaceDN w:val="0"/>
      <w:adjustRightInd w:val="0"/>
      <w:spacing w:before="60" w:after="0" w:line="240" w:lineRule="auto"/>
      <w:ind w:left="1418" w:hanging="567"/>
      <w:jc w:val="both"/>
      <w:textAlignment w:val="baseline"/>
    </w:pPr>
    <w:rPr>
      <w:rFonts w:ascii="Times New Roman" w:eastAsia="Times New Roman" w:hAnsi="Times New Roman" w:cs="Times New Roman"/>
      <w:sz w:val="24"/>
      <w:szCs w:val="20"/>
      <w:lang w:eastAsia="ru-RU"/>
    </w:rPr>
  </w:style>
  <w:style w:type="character" w:customStyle="1" w:styleId="Iauiue30">
    <w:name w:val="Iau?iue3 Знак"/>
    <w:link w:val="Iauiue3"/>
    <w:rsid w:val="00341240"/>
    <w:rPr>
      <w:rFonts w:ascii="Baltica" w:eastAsia="Times New Roman" w:hAnsi="Baltica" w:cs="Times New Roman"/>
      <w:sz w:val="24"/>
      <w:lang w:eastAsia="ru-RU"/>
    </w:rPr>
  </w:style>
  <w:style w:type="paragraph" w:customStyle="1" w:styleId="1">
    <w:name w:val="Список 1"/>
    <w:basedOn w:val="a6"/>
    <w:qFormat/>
    <w:rsid w:val="00341240"/>
    <w:pPr>
      <w:numPr>
        <w:numId w:val="31"/>
      </w:numPr>
      <w:tabs>
        <w:tab w:val="left" w:pos="709"/>
      </w:tabs>
      <w:spacing w:before="360" w:after="0" w:line="240" w:lineRule="auto"/>
      <w:jc w:val="both"/>
    </w:pPr>
    <w:rPr>
      <w:rFonts w:ascii="Times New Roman" w:eastAsia="Times New Roman" w:hAnsi="Times New Roman" w:cs="Times New Roman"/>
      <w:b/>
      <w:sz w:val="28"/>
      <w:szCs w:val="28"/>
      <w:lang w:eastAsia="ru-RU"/>
    </w:rPr>
  </w:style>
  <w:style w:type="paragraph" w:customStyle="1" w:styleId="20">
    <w:name w:val="2 Список"/>
    <w:basedOn w:val="a6"/>
    <w:qFormat/>
    <w:rsid w:val="00341240"/>
    <w:pPr>
      <w:numPr>
        <w:ilvl w:val="1"/>
        <w:numId w:val="31"/>
      </w:numPr>
      <w:spacing w:before="240" w:after="0" w:line="240" w:lineRule="auto"/>
      <w:jc w:val="both"/>
    </w:pPr>
    <w:rPr>
      <w:rFonts w:ascii="Times New Roman" w:eastAsia="Times New Roman" w:hAnsi="Times New Roman" w:cs="Times New Roman"/>
      <w:b/>
      <w:sz w:val="24"/>
      <w:szCs w:val="24"/>
      <w:lang w:eastAsia="ru-RU"/>
    </w:rPr>
  </w:style>
  <w:style w:type="paragraph" w:customStyle="1" w:styleId="Title1">
    <w:name w:val="Title 1"/>
    <w:qFormat/>
    <w:rsid w:val="00341240"/>
    <w:pPr>
      <w:keepNext/>
      <w:keepLines/>
      <w:pageBreakBefore/>
      <w:numPr>
        <w:numId w:val="32"/>
      </w:numPr>
      <w:spacing w:after="0" w:line="240" w:lineRule="auto"/>
      <w:jc w:val="both"/>
    </w:pPr>
    <w:rPr>
      <w:rFonts w:ascii="Times New Roman" w:eastAsia="Times New Roman" w:hAnsi="Times New Roman" w:cs="Times New Roman"/>
      <w:b/>
      <w:sz w:val="24"/>
      <w:szCs w:val="24"/>
    </w:rPr>
  </w:style>
  <w:style w:type="paragraph" w:customStyle="1" w:styleId="Title2">
    <w:name w:val="Title 2"/>
    <w:basedOn w:val="Title1"/>
    <w:qFormat/>
    <w:rsid w:val="00341240"/>
    <w:pPr>
      <w:numPr>
        <w:ilvl w:val="1"/>
      </w:numPr>
    </w:pPr>
    <w:rPr>
      <w:lang w:val="en-US"/>
    </w:rPr>
  </w:style>
  <w:style w:type="paragraph" w:customStyle="1" w:styleId="Headcenter">
    <w:name w:val="Head center"/>
    <w:basedOn w:val="a6"/>
    <w:rsid w:val="00341240"/>
    <w:pPr>
      <w:keepLines/>
      <w:tabs>
        <w:tab w:val="right" w:pos="9356"/>
      </w:tabs>
      <w:spacing w:after="0" w:line="240" w:lineRule="auto"/>
      <w:ind w:left="142"/>
      <w:jc w:val="center"/>
    </w:pPr>
    <w:rPr>
      <w:rFonts w:ascii="Times New Roman" w:eastAsia="Times New Roman" w:hAnsi="Times New Roman" w:cs="Arial"/>
      <w:b/>
      <w:bCs/>
      <w:noProof/>
      <w:sz w:val="32"/>
      <w:szCs w:val="24"/>
      <w:lang w:eastAsia="ru-RU"/>
    </w:rPr>
  </w:style>
  <w:style w:type="character" w:customStyle="1" w:styleId="bullet">
    <w:name w:val="bullet"/>
    <w:basedOn w:val="a7"/>
    <w:rsid w:val="00341240"/>
  </w:style>
  <w:style w:type="paragraph" w:customStyle="1" w:styleId="Pointmarko">
    <w:name w:val="Point (mark) o"/>
    <w:basedOn w:val="Pointmark"/>
    <w:qFormat/>
    <w:rsid w:val="00341240"/>
    <w:pPr>
      <w:numPr>
        <w:numId w:val="33"/>
      </w:numPr>
      <w:spacing w:before="0"/>
      <w:ind w:left="1985" w:hanging="567"/>
    </w:pPr>
  </w:style>
  <w:style w:type="paragraph" w:customStyle="1" w:styleId="a0">
    <w:name w:val="Раздел"/>
    <w:basedOn w:val="a6"/>
    <w:qFormat/>
    <w:rsid w:val="00341240"/>
    <w:pPr>
      <w:keepNext/>
      <w:numPr>
        <w:numId w:val="34"/>
      </w:numPr>
      <w:spacing w:before="360" w:after="0" w:line="240" w:lineRule="auto"/>
      <w:jc w:val="both"/>
    </w:pPr>
    <w:rPr>
      <w:rFonts w:ascii="Times New Roman" w:eastAsia="Times New Roman" w:hAnsi="Times New Roman" w:cs="Times New Roman"/>
      <w:b/>
      <w:sz w:val="24"/>
      <w:szCs w:val="24"/>
      <w:lang w:eastAsia="ru-RU"/>
    </w:rPr>
  </w:style>
  <w:style w:type="paragraph" w:customStyle="1" w:styleId="a1">
    <w:name w:val="Пункт"/>
    <w:basedOn w:val="a6"/>
    <w:qFormat/>
    <w:rsid w:val="00341240"/>
    <w:pPr>
      <w:numPr>
        <w:ilvl w:val="1"/>
        <w:numId w:val="34"/>
      </w:numPr>
      <w:spacing w:before="240" w:after="0" w:line="240" w:lineRule="auto"/>
      <w:jc w:val="both"/>
    </w:pPr>
    <w:rPr>
      <w:rFonts w:ascii="Times New Roman" w:eastAsia="Calibri" w:hAnsi="Times New Roman" w:cs="Times New Roman"/>
      <w:sz w:val="24"/>
      <w:szCs w:val="24"/>
    </w:rPr>
  </w:style>
  <w:style w:type="paragraph" w:customStyle="1" w:styleId="aff5">
    <w:name w:val="Комментарий"/>
    <w:basedOn w:val="a"/>
    <w:qFormat/>
    <w:rsid w:val="00341240"/>
    <w:pPr>
      <w:numPr>
        <w:numId w:val="0"/>
      </w:numPr>
      <w:ind w:left="1985"/>
    </w:pPr>
    <w:rPr>
      <w:color w:val="000080"/>
    </w:rPr>
  </w:style>
  <w:style w:type="paragraph" w:customStyle="1" w:styleId="a3">
    <w:name w:val="Пункт со скобкой"/>
    <w:basedOn w:val="a6"/>
    <w:qFormat/>
    <w:rsid w:val="00341240"/>
    <w:pPr>
      <w:numPr>
        <w:numId w:val="35"/>
      </w:numPr>
      <w:tabs>
        <w:tab w:val="left" w:pos="851"/>
      </w:tabs>
      <w:spacing w:before="240" w:after="0" w:line="240" w:lineRule="auto"/>
      <w:jc w:val="both"/>
    </w:pPr>
    <w:rPr>
      <w:rFonts w:ascii="Times New Roman" w:eastAsia="Times New Roman" w:hAnsi="Times New Roman" w:cs="Times New Roman"/>
      <w:sz w:val="24"/>
      <w:szCs w:val="24"/>
      <w:lang w:bidi="en-US"/>
    </w:rPr>
  </w:style>
  <w:style w:type="paragraph" w:styleId="HTML">
    <w:name w:val="HTML Preformatted"/>
    <w:basedOn w:val="a6"/>
    <w:link w:val="HTML0"/>
    <w:uiPriority w:val="99"/>
    <w:unhideWhenUsed/>
    <w:rsid w:val="00341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7"/>
    <w:link w:val="HTML"/>
    <w:uiPriority w:val="99"/>
    <w:rsid w:val="00341240"/>
    <w:rPr>
      <w:rFonts w:ascii="Courier New" w:eastAsia="Times New Roman" w:hAnsi="Courier New" w:cs="Courier New"/>
      <w:sz w:val="20"/>
      <w:szCs w:val="20"/>
      <w:lang w:eastAsia="ru-RU"/>
    </w:rPr>
  </w:style>
  <w:style w:type="table" w:styleId="aff6">
    <w:name w:val="Colorful Shading"/>
    <w:basedOn w:val="a8"/>
    <w:uiPriority w:val="71"/>
    <w:rsid w:val="00341240"/>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paragraph" w:customStyle="1" w:styleId="26">
    <w:name w:val="Обычный2"/>
    <w:rsid w:val="00341240"/>
    <w:pPr>
      <w:spacing w:after="0" w:line="240" w:lineRule="auto"/>
    </w:pPr>
    <w:rPr>
      <w:rFonts w:ascii="Times New Roman" w:eastAsia="Times New Roman" w:hAnsi="Times New Roman" w:cs="Times New Roman"/>
      <w:sz w:val="20"/>
      <w:szCs w:val="20"/>
      <w:lang w:eastAsia="ru-RU"/>
    </w:rPr>
  </w:style>
  <w:style w:type="numbering" w:customStyle="1" w:styleId="10">
    <w:name w:val="Стиль1"/>
    <w:uiPriority w:val="99"/>
    <w:rsid w:val="00341240"/>
    <w:pPr>
      <w:numPr>
        <w:numId w:val="36"/>
      </w:numPr>
    </w:pPr>
  </w:style>
  <w:style w:type="table" w:styleId="aff7">
    <w:name w:val="Table Grid"/>
    <w:basedOn w:val="a8"/>
    <w:uiPriority w:val="59"/>
    <w:rsid w:val="0034124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Revision"/>
    <w:hidden/>
    <w:uiPriority w:val="99"/>
    <w:semiHidden/>
    <w:rsid w:val="00341240"/>
    <w:pPr>
      <w:spacing w:after="0" w:line="240" w:lineRule="auto"/>
    </w:pPr>
    <w:rPr>
      <w:rFonts w:ascii="Calibri" w:eastAsia="Calibri" w:hAnsi="Calibri" w:cs="Times New Roman"/>
    </w:rPr>
  </w:style>
  <w:style w:type="numbering" w:customStyle="1" w:styleId="27">
    <w:name w:val="Нет списка2"/>
    <w:next w:val="a9"/>
    <w:uiPriority w:val="99"/>
    <w:semiHidden/>
    <w:unhideWhenUsed/>
    <w:rsid w:val="00341240"/>
  </w:style>
  <w:style w:type="numbering" w:customStyle="1" w:styleId="120">
    <w:name w:val="Нет списка12"/>
    <w:next w:val="a9"/>
    <w:uiPriority w:val="99"/>
    <w:semiHidden/>
    <w:unhideWhenUsed/>
    <w:rsid w:val="00341240"/>
  </w:style>
  <w:style w:type="paragraph" w:customStyle="1" w:styleId="Default">
    <w:name w:val="Default"/>
    <w:rsid w:val="0034124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onsNormal">
    <w:name w:val="ConsNormal"/>
    <w:rsid w:val="0034124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12">
    <w:name w:val="Стиль11"/>
    <w:uiPriority w:val="99"/>
    <w:rsid w:val="00341240"/>
  </w:style>
  <w:style w:type="paragraph" w:customStyle="1" w:styleId="a4">
    <w:name w:val="Раздел договора"/>
    <w:basedOn w:val="a6"/>
    <w:qFormat/>
    <w:rsid w:val="00341240"/>
    <w:pPr>
      <w:keepNext/>
      <w:numPr>
        <w:numId w:val="37"/>
      </w:numPr>
      <w:autoSpaceDE w:val="0"/>
      <w:autoSpaceDN w:val="0"/>
      <w:spacing w:before="240" w:after="0" w:line="360" w:lineRule="auto"/>
      <w:jc w:val="both"/>
      <w:outlineLvl w:val="2"/>
    </w:pPr>
    <w:rPr>
      <w:rFonts w:ascii="Times New Roman" w:eastAsia="MS Mincho" w:hAnsi="Times New Roman" w:cs="Arial"/>
      <w:b/>
      <w:bCs/>
      <w:noProof/>
      <w:sz w:val="24"/>
      <w:szCs w:val="20"/>
      <w:lang w:eastAsia="ru-RU"/>
    </w:rPr>
  </w:style>
  <w:style w:type="paragraph" w:customStyle="1" w:styleId="a5">
    <w:name w:val="Пункт договора"/>
    <w:basedOn w:val="a6"/>
    <w:qFormat/>
    <w:rsid w:val="00341240"/>
    <w:pPr>
      <w:numPr>
        <w:ilvl w:val="1"/>
        <w:numId w:val="37"/>
      </w:numPr>
      <w:spacing w:before="240" w:after="0" w:line="360" w:lineRule="auto"/>
      <w:jc w:val="both"/>
    </w:pPr>
    <w:rPr>
      <w:rFonts w:ascii="Times New Roman" w:eastAsia="MS Mincho" w:hAnsi="Times New Roman" w:cs="Arial"/>
      <w:iCs/>
      <w:sz w:val="24"/>
      <w:szCs w:val="20"/>
      <w:lang w:eastAsia="ru-RU"/>
    </w:rPr>
  </w:style>
  <w:style w:type="paragraph" w:customStyle="1" w:styleId="aff9">
    <w:name w:val="Текст без отступа"/>
    <w:basedOn w:val="aff4"/>
    <w:link w:val="affa"/>
    <w:qFormat/>
    <w:rsid w:val="00341240"/>
    <w:pPr>
      <w:tabs>
        <w:tab w:val="right" w:pos="9356"/>
      </w:tabs>
      <w:autoSpaceDE w:val="0"/>
      <w:autoSpaceDN w:val="0"/>
      <w:ind w:left="142"/>
      <w:jc w:val="both"/>
    </w:pPr>
    <w:rPr>
      <w:rFonts w:eastAsia="Calibri"/>
      <w:noProof/>
    </w:rPr>
  </w:style>
  <w:style w:type="character" w:customStyle="1" w:styleId="affa">
    <w:name w:val="Текст без отступа Знак"/>
    <w:link w:val="aff9"/>
    <w:rsid w:val="00341240"/>
    <w:rPr>
      <w:rFonts w:ascii="Times New Roman" w:eastAsia="Calibri" w:hAnsi="Times New Roman" w:cs="Times New Roman"/>
      <w:noProof/>
      <w:sz w:val="24"/>
      <w:szCs w:val="24"/>
      <w:lang w:eastAsia="ru-RU"/>
    </w:rPr>
  </w:style>
  <w:style w:type="numbering" w:customStyle="1" w:styleId="121">
    <w:name w:val="Стиль12"/>
    <w:uiPriority w:val="99"/>
    <w:rsid w:val="00341240"/>
  </w:style>
  <w:style w:type="table" w:customStyle="1" w:styleId="17">
    <w:name w:val="Сетка таблицы1"/>
    <w:basedOn w:val="a8"/>
    <w:next w:val="aff7"/>
    <w:rsid w:val="00341240"/>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8"/>
    <w:next w:val="aff7"/>
    <w:rsid w:val="00341240"/>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8"/>
    <w:next w:val="aff7"/>
    <w:rsid w:val="00341240"/>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8"/>
    <w:next w:val="aff7"/>
    <w:rsid w:val="00341240"/>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Стиль13"/>
    <w:uiPriority w:val="99"/>
    <w:rsid w:val="00341240"/>
  </w:style>
  <w:style w:type="numbering" w:customStyle="1" w:styleId="140">
    <w:name w:val="Стиль14"/>
    <w:uiPriority w:val="99"/>
    <w:rsid w:val="00341240"/>
  </w:style>
  <w:style w:type="paragraph" w:customStyle="1" w:styleId="1114">
    <w:name w:val="Стиль 1.1 14 Ж"/>
    <w:basedOn w:val="a6"/>
    <w:link w:val="11140"/>
    <w:qFormat/>
    <w:rsid w:val="00341240"/>
    <w:pPr>
      <w:tabs>
        <w:tab w:val="right" w:pos="9356"/>
      </w:tabs>
      <w:autoSpaceDE w:val="0"/>
      <w:autoSpaceDN w:val="0"/>
      <w:spacing w:after="0" w:line="360" w:lineRule="auto"/>
      <w:ind w:firstLine="709"/>
      <w:jc w:val="both"/>
    </w:pPr>
    <w:rPr>
      <w:rFonts w:ascii="Times New Roman" w:eastAsia="Calibri" w:hAnsi="Times New Roman" w:cs="Arial"/>
      <w:b/>
      <w:noProof/>
      <w:sz w:val="28"/>
      <w:szCs w:val="28"/>
      <w:lang w:eastAsia="ru-RU"/>
    </w:rPr>
  </w:style>
  <w:style w:type="character" w:customStyle="1" w:styleId="11140">
    <w:name w:val="Стиль 1.1 14 Ж Знак"/>
    <w:link w:val="1114"/>
    <w:rsid w:val="00341240"/>
    <w:rPr>
      <w:rFonts w:ascii="Times New Roman" w:eastAsia="Calibri" w:hAnsi="Times New Roman" w:cs="Arial"/>
      <w:b/>
      <w:noProof/>
      <w:sz w:val="28"/>
      <w:szCs w:val="28"/>
      <w:lang w:eastAsia="ru-RU"/>
    </w:rPr>
  </w:style>
  <w:style w:type="numbering" w:customStyle="1" w:styleId="15">
    <w:name w:val="Стиль15"/>
    <w:uiPriority w:val="99"/>
    <w:rsid w:val="00341240"/>
    <w:pPr>
      <w:numPr>
        <w:numId w:val="81"/>
      </w:numPr>
    </w:pPr>
  </w:style>
  <w:style w:type="paragraph" w:styleId="affb">
    <w:name w:val="caption"/>
    <w:basedOn w:val="a6"/>
    <w:next w:val="a6"/>
    <w:uiPriority w:val="35"/>
    <w:unhideWhenUsed/>
    <w:qFormat/>
    <w:rsid w:val="00341240"/>
    <w:pPr>
      <w:spacing w:line="240" w:lineRule="auto"/>
    </w:pPr>
    <w:rPr>
      <w:rFonts w:ascii="Calibri" w:eastAsia="Calibri" w:hAnsi="Calibri" w:cs="Times New Roman"/>
      <w:b/>
      <w:bCs/>
      <w:color w:val="4F81BD"/>
      <w:sz w:val="18"/>
      <w:szCs w:val="18"/>
    </w:rPr>
  </w:style>
  <w:style w:type="table" w:customStyle="1" w:styleId="18">
    <w:name w:val="Цветная заливка1"/>
    <w:basedOn w:val="a8"/>
    <w:next w:val="aff6"/>
    <w:uiPriority w:val="71"/>
    <w:rsid w:val="00341240"/>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paragraph" w:customStyle="1" w:styleId="Texttab">
    <w:name w:val="Text tab"/>
    <w:basedOn w:val="a6"/>
    <w:link w:val="Texttab0"/>
    <w:qFormat/>
    <w:rsid w:val="00341240"/>
    <w:pPr>
      <w:tabs>
        <w:tab w:val="right" w:pos="851"/>
      </w:tabs>
      <w:spacing w:after="0" w:line="240" w:lineRule="auto"/>
      <w:ind w:left="851"/>
      <w:jc w:val="both"/>
    </w:pPr>
    <w:rPr>
      <w:rFonts w:ascii="Times New Roman" w:eastAsia="Times New Roman" w:hAnsi="Times New Roman" w:cs="Times New Roman"/>
      <w:iCs/>
      <w:noProof/>
      <w:sz w:val="24"/>
      <w:szCs w:val="24"/>
      <w:lang w:val="x-none" w:eastAsia="x-none"/>
    </w:rPr>
  </w:style>
  <w:style w:type="character" w:customStyle="1" w:styleId="Texttab0">
    <w:name w:val="Text tab Знак"/>
    <w:link w:val="Texttab"/>
    <w:rsid w:val="00341240"/>
    <w:rPr>
      <w:rFonts w:ascii="Times New Roman" w:eastAsia="Times New Roman" w:hAnsi="Times New Roman" w:cs="Times New Roman"/>
      <w:iCs/>
      <w:noProof/>
      <w:sz w:val="24"/>
      <w:szCs w:val="24"/>
      <w:lang w:val="x-none" w:eastAsia="x-none"/>
    </w:rPr>
  </w:style>
  <w:style w:type="paragraph" w:customStyle="1" w:styleId="affc">
    <w:name w:val="текст обычный"/>
    <w:basedOn w:val="Pointmark"/>
    <w:link w:val="affd"/>
    <w:qFormat/>
    <w:rsid w:val="00341240"/>
    <w:pPr>
      <w:numPr>
        <w:numId w:val="0"/>
      </w:numPr>
    </w:pPr>
  </w:style>
  <w:style w:type="paragraph" w:styleId="aff2">
    <w:name w:val="Normal Indent"/>
    <w:basedOn w:val="a6"/>
    <w:uiPriority w:val="99"/>
    <w:semiHidden/>
    <w:unhideWhenUsed/>
    <w:rsid w:val="00341240"/>
    <w:pPr>
      <w:ind w:left="708"/>
    </w:pPr>
    <w:rPr>
      <w:rFonts w:ascii="Calibri" w:eastAsia="Calibri" w:hAnsi="Calibri" w:cs="Times New Roman"/>
    </w:rPr>
  </w:style>
  <w:style w:type="character" w:customStyle="1" w:styleId="Pointmark0">
    <w:name w:val="Point (mark) Знак"/>
    <w:basedOn w:val="a7"/>
    <w:link w:val="Pointmark"/>
    <w:rsid w:val="00341240"/>
    <w:rPr>
      <w:rFonts w:ascii="Times New Roman" w:eastAsia="Times New Roman" w:hAnsi="Times New Roman" w:cs="Arial"/>
      <w:sz w:val="24"/>
      <w:szCs w:val="20"/>
    </w:rPr>
  </w:style>
  <w:style w:type="character" w:customStyle="1" w:styleId="affd">
    <w:name w:val="текст обычный Знак"/>
    <w:basedOn w:val="Pointmark0"/>
    <w:link w:val="affc"/>
    <w:rsid w:val="00341240"/>
    <w:rPr>
      <w:rFonts w:ascii="Times New Roman" w:eastAsia="Times New Roman" w:hAnsi="Times New Roman" w:cs="Arial"/>
      <w:sz w:val="24"/>
      <w:szCs w:val="20"/>
    </w:rPr>
  </w:style>
  <w:style w:type="paragraph" w:customStyle="1" w:styleId="21">
    <w:name w:val="Стиль2 с мал т"/>
    <w:basedOn w:val="a"/>
    <w:link w:val="29"/>
    <w:qFormat/>
    <w:rsid w:val="00341240"/>
    <w:pPr>
      <w:numPr>
        <w:numId w:val="38"/>
      </w:numPr>
    </w:pPr>
  </w:style>
  <w:style w:type="character" w:customStyle="1" w:styleId="ad">
    <w:name w:val="Пункт с точкой Знак"/>
    <w:basedOn w:val="32"/>
    <w:link w:val="a"/>
    <w:rsid w:val="00341240"/>
    <w:rPr>
      <w:rFonts w:ascii="Times New Roman" w:eastAsia="Times New Roman" w:hAnsi="Times New Roman" w:cs="Times New Roman"/>
      <w:bCs/>
      <w:sz w:val="24"/>
      <w:szCs w:val="24"/>
      <w:lang w:eastAsia="ru-RU"/>
    </w:rPr>
  </w:style>
  <w:style w:type="character" w:customStyle="1" w:styleId="29">
    <w:name w:val="Стиль2 с мал т Знак"/>
    <w:basedOn w:val="ad"/>
    <w:link w:val="21"/>
    <w:rsid w:val="00341240"/>
    <w:rPr>
      <w:rFonts w:ascii="Times New Roman" w:eastAsia="Times New Roman" w:hAnsi="Times New Roman" w:cs="Times New Roman"/>
      <w:bCs/>
      <w:sz w:val="24"/>
      <w:szCs w:val="24"/>
      <w:lang w:eastAsia="ru-RU"/>
    </w:rPr>
  </w:style>
  <w:style w:type="character" w:customStyle="1" w:styleId="apple-converted-space">
    <w:name w:val="apple-converted-space"/>
    <w:basedOn w:val="a7"/>
    <w:rsid w:val="00341240"/>
  </w:style>
  <w:style w:type="paragraph" w:customStyle="1" w:styleId="Text-10-TimesNewRoman">
    <w:name w:val="Text - 10 - Times New Roman"/>
    <w:basedOn w:val="24"/>
    <w:link w:val="Text-10-TimesNewRomanChar"/>
    <w:autoRedefine/>
    <w:qFormat/>
    <w:rsid w:val="00341240"/>
    <w:pPr>
      <w:spacing w:after="0" w:line="240" w:lineRule="auto"/>
      <w:jc w:val="both"/>
    </w:pPr>
    <w:rPr>
      <w:rFonts w:ascii="Tahoma" w:eastAsia="MS Mincho" w:hAnsi="Tahoma" w:cs="Tahoma"/>
      <w:noProof/>
      <w:snapToGrid w:val="0"/>
      <w:lang w:eastAsia="x-none"/>
    </w:rPr>
  </w:style>
  <w:style w:type="character" w:customStyle="1" w:styleId="Text-10-TimesNewRomanChar">
    <w:name w:val="Text - 10 - Times New Roman Char"/>
    <w:link w:val="Text-10-TimesNewRoman"/>
    <w:rsid w:val="00341240"/>
    <w:rPr>
      <w:rFonts w:ascii="Tahoma" w:eastAsia="MS Mincho" w:hAnsi="Tahoma" w:cs="Tahoma"/>
      <w:noProof/>
      <w:snapToGrid w:val="0"/>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hyperlink" Target="http://www.nkcbank.ru/viewCatalog.do?menuKey=129"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yperlink" Target="http://www.nkcbank.ru/viewCatalog.do?menuKey=128" TargetMode="External"/><Relationship Id="rId34" Type="http://schemas.openxmlformats.org/officeDocument/2006/relationships/image" Target="media/image15.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www.moex.com/s37" TargetMode="External"/><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moex.com/n9479/?nt=111"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hyperlink" Target="http://www.nkcbank.ru/viewCatalog.do?menuKey=18" TargetMode="External"/><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6.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ntTable" Target="fontTable.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chart" Target="charts/chart2.xml"/><Relationship Id="rId17" Type="http://schemas.openxmlformats.org/officeDocument/2006/relationships/hyperlink" Target="http://fs.moex.com/files/714"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ru-RU" sz="1600">
                <a:latin typeface="Times New Roman" panose="02020603050405020304" pitchFamily="18" charset="0"/>
                <a:cs typeface="Times New Roman" panose="02020603050405020304" pitchFamily="18" charset="0"/>
              </a:rPr>
              <a:t>Динамика объемов обязательств, по которым </a:t>
            </a:r>
            <a:r>
              <a:rPr lang="ru-RU" sz="1600" b="1" i="0" u="none" strike="noStrike" baseline="0">
                <a:effectLst/>
                <a:latin typeface="Times New Roman" panose="02020603050405020304" pitchFamily="18" charset="0"/>
                <a:cs typeface="Times New Roman" panose="02020603050405020304" pitchFamily="18" charset="0"/>
              </a:rPr>
              <a:t>в 2015 году </a:t>
            </a:r>
            <a:r>
              <a:rPr lang="ru-RU" sz="1600">
                <a:latin typeface="Times New Roman" panose="02020603050405020304" pitchFamily="18" charset="0"/>
                <a:cs typeface="Times New Roman" panose="02020603050405020304" pitchFamily="18" charset="0"/>
              </a:rPr>
              <a:t>осуществлялся клиринг на валютном, фондовом и срочном</a:t>
            </a:r>
            <a:r>
              <a:rPr lang="ru-RU" sz="1600" baseline="0">
                <a:latin typeface="Times New Roman" panose="02020603050405020304" pitchFamily="18" charset="0"/>
                <a:cs typeface="Times New Roman" panose="02020603050405020304" pitchFamily="18" charset="0"/>
              </a:rPr>
              <a:t> рынках </a:t>
            </a:r>
            <a:r>
              <a:rPr lang="ru-RU" sz="1600">
                <a:latin typeface="Times New Roman" panose="02020603050405020304" pitchFamily="18" charset="0"/>
                <a:cs typeface="Times New Roman" panose="02020603050405020304" pitchFamily="18" charset="0"/>
              </a:rPr>
              <a:t>(в руб.)  </a:t>
            </a:r>
          </a:p>
        </c:rich>
      </c:tx>
      <c:layout>
        <c:manualLayout>
          <c:xMode val="edge"/>
          <c:yMode val="edge"/>
          <c:x val="0.10922560397051312"/>
          <c:y val="0"/>
        </c:manualLayout>
      </c:layout>
      <c:overlay val="0"/>
      <c:spPr>
        <a:noFill/>
        <a:ln w="25403">
          <a:noFill/>
        </a:ln>
      </c:spPr>
    </c:title>
    <c:autoTitleDeleted val="0"/>
    <c:plotArea>
      <c:layout>
        <c:manualLayout>
          <c:layoutTarget val="inner"/>
          <c:xMode val="edge"/>
          <c:yMode val="edge"/>
          <c:x val="0.20731459373528147"/>
          <c:y val="0.23346426653176822"/>
          <c:w val="0.78343253621954323"/>
          <c:h val="0.6080065164268259"/>
        </c:manualLayout>
      </c:layout>
      <c:areaChart>
        <c:grouping val="stacked"/>
        <c:varyColors val="0"/>
        <c:ser>
          <c:idx val="0"/>
          <c:order val="0"/>
          <c:tx>
            <c:strRef>
              <c:f>Лист1!$B$1</c:f>
              <c:strCache>
                <c:ptCount val="1"/>
                <c:pt idx="0">
                  <c:v>срочный</c:v>
                </c:pt>
              </c:strCache>
            </c:strRef>
          </c:tx>
          <c:spPr>
            <a:solidFill>
              <a:srgbClr val="4F81BD"/>
            </a:solidFill>
            <a:ln w="25403">
              <a:noFill/>
            </a:ln>
          </c:spPr>
          <c:dPt>
            <c:idx val="1"/>
            <c:bubble3D val="0"/>
          </c:dPt>
          <c:dPt>
            <c:idx val="2"/>
            <c:bubble3D val="0"/>
          </c:dPt>
          <c:dPt>
            <c:idx val="3"/>
            <c:bubble3D val="0"/>
          </c:dPt>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formatCode="#,##0">
                  <c:v>8278911588924.8789</c:v>
                </c:pt>
                <c:pt idx="1">
                  <c:v>13241276926782.92</c:v>
                </c:pt>
                <c:pt idx="2">
                  <c:v>12644790353012.062</c:v>
                </c:pt>
                <c:pt idx="3">
                  <c:v>12678371965192.221</c:v>
                </c:pt>
                <c:pt idx="4">
                  <c:v>8817824512258.3418</c:v>
                </c:pt>
                <c:pt idx="5">
                  <c:v>13101789259560.941</c:v>
                </c:pt>
                <c:pt idx="6">
                  <c:v>15105823066202.379</c:v>
                </c:pt>
                <c:pt idx="7">
                  <c:v>23465068366457.582</c:v>
                </c:pt>
                <c:pt idx="8">
                  <c:v>21326445308185.543</c:v>
                </c:pt>
                <c:pt idx="9">
                  <c:v>20284028063643.98</c:v>
                </c:pt>
                <c:pt idx="10">
                  <c:v>18641270455667</c:v>
                </c:pt>
                <c:pt idx="11">
                  <c:v>19841098522064.316</c:v>
                </c:pt>
              </c:numCache>
            </c:numRef>
          </c:val>
        </c:ser>
        <c:ser>
          <c:idx val="1"/>
          <c:order val="1"/>
          <c:tx>
            <c:strRef>
              <c:f>Лист1!$C$1</c:f>
              <c:strCache>
                <c:ptCount val="1"/>
                <c:pt idx="0">
                  <c:v>фондовый</c:v>
                </c:pt>
              </c:strCache>
            </c:strRef>
          </c:tx>
          <c:spPr>
            <a:ln w="25400">
              <a:noFill/>
            </a:ln>
          </c:spPr>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44968904482533.75</c:v>
                </c:pt>
                <c:pt idx="1">
                  <c:v>61661248994121.625</c:v>
                </c:pt>
                <c:pt idx="2">
                  <c:v>70037966658281.531</c:v>
                </c:pt>
                <c:pt idx="3">
                  <c:v>65939511472710.641</c:v>
                </c:pt>
                <c:pt idx="4">
                  <c:v>50307505808959.273</c:v>
                </c:pt>
                <c:pt idx="5">
                  <c:v>64923808555333.047</c:v>
                </c:pt>
                <c:pt idx="6">
                  <c:v>59057846359689.164</c:v>
                </c:pt>
                <c:pt idx="7">
                  <c:v>54491813296849.656</c:v>
                </c:pt>
                <c:pt idx="8">
                  <c:v>63763868760254.039</c:v>
                </c:pt>
                <c:pt idx="9">
                  <c:v>70016003206198.898</c:v>
                </c:pt>
                <c:pt idx="10">
                  <c:v>62674860689528.297</c:v>
                </c:pt>
                <c:pt idx="11">
                  <c:v>97217559334938.984</c:v>
                </c:pt>
              </c:numCache>
            </c:numRef>
          </c:val>
        </c:ser>
        <c:ser>
          <c:idx val="2"/>
          <c:order val="2"/>
          <c:tx>
            <c:strRef>
              <c:f>Лист1!$D$1</c:f>
              <c:strCache>
                <c:ptCount val="1"/>
                <c:pt idx="0">
                  <c:v>валютный</c:v>
                </c:pt>
              </c:strCache>
            </c:strRef>
          </c:tx>
          <c:spPr>
            <a:ln w="25400">
              <a:noFill/>
            </a:ln>
          </c:spPr>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Лист1!$D$2:$D$13</c:f>
              <c:numCache>
                <c:formatCode>General</c:formatCode>
                <c:ptCount val="12"/>
                <c:pt idx="0">
                  <c:v>45968729064688.797</c:v>
                </c:pt>
                <c:pt idx="1">
                  <c:v>62781488085275.656</c:v>
                </c:pt>
                <c:pt idx="2">
                  <c:v>72801235989063.031</c:v>
                </c:pt>
                <c:pt idx="3">
                  <c:v>86834222388329.797</c:v>
                </c:pt>
                <c:pt idx="4">
                  <c:v>73321105370843.281</c:v>
                </c:pt>
                <c:pt idx="5">
                  <c:v>95741777218942.687</c:v>
                </c:pt>
                <c:pt idx="6">
                  <c:v>97819912812404.609</c:v>
                </c:pt>
                <c:pt idx="7">
                  <c:v>103491820866274.81</c:v>
                </c:pt>
                <c:pt idx="8">
                  <c:v>117186308852985.5</c:v>
                </c:pt>
                <c:pt idx="9">
                  <c:v>101315201141735</c:v>
                </c:pt>
                <c:pt idx="10">
                  <c:v>77681520287779.5</c:v>
                </c:pt>
                <c:pt idx="11">
                  <c:v>101688003120594.2</c:v>
                </c:pt>
              </c:numCache>
            </c:numRef>
          </c:val>
        </c:ser>
        <c:dLbls>
          <c:showLegendKey val="0"/>
          <c:showVal val="0"/>
          <c:showCatName val="0"/>
          <c:showSerName val="0"/>
          <c:showPercent val="0"/>
          <c:showBubbleSize val="0"/>
        </c:dLbls>
        <c:axId val="289168896"/>
        <c:axId val="288959296"/>
      </c:areaChart>
      <c:catAx>
        <c:axId val="289168896"/>
        <c:scaling>
          <c:orientation val="minMax"/>
        </c:scaling>
        <c:delete val="0"/>
        <c:axPos val="b"/>
        <c:numFmt formatCode="General" sourceLinked="0"/>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288959296"/>
        <c:crosses val="autoZero"/>
        <c:auto val="1"/>
        <c:lblAlgn val="ctr"/>
        <c:lblOffset val="100"/>
        <c:noMultiLvlLbl val="0"/>
      </c:catAx>
      <c:valAx>
        <c:axId val="288959296"/>
        <c:scaling>
          <c:orientation val="minMax"/>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289168896"/>
        <c:crosses val="autoZero"/>
        <c:crossBetween val="midCat"/>
      </c:valAx>
      <c:spPr>
        <a:solidFill>
          <a:srgbClr val="FFFFFF"/>
        </a:solidFill>
        <a:ln w="25403">
          <a:noFill/>
        </a:ln>
      </c:spPr>
    </c:plotArea>
    <c:legend>
      <c:legendPos val="r"/>
      <c:layout>
        <c:manualLayout>
          <c:xMode val="edge"/>
          <c:yMode val="edge"/>
          <c:x val="0.81028583455168324"/>
          <c:y val="0.1639953330265275"/>
          <c:w val="0.12565910932249538"/>
          <c:h val="0.20557489447040542"/>
        </c:manualLayout>
      </c:layout>
      <c:overlay val="0"/>
      <c:spPr>
        <a:noFill/>
        <a:ln w="25403">
          <a:noFill/>
        </a:ln>
      </c:spPr>
      <c:txPr>
        <a:bodyPr/>
        <a:lstStyle/>
        <a:p>
          <a:pPr>
            <a:defRPr sz="920" b="0" i="0" u="none" strike="noStrike" kern="900" baseline="0">
              <a:solidFill>
                <a:srgbClr val="000000"/>
              </a:solidFill>
              <a:latin typeface="Calibri"/>
              <a:ea typeface="Calibri"/>
              <a:cs typeface="Calibri"/>
            </a:defRPr>
          </a:pPr>
          <a:endParaRPr lang="ru-RU"/>
        </a:p>
      </c:txPr>
    </c:legend>
    <c:plotVisOnly val="1"/>
    <c:dispBlanksAs val="zero"/>
    <c:showDLblsOverMax val="0"/>
  </c:chart>
  <c:spPr>
    <a:solidFill>
      <a:srgbClr val="FFFFFF"/>
    </a:soli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ru-RU" sz="1600">
                <a:latin typeface="Times New Roman" panose="02020603050405020304" pitchFamily="18" charset="0"/>
                <a:cs typeface="Times New Roman" panose="02020603050405020304" pitchFamily="18" charset="0"/>
              </a:rPr>
              <a:t>Динамика объемов обязательств, по которым </a:t>
            </a:r>
            <a:r>
              <a:rPr lang="ru-RU" sz="1600" b="1" i="0" u="none" strike="noStrike" baseline="0">
                <a:effectLst/>
                <a:latin typeface="Times New Roman" panose="02020603050405020304" pitchFamily="18" charset="0"/>
                <a:cs typeface="Times New Roman" panose="02020603050405020304" pitchFamily="18" charset="0"/>
              </a:rPr>
              <a:t>в 2015 году </a:t>
            </a:r>
            <a:r>
              <a:rPr lang="ru-RU" sz="1600">
                <a:latin typeface="Times New Roman" panose="02020603050405020304" pitchFamily="18" charset="0"/>
                <a:cs typeface="Times New Roman" panose="02020603050405020304" pitchFamily="18" charset="0"/>
              </a:rPr>
              <a:t>осуществлялся клиринг на р</a:t>
            </a:r>
            <a:r>
              <a:rPr lang="ru-RU" sz="1600" baseline="0">
                <a:latin typeface="Times New Roman" panose="02020603050405020304" pitchFamily="18" charset="0"/>
                <a:cs typeface="Times New Roman" panose="02020603050405020304" pitchFamily="18" charset="0"/>
              </a:rPr>
              <a:t>ынке драгоценных металлов и рынке СПФИ </a:t>
            </a:r>
            <a:r>
              <a:rPr lang="ru-RU" sz="1600">
                <a:latin typeface="Times New Roman" panose="02020603050405020304" pitchFamily="18" charset="0"/>
                <a:cs typeface="Times New Roman" panose="02020603050405020304" pitchFamily="18" charset="0"/>
              </a:rPr>
              <a:t>(в руб.)  </a:t>
            </a:r>
          </a:p>
        </c:rich>
      </c:tx>
      <c:layout>
        <c:manualLayout>
          <c:xMode val="edge"/>
          <c:yMode val="edge"/>
          <c:x val="0.12652600218843196"/>
          <c:y val="0"/>
        </c:manualLayout>
      </c:layout>
      <c:overlay val="0"/>
      <c:spPr>
        <a:noFill/>
        <a:ln w="25403">
          <a:noFill/>
        </a:ln>
      </c:spPr>
    </c:title>
    <c:autoTitleDeleted val="0"/>
    <c:plotArea>
      <c:layout>
        <c:manualLayout>
          <c:layoutTarget val="inner"/>
          <c:xMode val="edge"/>
          <c:yMode val="edge"/>
          <c:x val="0.20507247363975697"/>
          <c:y val="0.22736300820930619"/>
          <c:w val="0.74669989841125817"/>
          <c:h val="0.64164973426849026"/>
        </c:manualLayout>
      </c:layout>
      <c:areaChart>
        <c:grouping val="stacked"/>
        <c:varyColors val="0"/>
        <c:ser>
          <c:idx val="0"/>
          <c:order val="0"/>
          <c:tx>
            <c:strRef>
              <c:f>Лист1!$B$1</c:f>
              <c:strCache>
                <c:ptCount val="1"/>
                <c:pt idx="0">
                  <c:v>СПФИ</c:v>
                </c:pt>
              </c:strCache>
            </c:strRef>
          </c:tx>
          <c:spPr>
            <a:solidFill>
              <a:srgbClr val="4F81BD"/>
            </a:solidFill>
            <a:ln w="25403">
              <a:noFill/>
            </a:ln>
          </c:spPr>
          <c:dPt>
            <c:idx val="1"/>
            <c:bubble3D val="0"/>
          </c:dPt>
          <c:dPt>
            <c:idx val="2"/>
            <c:bubble3D val="0"/>
          </c:dPt>
          <c:dPt>
            <c:idx val="3"/>
            <c:bubble3D val="0"/>
          </c:dPt>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0</c:v>
                </c:pt>
                <c:pt idx="1">
                  <c:v>397100000</c:v>
                </c:pt>
                <c:pt idx="2">
                  <c:v>124114600</c:v>
                </c:pt>
                <c:pt idx="3">
                  <c:v>102800000</c:v>
                </c:pt>
                <c:pt idx="4">
                  <c:v>0</c:v>
                </c:pt>
                <c:pt idx="5">
                  <c:v>1089000000</c:v>
                </c:pt>
                <c:pt idx="6">
                  <c:v>446019000</c:v>
                </c:pt>
                <c:pt idx="7">
                  <c:v>0</c:v>
                </c:pt>
                <c:pt idx="8">
                  <c:v>1332600</c:v>
                </c:pt>
                <c:pt idx="9">
                  <c:v>12382000</c:v>
                </c:pt>
                <c:pt idx="10">
                  <c:v>4792325400</c:v>
                </c:pt>
                <c:pt idx="11">
                  <c:v>686440000</c:v>
                </c:pt>
              </c:numCache>
            </c:numRef>
          </c:val>
        </c:ser>
        <c:ser>
          <c:idx val="1"/>
          <c:order val="1"/>
          <c:tx>
            <c:strRef>
              <c:f>Лист1!$C$1</c:f>
              <c:strCache>
                <c:ptCount val="1"/>
                <c:pt idx="0">
                  <c:v>ДМ</c:v>
                </c:pt>
              </c:strCache>
            </c:strRef>
          </c:tx>
          <c:spPr>
            <a:ln w="25400">
              <a:noFill/>
            </a:ln>
          </c:spPr>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8172209394.1999998</c:v>
                </c:pt>
                <c:pt idx="1">
                  <c:v>16132065142.6</c:v>
                </c:pt>
                <c:pt idx="2">
                  <c:v>20650531986.200001</c:v>
                </c:pt>
                <c:pt idx="3">
                  <c:v>24155818143.599998</c:v>
                </c:pt>
                <c:pt idx="4">
                  <c:v>28111506416.400002</c:v>
                </c:pt>
                <c:pt idx="5">
                  <c:v>32155442587.599998</c:v>
                </c:pt>
                <c:pt idx="6">
                  <c:v>37179643644.400002</c:v>
                </c:pt>
                <c:pt idx="7">
                  <c:v>41490195823.199997</c:v>
                </c:pt>
                <c:pt idx="8">
                  <c:v>41273476662</c:v>
                </c:pt>
                <c:pt idx="9">
                  <c:v>45557186377</c:v>
                </c:pt>
                <c:pt idx="10">
                  <c:v>40457892100</c:v>
                </c:pt>
                <c:pt idx="11">
                  <c:v>33593600774.400002</c:v>
                </c:pt>
              </c:numCache>
            </c:numRef>
          </c:val>
        </c:ser>
        <c:dLbls>
          <c:showLegendKey val="0"/>
          <c:showVal val="0"/>
          <c:showCatName val="0"/>
          <c:showSerName val="0"/>
          <c:showPercent val="0"/>
          <c:showBubbleSize val="0"/>
        </c:dLbls>
        <c:axId val="291615744"/>
        <c:axId val="288961024"/>
      </c:areaChart>
      <c:catAx>
        <c:axId val="291615744"/>
        <c:scaling>
          <c:orientation val="minMax"/>
        </c:scaling>
        <c:delete val="0"/>
        <c:axPos val="b"/>
        <c:numFmt formatCode="General" sourceLinked="0"/>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288961024"/>
        <c:crosses val="autoZero"/>
        <c:auto val="1"/>
        <c:lblAlgn val="ctr"/>
        <c:lblOffset val="100"/>
        <c:noMultiLvlLbl val="0"/>
      </c:catAx>
      <c:valAx>
        <c:axId val="288961024"/>
        <c:scaling>
          <c:orientation val="minMax"/>
          <c:max val="50000000000"/>
        </c:scaling>
        <c:delete val="0"/>
        <c:axPos val="l"/>
        <c:majorGridlines/>
        <c:numFmt formatCode="#,##0.00" sourceLinked="0"/>
        <c:majorTickMark val="out"/>
        <c:minorTickMark val="none"/>
        <c:tickLblPos val="nextTo"/>
        <c:txPr>
          <a:bodyPr rot="0" vert="horz"/>
          <a:lstStyle/>
          <a:p>
            <a:pPr>
              <a:defRPr sz="1000" b="0" i="0" u="none" strike="noStrike" kern="0" baseline="0">
                <a:solidFill>
                  <a:srgbClr val="000000"/>
                </a:solidFill>
                <a:latin typeface="Calibri"/>
                <a:ea typeface="Calibri"/>
                <a:cs typeface="Calibri"/>
              </a:defRPr>
            </a:pPr>
            <a:endParaRPr lang="ru-RU"/>
          </a:p>
        </c:txPr>
        <c:crossAx val="291615744"/>
        <c:crosses val="autoZero"/>
        <c:crossBetween val="midCat"/>
      </c:valAx>
      <c:spPr>
        <a:solidFill>
          <a:srgbClr val="FFFFFF"/>
        </a:solidFill>
        <a:ln w="25403">
          <a:noFill/>
        </a:ln>
      </c:spPr>
    </c:plotArea>
    <c:legend>
      <c:legendPos val="r"/>
      <c:layout>
        <c:manualLayout>
          <c:xMode val="edge"/>
          <c:yMode val="edge"/>
          <c:x val="0.8102856642721965"/>
          <c:y val="0.18842364679998699"/>
          <c:w val="0.12349655984353358"/>
          <c:h val="0.15672659172609787"/>
        </c:manualLayout>
      </c:layout>
      <c:overlay val="0"/>
      <c:spPr>
        <a:noFill/>
        <a:ln w="25403">
          <a:noFill/>
        </a:ln>
      </c:spPr>
      <c:txPr>
        <a:bodyPr/>
        <a:lstStyle/>
        <a:p>
          <a:pPr>
            <a:defRPr sz="920" b="0" i="0" u="none" strike="noStrike" baseline="0">
              <a:solidFill>
                <a:srgbClr val="000000"/>
              </a:solidFill>
              <a:latin typeface="Calibri"/>
              <a:ea typeface="Calibri"/>
              <a:cs typeface="Calibri"/>
            </a:defRPr>
          </a:pPr>
          <a:endParaRPr lang="ru-RU"/>
        </a:p>
      </c:txPr>
    </c:legend>
    <c:plotVisOnly val="1"/>
    <c:dispBlanksAs val="zero"/>
    <c:showDLblsOverMax val="0"/>
  </c:chart>
  <c:spPr>
    <a:solidFill>
      <a:srgbClr val="FFFFFF"/>
    </a:soli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454">
          <a:noFill/>
        </a:ln>
      </c:spPr>
      <c:txPr>
        <a:bodyPr/>
        <a:lstStyle/>
        <a:p>
          <a:pPr>
            <a:defRPr sz="1804" b="1" i="0" u="none" strike="noStrike" baseline="0">
              <a:solidFill>
                <a:srgbClr val="000000"/>
              </a:solidFill>
              <a:latin typeface="Calibri"/>
              <a:ea typeface="Calibri"/>
              <a:cs typeface="Calibri"/>
            </a:defRPr>
          </a:pPr>
          <a:endParaRPr lang="ru-RU"/>
        </a:p>
      </c:tx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Количество участников клиринга</c:v>
                </c:pt>
              </c:strCache>
            </c:strRef>
          </c:tx>
          <c:spPr>
            <a:solidFill>
              <a:srgbClr val="4F81BD"/>
            </a:solidFill>
            <a:ln w="25454">
              <a:noFill/>
            </a:ln>
          </c:spPr>
          <c:explosion val="13"/>
          <c:dPt>
            <c:idx val="0"/>
            <c:bubble3D val="0"/>
            <c:explosion val="4"/>
          </c:dPt>
          <c:dPt>
            <c:idx val="1"/>
            <c:bubble3D val="0"/>
            <c:explosion val="5"/>
            <c:spPr>
              <a:solidFill>
                <a:srgbClr val="C0504D"/>
              </a:solidFill>
              <a:ln w="25454">
                <a:noFill/>
              </a:ln>
            </c:spPr>
          </c:dPt>
          <c:dPt>
            <c:idx val="2"/>
            <c:bubble3D val="0"/>
            <c:explosion val="4"/>
            <c:spPr>
              <a:solidFill>
                <a:srgbClr val="9BBB59"/>
              </a:solidFill>
              <a:ln w="25454">
                <a:noFill/>
              </a:ln>
            </c:spPr>
          </c:dPt>
          <c:dPt>
            <c:idx val="3"/>
            <c:bubble3D val="0"/>
            <c:explosion val="6"/>
            <c:spPr>
              <a:solidFill>
                <a:srgbClr val="8064A2"/>
              </a:solidFill>
              <a:ln w="25454">
                <a:noFill/>
              </a:ln>
            </c:spPr>
          </c:dPt>
          <c:dPt>
            <c:idx val="4"/>
            <c:bubble3D val="0"/>
            <c:explosion val="7"/>
            <c:spPr>
              <a:solidFill>
                <a:srgbClr val="4BACC6"/>
              </a:solidFill>
              <a:ln w="25454">
                <a:noFill/>
              </a:ln>
            </c:spPr>
          </c:dPt>
          <c:dLbls>
            <c:spPr>
              <a:noFill/>
              <a:ln w="25454">
                <a:noFill/>
              </a:ln>
            </c:spPr>
            <c:txPr>
              <a:bodyPr/>
              <a:lstStyle/>
              <a:p>
                <a:pPr>
                  <a:defRPr sz="1002" b="0"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Лист1!$A$2:$A$6</c:f>
              <c:strCache>
                <c:ptCount val="5"/>
                <c:pt idx="0">
                  <c:v>Фондовый  471</c:v>
                </c:pt>
                <c:pt idx="1">
                  <c:v>Валютный 511</c:v>
                </c:pt>
                <c:pt idx="2">
                  <c:v>Срочный  131</c:v>
                </c:pt>
                <c:pt idx="3">
                  <c:v>Драг. металлов  61</c:v>
                </c:pt>
                <c:pt idx="4">
                  <c:v>Станд. ПФИ 35</c:v>
                </c:pt>
              </c:strCache>
            </c:strRef>
          </c:cat>
          <c:val>
            <c:numRef>
              <c:f>Лист1!$B$2:$B$6</c:f>
              <c:numCache>
                <c:formatCode>General</c:formatCode>
                <c:ptCount val="5"/>
                <c:pt idx="0">
                  <c:v>471</c:v>
                </c:pt>
                <c:pt idx="1">
                  <c:v>511</c:v>
                </c:pt>
                <c:pt idx="2">
                  <c:v>131</c:v>
                </c:pt>
                <c:pt idx="3">
                  <c:v>61</c:v>
                </c:pt>
                <c:pt idx="4">
                  <c:v>35</c:v>
                </c:pt>
              </c:numCache>
            </c:numRef>
          </c:val>
        </c:ser>
        <c:dLbls>
          <c:showLegendKey val="0"/>
          <c:showVal val="0"/>
          <c:showCatName val="0"/>
          <c:showSerName val="0"/>
          <c:showPercent val="0"/>
          <c:showBubbleSize val="0"/>
          <c:showLeaderLines val="1"/>
        </c:dLbls>
      </c:pie3DChart>
      <c:spPr>
        <a:noFill/>
        <a:ln w="25454">
          <a:noFill/>
        </a:ln>
      </c:spPr>
    </c:plotArea>
    <c:legend>
      <c:legendPos val="r"/>
      <c:layout>
        <c:manualLayout>
          <c:xMode val="edge"/>
          <c:yMode val="edge"/>
          <c:x val="4.5296084564771869E-2"/>
          <c:y val="0.19015643509163124"/>
          <c:w val="0.90127763995254018"/>
          <c:h val="7.3825517385548017E-2"/>
        </c:manualLayout>
      </c:layout>
      <c:overlay val="0"/>
      <c:spPr>
        <a:noFill/>
        <a:ln w="25454">
          <a:noFill/>
        </a:ln>
      </c:spPr>
      <c:txPr>
        <a:bodyPr/>
        <a:lstStyle/>
        <a:p>
          <a:pPr>
            <a:defRPr sz="922" b="0" i="0" u="none" strike="noStrike" baseline="0">
              <a:solidFill>
                <a:srgbClr val="000000"/>
              </a:solidFill>
              <a:latin typeface="Calibri"/>
              <a:ea typeface="Calibri"/>
              <a:cs typeface="Calibri"/>
            </a:defRPr>
          </a:pPr>
          <a:endParaRPr lang="ru-RU"/>
        </a:p>
      </c:txPr>
    </c:legend>
    <c:plotVisOnly val="1"/>
    <c:dispBlanksAs val="zero"/>
    <c:showDLblsOverMax val="0"/>
  </c:chart>
  <c:spPr>
    <a:solidFill>
      <a:srgbClr val="FFFFFF"/>
    </a:solidFill>
    <a:ln w="3182">
      <a:solidFill>
        <a:srgbClr val="808080"/>
      </a:solidFill>
      <a:prstDash val="solid"/>
    </a:ln>
  </c:spPr>
  <c:txPr>
    <a:bodyPr/>
    <a:lstStyle/>
    <a:p>
      <a:pPr>
        <a:defRPr sz="1002"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ru-RU"/>
              <a:t>Количество сделок, по которым осуществлялся клиринг </a:t>
            </a:r>
          </a:p>
        </c:rich>
      </c:tx>
      <c:overlay val="0"/>
      <c:spPr>
        <a:noFill/>
        <a:ln w="25394">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7.7547826770097361E-2"/>
          <c:y val="0.32288990694345027"/>
          <c:w val="0.58229716811549825"/>
          <c:h val="0.60805153901216891"/>
        </c:manualLayout>
      </c:layout>
      <c:pie3DChart>
        <c:varyColors val="1"/>
        <c:ser>
          <c:idx val="0"/>
          <c:order val="0"/>
          <c:tx>
            <c:strRef>
              <c:f>Лист1!$B$1</c:f>
              <c:strCache>
                <c:ptCount val="1"/>
                <c:pt idx="0">
                  <c:v>Количество сделок, по которым осуществляется клиринг </c:v>
                </c:pt>
              </c:strCache>
            </c:strRef>
          </c:tx>
          <c:spPr>
            <a:solidFill>
              <a:srgbClr val="4F81BD"/>
            </a:solidFill>
            <a:ln w="25394">
              <a:noFill/>
            </a:ln>
          </c:spPr>
          <c:explosion val="3"/>
          <c:dPt>
            <c:idx val="0"/>
            <c:bubble3D val="0"/>
            <c:explosion val="0"/>
          </c:dPt>
          <c:dPt>
            <c:idx val="1"/>
            <c:bubble3D val="0"/>
            <c:explosion val="0"/>
            <c:spPr>
              <a:solidFill>
                <a:srgbClr val="C0504D"/>
              </a:solidFill>
              <a:ln w="25394">
                <a:noFill/>
              </a:ln>
            </c:spPr>
          </c:dPt>
          <c:dPt>
            <c:idx val="2"/>
            <c:bubble3D val="0"/>
            <c:spPr>
              <a:solidFill>
                <a:srgbClr val="9BBB59"/>
              </a:solidFill>
              <a:ln w="25394">
                <a:noFill/>
              </a:ln>
            </c:spPr>
          </c:dPt>
          <c:dPt>
            <c:idx val="3"/>
            <c:bubble3D val="0"/>
            <c:spPr>
              <a:solidFill>
                <a:srgbClr val="8064A2"/>
              </a:solidFill>
              <a:ln w="25394">
                <a:noFill/>
              </a:ln>
            </c:spPr>
          </c:dPt>
          <c:dPt>
            <c:idx val="4"/>
            <c:bubble3D val="0"/>
            <c:spPr>
              <a:solidFill>
                <a:srgbClr val="4BACC6"/>
              </a:solidFill>
              <a:ln w="25394">
                <a:noFill/>
              </a:ln>
            </c:spPr>
          </c:dPt>
          <c:dLbls>
            <c:dLbl>
              <c:idx val="3"/>
              <c:layout>
                <c:manualLayout>
                  <c:x val="-3.2017914770966813E-2"/>
                  <c:y val="2.6952936475770732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3.7331011961558483E-2"/>
                  <c:y val="3.0590503086919223E-2"/>
                </c:manualLayout>
              </c:layout>
              <c:showLegendKey val="0"/>
              <c:showVal val="0"/>
              <c:showCatName val="0"/>
              <c:showSerName val="0"/>
              <c:showPercent val="1"/>
              <c:showBubbleSize val="0"/>
              <c:extLst>
                <c:ext xmlns:c15="http://schemas.microsoft.com/office/drawing/2012/chart" uri="{CE6537A1-D6FC-4f65-9D91-7224C49458BB}"/>
              </c:extLst>
            </c:dLbl>
            <c:spPr>
              <a:noFill/>
              <a:ln w="25394">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Лист1!$A$2:$A$6</c:f>
              <c:strCache>
                <c:ptCount val="5"/>
                <c:pt idx="0">
                  <c:v>Фондовый 109 321 506</c:v>
                </c:pt>
                <c:pt idx="1">
                  <c:v>Валютный      19 208 002</c:v>
                </c:pt>
                <c:pt idx="2">
                  <c:v>Срочный 320 751 599</c:v>
                </c:pt>
                <c:pt idx="3">
                  <c:v>Драг. металлов  1848</c:v>
                </c:pt>
                <c:pt idx="4">
                  <c:v>Станд. ПФИ 47</c:v>
                </c:pt>
              </c:strCache>
            </c:strRef>
          </c:cat>
          <c:val>
            <c:numRef>
              <c:f>Лист1!$B$2:$B$6</c:f>
              <c:numCache>
                <c:formatCode>General</c:formatCode>
                <c:ptCount val="5"/>
                <c:pt idx="0">
                  <c:v>109321506</c:v>
                </c:pt>
                <c:pt idx="1">
                  <c:v>19208002</c:v>
                </c:pt>
                <c:pt idx="2">
                  <c:v>320751599</c:v>
                </c:pt>
                <c:pt idx="3">
                  <c:v>1848</c:v>
                </c:pt>
                <c:pt idx="4">
                  <c:v>47</c:v>
                </c:pt>
              </c:numCache>
            </c:numRef>
          </c:val>
        </c:ser>
        <c:dLbls>
          <c:showLegendKey val="0"/>
          <c:showVal val="0"/>
          <c:showCatName val="0"/>
          <c:showSerName val="0"/>
          <c:showPercent val="0"/>
          <c:showBubbleSize val="0"/>
          <c:showLeaderLines val="1"/>
        </c:dLbls>
      </c:pie3DChart>
      <c:spPr>
        <a:noFill/>
        <a:ln w="25394">
          <a:noFill/>
        </a:ln>
      </c:spPr>
    </c:plotArea>
    <c:legend>
      <c:legendPos val="r"/>
      <c:layout>
        <c:manualLayout>
          <c:xMode val="edge"/>
          <c:yMode val="edge"/>
          <c:x val="7.457923521908974E-2"/>
          <c:y val="0.20496549749463136"/>
          <c:w val="0.87379108675674921"/>
          <c:h val="0.1224105461393597"/>
        </c:manualLayout>
      </c:layout>
      <c:overlay val="0"/>
      <c:spPr>
        <a:noFill/>
        <a:ln w="25394">
          <a:noFill/>
        </a:ln>
      </c:spPr>
      <c:txPr>
        <a:bodyPr/>
        <a:lstStyle/>
        <a:p>
          <a:pPr>
            <a:defRPr sz="920" b="0" i="0" u="none" strike="noStrike" baseline="0">
              <a:solidFill>
                <a:srgbClr val="000000"/>
              </a:solidFill>
              <a:latin typeface="Calibri"/>
              <a:ea typeface="Calibri"/>
              <a:cs typeface="Calibri"/>
            </a:defRPr>
          </a:pPr>
          <a:endParaRPr lang="ru-RU"/>
        </a:p>
      </c:txPr>
    </c:legend>
    <c:plotVisOnly val="1"/>
    <c:dispBlanksAs val="zero"/>
    <c:showDLblsOverMax val="0"/>
  </c:chart>
  <c:spPr>
    <a:solidFill>
      <a:srgbClr val="FFFFFF"/>
    </a:solidFill>
    <a:ln w="3174">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402">
          <a:noFill/>
        </a:ln>
      </c:spPr>
      <c:txPr>
        <a:bodyPr/>
        <a:lstStyle/>
        <a:p>
          <a:pPr>
            <a:defRPr sz="1800" b="1" i="0" u="none" strike="noStrike" baseline="0">
              <a:solidFill>
                <a:srgbClr val="000000"/>
              </a:solidFill>
              <a:latin typeface="Calibri"/>
              <a:ea typeface="Calibri"/>
              <a:cs typeface="Calibri"/>
            </a:defRPr>
          </a:pPr>
          <a:endParaRPr lang="ru-RU"/>
        </a:p>
      </c:tx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7.0422542673345065E-2"/>
          <c:y val="0.22069346234335871"/>
          <c:w val="0.70512993891458631"/>
          <c:h val="0.77880234715883445"/>
        </c:manualLayout>
      </c:layout>
      <c:pie3DChart>
        <c:varyColors val="1"/>
        <c:ser>
          <c:idx val="0"/>
          <c:order val="0"/>
          <c:tx>
            <c:strRef>
              <c:f>Лист1!$B$1</c:f>
              <c:strCache>
                <c:ptCount val="1"/>
                <c:pt idx="0">
                  <c:v>Объем  обязательств, определенных по итогам клиринга (млн. руб.)</c:v>
                </c:pt>
              </c:strCache>
            </c:strRef>
          </c:tx>
          <c:spPr>
            <a:solidFill>
              <a:srgbClr val="4F81BD"/>
            </a:solidFill>
            <a:ln w="25402">
              <a:noFill/>
            </a:ln>
          </c:spPr>
          <c:explosion val="25"/>
          <c:dPt>
            <c:idx val="0"/>
            <c:bubble3D val="0"/>
            <c:explosion val="2"/>
          </c:dPt>
          <c:dPt>
            <c:idx val="1"/>
            <c:bubble3D val="0"/>
            <c:explosion val="6"/>
            <c:spPr>
              <a:solidFill>
                <a:srgbClr val="C0504D"/>
              </a:solidFill>
              <a:ln w="25402">
                <a:noFill/>
              </a:ln>
            </c:spPr>
          </c:dPt>
          <c:dPt>
            <c:idx val="2"/>
            <c:bubble3D val="0"/>
            <c:explosion val="6"/>
            <c:spPr>
              <a:solidFill>
                <a:srgbClr val="9BBB59"/>
              </a:solidFill>
              <a:ln w="25402">
                <a:noFill/>
              </a:ln>
            </c:spPr>
          </c:dPt>
          <c:dPt>
            <c:idx val="3"/>
            <c:bubble3D val="0"/>
            <c:explosion val="12"/>
            <c:spPr>
              <a:solidFill>
                <a:srgbClr val="8064A2"/>
              </a:solidFill>
              <a:ln w="25402">
                <a:noFill/>
              </a:ln>
            </c:spPr>
          </c:dPt>
          <c:dPt>
            <c:idx val="4"/>
            <c:bubble3D val="0"/>
            <c:spPr>
              <a:solidFill>
                <a:srgbClr val="4BACC6"/>
              </a:solidFill>
              <a:ln w="25402">
                <a:noFill/>
              </a:ln>
            </c:spPr>
          </c:dPt>
          <c:dLbls>
            <c:dLbl>
              <c:idx val="3"/>
              <c:layout>
                <c:manualLayout>
                  <c:x val="-2.9583037965652228E-2"/>
                  <c:y val="2.782932937202965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2.8170394568837357E-2"/>
                  <c:y val="5.8592499284857547E-2"/>
                </c:manualLayout>
              </c:layout>
              <c:showLegendKey val="0"/>
              <c:showVal val="0"/>
              <c:showCatName val="0"/>
              <c:showSerName val="0"/>
              <c:showPercent val="1"/>
              <c:showBubbleSize val="0"/>
              <c:extLst>
                <c:ext xmlns:c15="http://schemas.microsoft.com/office/drawing/2012/chart" uri="{CE6537A1-D6FC-4f65-9D91-7224C49458BB}"/>
              </c:extLst>
            </c:dLbl>
            <c:spPr>
              <a:noFill/>
              <a:ln w="25402">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Лист1!$A$2:$A$6</c:f>
              <c:strCache>
                <c:ptCount val="5"/>
                <c:pt idx="0">
                  <c:v>Фондовый  765 060 898</c:v>
                </c:pt>
                <c:pt idx="1">
                  <c:v>Валютный  1 036 631 325</c:v>
                </c:pt>
                <c:pt idx="2">
                  <c:v>Срочный 187 426 698</c:v>
                </c:pt>
                <c:pt idx="3">
                  <c:v>Драг. металлов 368 929</c:v>
                </c:pt>
                <c:pt idx="4">
                  <c:v>Станд. ПФИ  7 651</c:v>
                </c:pt>
              </c:strCache>
            </c:strRef>
          </c:cat>
          <c:val>
            <c:numRef>
              <c:f>Лист1!$B$2:$B$6</c:f>
              <c:numCache>
                <c:formatCode>#,##0</c:formatCode>
                <c:ptCount val="5"/>
                <c:pt idx="0">
                  <c:v>765060898</c:v>
                </c:pt>
                <c:pt idx="1">
                  <c:v>1036631325</c:v>
                </c:pt>
                <c:pt idx="2">
                  <c:v>187426698</c:v>
                </c:pt>
                <c:pt idx="3">
                  <c:v>368929</c:v>
                </c:pt>
                <c:pt idx="4">
                  <c:v>7651</c:v>
                </c:pt>
              </c:numCache>
            </c:numRef>
          </c:val>
        </c:ser>
        <c:dLbls>
          <c:showLegendKey val="0"/>
          <c:showVal val="0"/>
          <c:showCatName val="0"/>
          <c:showSerName val="0"/>
          <c:showPercent val="0"/>
          <c:showBubbleSize val="0"/>
          <c:showLeaderLines val="1"/>
        </c:dLbls>
      </c:pie3DChart>
      <c:spPr>
        <a:noFill/>
        <a:ln w="25402">
          <a:noFill/>
        </a:ln>
      </c:spPr>
    </c:plotArea>
    <c:legend>
      <c:legendPos val="r"/>
      <c:layout>
        <c:manualLayout>
          <c:xMode val="edge"/>
          <c:yMode val="edge"/>
          <c:x val="7.6822499205536521E-2"/>
          <c:y val="0.22824302134646962"/>
          <c:w val="0.88331997457716893"/>
          <c:h val="0.10673234811165845"/>
        </c:manualLayout>
      </c:layout>
      <c:overlay val="0"/>
      <c:spPr>
        <a:noFill/>
        <a:ln w="25402">
          <a:noFill/>
        </a:ln>
      </c:spPr>
      <c:txPr>
        <a:bodyPr/>
        <a:lstStyle/>
        <a:p>
          <a:pPr>
            <a:defRPr sz="920" b="0" i="0" u="none" strike="noStrike" baseline="0">
              <a:solidFill>
                <a:srgbClr val="000000"/>
              </a:solidFill>
              <a:latin typeface="Calibri"/>
              <a:ea typeface="Calibri"/>
              <a:cs typeface="Calibri"/>
            </a:defRPr>
          </a:pPr>
          <a:endParaRPr lang="ru-RU"/>
        </a:p>
      </c:txPr>
    </c:legend>
    <c:plotVisOnly val="1"/>
    <c:dispBlanksAs val="zero"/>
    <c:showDLblsOverMax val="0"/>
  </c:chart>
  <c:spPr>
    <a:solidFill>
      <a:srgbClr val="FFFFFF"/>
    </a:soli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Динамика операций при дефолтах</a:t>
            </a:r>
          </a:p>
        </c:rich>
      </c:tx>
      <c:overlay val="0"/>
    </c:title>
    <c:autoTitleDeleted val="0"/>
    <c:plotArea>
      <c:layout>
        <c:manualLayout>
          <c:layoutTarget val="inner"/>
          <c:xMode val="edge"/>
          <c:yMode val="edge"/>
          <c:x val="8.456514270794685E-2"/>
          <c:y val="0.12853194825603584"/>
          <c:w val="0.83617443168441152"/>
          <c:h val="0.67573486291410179"/>
        </c:manualLayout>
      </c:layout>
      <c:lineChart>
        <c:grouping val="standard"/>
        <c:varyColors val="0"/>
        <c:ser>
          <c:idx val="0"/>
          <c:order val="0"/>
          <c:tx>
            <c:v>Количество сделок, штук</c:v>
          </c:tx>
          <c:cat>
            <c:numRef>
              <c:f>Лист1!$A$12:$A$14</c:f>
              <c:numCache>
                <c:formatCode>General</c:formatCode>
                <c:ptCount val="3"/>
                <c:pt idx="0">
                  <c:v>2013</c:v>
                </c:pt>
                <c:pt idx="1">
                  <c:v>2014</c:v>
                </c:pt>
                <c:pt idx="2">
                  <c:v>2015</c:v>
                </c:pt>
              </c:numCache>
            </c:numRef>
          </c:cat>
          <c:val>
            <c:numRef>
              <c:f>Лист1!$B$12:$B$14</c:f>
              <c:numCache>
                <c:formatCode>#,##0</c:formatCode>
                <c:ptCount val="3"/>
                <c:pt idx="0">
                  <c:v>512</c:v>
                </c:pt>
                <c:pt idx="1">
                  <c:v>1259</c:v>
                </c:pt>
                <c:pt idx="2">
                  <c:v>1149</c:v>
                </c:pt>
              </c:numCache>
            </c:numRef>
          </c:val>
          <c:smooth val="0"/>
        </c:ser>
        <c:dLbls>
          <c:showLegendKey val="0"/>
          <c:showVal val="0"/>
          <c:showCatName val="0"/>
          <c:showSerName val="0"/>
          <c:showPercent val="0"/>
          <c:showBubbleSize val="0"/>
        </c:dLbls>
        <c:marker val="1"/>
        <c:smooth val="0"/>
        <c:axId val="281290752"/>
        <c:axId val="288961600"/>
      </c:lineChart>
      <c:lineChart>
        <c:grouping val="standard"/>
        <c:varyColors val="0"/>
        <c:ser>
          <c:idx val="1"/>
          <c:order val="1"/>
          <c:tx>
            <c:v>Объем, млн. в руб эквиваленте</c:v>
          </c:tx>
          <c:cat>
            <c:numRef>
              <c:f>Лист1!$A$12:$A$14</c:f>
              <c:numCache>
                <c:formatCode>General</c:formatCode>
                <c:ptCount val="3"/>
                <c:pt idx="0">
                  <c:v>2013</c:v>
                </c:pt>
                <c:pt idx="1">
                  <c:v>2014</c:v>
                </c:pt>
                <c:pt idx="2">
                  <c:v>2015</c:v>
                </c:pt>
              </c:numCache>
            </c:numRef>
          </c:cat>
          <c:val>
            <c:numRef>
              <c:f>Лист1!$C$12:$C$14</c:f>
              <c:numCache>
                <c:formatCode>#,##0</c:formatCode>
                <c:ptCount val="3"/>
                <c:pt idx="0">
                  <c:v>3545.1559999999999</c:v>
                </c:pt>
                <c:pt idx="1">
                  <c:v>146906.08599999998</c:v>
                </c:pt>
                <c:pt idx="2">
                  <c:v>159627.06099999999</c:v>
                </c:pt>
              </c:numCache>
            </c:numRef>
          </c:val>
          <c:smooth val="0"/>
        </c:ser>
        <c:dLbls>
          <c:showLegendKey val="0"/>
          <c:showVal val="0"/>
          <c:showCatName val="0"/>
          <c:showSerName val="0"/>
          <c:showPercent val="0"/>
          <c:showBubbleSize val="0"/>
        </c:dLbls>
        <c:marker val="1"/>
        <c:smooth val="0"/>
        <c:axId val="281291776"/>
        <c:axId val="288962176"/>
      </c:lineChart>
      <c:catAx>
        <c:axId val="281290752"/>
        <c:scaling>
          <c:orientation val="minMax"/>
        </c:scaling>
        <c:delete val="0"/>
        <c:axPos val="b"/>
        <c:numFmt formatCode="General" sourceLinked="1"/>
        <c:majorTickMark val="out"/>
        <c:minorTickMark val="none"/>
        <c:tickLblPos val="nextTo"/>
        <c:crossAx val="288961600"/>
        <c:crosses val="autoZero"/>
        <c:auto val="1"/>
        <c:lblAlgn val="ctr"/>
        <c:lblOffset val="100"/>
        <c:noMultiLvlLbl val="0"/>
      </c:catAx>
      <c:valAx>
        <c:axId val="288961600"/>
        <c:scaling>
          <c:orientation val="minMax"/>
        </c:scaling>
        <c:delete val="0"/>
        <c:axPos val="l"/>
        <c:majorGridlines/>
        <c:numFmt formatCode="#,##0" sourceLinked="1"/>
        <c:majorTickMark val="out"/>
        <c:minorTickMark val="none"/>
        <c:tickLblPos val="nextTo"/>
        <c:spPr>
          <a:ln w="12700"/>
        </c:spPr>
        <c:crossAx val="281290752"/>
        <c:crosses val="autoZero"/>
        <c:crossBetween val="between"/>
      </c:valAx>
      <c:valAx>
        <c:axId val="288962176"/>
        <c:scaling>
          <c:orientation val="minMax"/>
        </c:scaling>
        <c:delete val="0"/>
        <c:axPos val="r"/>
        <c:numFmt formatCode="#,##0" sourceLinked="1"/>
        <c:majorTickMark val="out"/>
        <c:minorTickMark val="none"/>
        <c:tickLblPos val="nextTo"/>
        <c:crossAx val="281291776"/>
        <c:crosses val="max"/>
        <c:crossBetween val="between"/>
      </c:valAx>
      <c:catAx>
        <c:axId val="281291776"/>
        <c:scaling>
          <c:orientation val="minMax"/>
        </c:scaling>
        <c:delete val="1"/>
        <c:axPos val="b"/>
        <c:numFmt formatCode="General" sourceLinked="1"/>
        <c:majorTickMark val="out"/>
        <c:minorTickMark val="none"/>
        <c:tickLblPos val="nextTo"/>
        <c:crossAx val="288962176"/>
        <c:crosses val="autoZero"/>
        <c:auto val="1"/>
        <c:lblAlgn val="ctr"/>
        <c:lblOffset val="100"/>
        <c:noMultiLvlLbl val="0"/>
      </c:catAx>
    </c:plotArea>
    <c:legend>
      <c:legendPos val="r"/>
      <c:layout>
        <c:manualLayout>
          <c:xMode val="edge"/>
          <c:yMode val="edge"/>
          <c:x val="0.57112950080269087"/>
          <c:y val="0.60841702925560781"/>
          <c:w val="0.31074573809341793"/>
          <c:h val="0.18195163677878889"/>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71</Pages>
  <Words>26158</Words>
  <Characters>149106</Characters>
  <Application>Microsoft Office Word</Application>
  <DocSecurity>0</DocSecurity>
  <Lines>1242</Lines>
  <Paragraphs>349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174915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Кудасов Сергей Эдмундович</dc:creator>
  <cp:lastModifiedBy>Кудасов Сергей Эдмундович</cp:lastModifiedBy>
  <cp:revision>4</cp:revision>
  <dcterms:created xsi:type="dcterms:W3CDTF">2016-05-18T12:35:00Z</dcterms:created>
  <dcterms:modified xsi:type="dcterms:W3CDTF">2016-05-18T12:39:00Z</dcterms:modified>
</cp:coreProperties>
</file>