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pPr w:leftFromText="180" w:rightFromText="180" w:vertAnchor="page" w:horzAnchor="margin" w:tblpXSpec="center" w:tblpY="1546"/>
        <w:tblW w:w="15021" w:type="dxa"/>
        <w:tblLayout w:type="fixed"/>
        <w:tblLook w:val="04A0" w:firstRow="1" w:lastRow="0" w:firstColumn="1" w:lastColumn="0" w:noHBand="0" w:noVBand="1"/>
      </w:tblPr>
      <w:tblGrid>
        <w:gridCol w:w="2547"/>
        <w:gridCol w:w="2693"/>
        <w:gridCol w:w="7088"/>
        <w:gridCol w:w="2693"/>
      </w:tblGrid>
      <w:tr w:rsidR="00922776" w:rsidRPr="004B4FFB" w:rsidTr="00AC564F">
        <w:trPr>
          <w:trHeight w:val="990"/>
        </w:trPr>
        <w:tc>
          <w:tcPr>
            <w:tcW w:w="2547" w:type="dxa"/>
            <w:shd w:val="clear" w:color="auto" w:fill="ED7D31" w:themeFill="accent2"/>
            <w:vAlign w:val="center"/>
          </w:tcPr>
          <w:p w:rsidR="00922776" w:rsidRPr="004B4FFB" w:rsidRDefault="00922776" w:rsidP="007440AE">
            <w:pPr>
              <w:spacing w:before="240" w:after="240"/>
              <w:ind w:left="317" w:hanging="1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4FFB">
              <w:rPr>
                <w:b/>
                <w:color w:val="000000" w:themeColor="text1"/>
                <w:sz w:val="22"/>
                <w:szCs w:val="22"/>
              </w:rPr>
              <w:t>Изменения</w:t>
            </w:r>
          </w:p>
        </w:tc>
        <w:tc>
          <w:tcPr>
            <w:tcW w:w="2693" w:type="dxa"/>
            <w:shd w:val="clear" w:color="auto" w:fill="ED7D31" w:themeFill="accent2"/>
            <w:vAlign w:val="center"/>
          </w:tcPr>
          <w:p w:rsidR="00922776" w:rsidRPr="004B4FFB" w:rsidRDefault="00922776" w:rsidP="007440AE">
            <w:pPr>
              <w:spacing w:before="240" w:after="240"/>
              <w:ind w:right="-96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4FFB">
              <w:rPr>
                <w:b/>
                <w:color w:val="000000" w:themeColor="text1"/>
                <w:sz w:val="22"/>
                <w:szCs w:val="22"/>
              </w:rPr>
              <w:t xml:space="preserve">Пункт </w:t>
            </w:r>
            <w:r w:rsidRPr="004B4FFB">
              <w:rPr>
                <w:b/>
                <w:color w:val="000000" w:themeColor="text1"/>
                <w:sz w:val="22"/>
                <w:szCs w:val="22"/>
              </w:rPr>
              <w:br/>
              <w:t>Правил клиринга</w:t>
            </w:r>
          </w:p>
        </w:tc>
        <w:tc>
          <w:tcPr>
            <w:tcW w:w="7088" w:type="dxa"/>
            <w:shd w:val="clear" w:color="auto" w:fill="ED7D31" w:themeFill="accent2"/>
            <w:vAlign w:val="center"/>
          </w:tcPr>
          <w:p w:rsidR="00922776" w:rsidRPr="004B4FFB" w:rsidRDefault="00922776" w:rsidP="007440AE">
            <w:pPr>
              <w:spacing w:before="240" w:after="24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4FFB">
              <w:rPr>
                <w:b/>
                <w:color w:val="000000" w:themeColor="text1"/>
                <w:sz w:val="22"/>
                <w:szCs w:val="22"/>
              </w:rPr>
              <w:t>Описание изменений</w:t>
            </w:r>
          </w:p>
        </w:tc>
        <w:tc>
          <w:tcPr>
            <w:tcW w:w="2693" w:type="dxa"/>
            <w:shd w:val="clear" w:color="auto" w:fill="ED7D31" w:themeFill="accent2"/>
            <w:vAlign w:val="center"/>
          </w:tcPr>
          <w:p w:rsidR="00922776" w:rsidRPr="004B4FFB" w:rsidRDefault="00922776" w:rsidP="007440AE">
            <w:pPr>
              <w:spacing w:before="240" w:after="24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4FFB">
              <w:rPr>
                <w:b/>
                <w:color w:val="000000" w:themeColor="text1"/>
                <w:sz w:val="22"/>
                <w:szCs w:val="22"/>
              </w:rPr>
              <w:t xml:space="preserve">Влияние на права и обязанности </w:t>
            </w:r>
            <w:r w:rsidRPr="004B4FFB">
              <w:rPr>
                <w:b/>
                <w:color w:val="000000" w:themeColor="text1"/>
                <w:sz w:val="22"/>
                <w:szCs w:val="22"/>
              </w:rPr>
              <w:br/>
              <w:t>Участников клиринга</w:t>
            </w:r>
          </w:p>
        </w:tc>
      </w:tr>
      <w:tr w:rsidR="00922776" w:rsidRPr="004B4FFB" w:rsidTr="00AC564F">
        <w:trPr>
          <w:trHeight w:val="557"/>
        </w:trPr>
        <w:tc>
          <w:tcPr>
            <w:tcW w:w="2547" w:type="dxa"/>
            <w:shd w:val="clear" w:color="auto" w:fill="FBE4D5" w:themeFill="accent2" w:themeFillTint="33"/>
          </w:tcPr>
          <w:p w:rsidR="00922776" w:rsidRPr="004B4FFB" w:rsidRDefault="00FF0D57" w:rsidP="00922776">
            <w:pPr>
              <w:pStyle w:val="a3"/>
              <w:numPr>
                <w:ilvl w:val="0"/>
                <w:numId w:val="1"/>
              </w:numPr>
              <w:spacing w:before="120"/>
              <w:ind w:left="306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А</w:t>
            </w:r>
            <w:r w:rsidRPr="00FF0D57">
              <w:rPr>
                <w:b/>
                <w:sz w:val="22"/>
                <w:szCs w:val="22"/>
              </w:rPr>
              <w:t>втоматизаци</w:t>
            </w:r>
            <w:r>
              <w:rPr>
                <w:b/>
                <w:sz w:val="22"/>
                <w:szCs w:val="22"/>
              </w:rPr>
              <w:t>я</w:t>
            </w:r>
            <w:r w:rsidRPr="00FF0D57">
              <w:rPr>
                <w:b/>
                <w:sz w:val="22"/>
                <w:szCs w:val="22"/>
              </w:rPr>
              <w:t xml:space="preserve"> процедуры Перевода обязательств и Обеспечения, замены Торгово-клирингового счета</w:t>
            </w:r>
          </w:p>
        </w:tc>
        <w:tc>
          <w:tcPr>
            <w:tcW w:w="2693" w:type="dxa"/>
          </w:tcPr>
          <w:p w:rsidR="00922776" w:rsidRPr="004B4FFB" w:rsidRDefault="00922776" w:rsidP="007440AE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4B4FFB">
              <w:rPr>
                <w:sz w:val="22"/>
                <w:szCs w:val="22"/>
                <w:lang w:val="ru-RU"/>
              </w:rPr>
              <w:t>Подпункт 40.8.3, пункты 58.13, 58.16-58.18, 58.22 общей части Правил клиринга, пункт 7.5 приложения 6 к общей части Правил клиринга.</w:t>
            </w:r>
          </w:p>
        </w:tc>
        <w:tc>
          <w:tcPr>
            <w:tcW w:w="7088" w:type="dxa"/>
          </w:tcPr>
          <w:p w:rsidR="00922776" w:rsidRPr="004B4FFB" w:rsidRDefault="00922776" w:rsidP="007440AE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 w:rsidRPr="004B4FFB">
              <w:rPr>
                <w:color w:val="000000"/>
                <w:sz w:val="22"/>
                <w:szCs w:val="22"/>
                <w:lang w:val="ru-RU"/>
              </w:rPr>
              <w:t xml:space="preserve">Изменения касаются автоматизации </w:t>
            </w:r>
            <w:r w:rsidRPr="004B4FFB">
              <w:rPr>
                <w:color w:val="000000" w:themeColor="text1"/>
                <w:sz w:val="22"/>
                <w:szCs w:val="22"/>
              </w:rPr>
              <w:t>процедуры Перевода обязательств и Обеспечения</w:t>
            </w:r>
            <w:r w:rsidRPr="004B4FFB">
              <w:rPr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4B4FFB">
              <w:rPr>
                <w:color w:val="000000" w:themeColor="text1"/>
                <w:sz w:val="22"/>
                <w:szCs w:val="22"/>
              </w:rPr>
              <w:t>замен</w:t>
            </w:r>
            <w:r w:rsidRPr="004B4FFB">
              <w:rPr>
                <w:color w:val="000000" w:themeColor="text1"/>
                <w:sz w:val="22"/>
                <w:szCs w:val="22"/>
                <w:lang w:val="ru-RU"/>
              </w:rPr>
              <w:t>ы</w:t>
            </w:r>
            <w:r w:rsidRPr="004B4FFB">
              <w:rPr>
                <w:color w:val="000000" w:themeColor="text1"/>
                <w:sz w:val="22"/>
                <w:szCs w:val="22"/>
              </w:rPr>
              <w:t xml:space="preserve"> Торгово-клирингового счета</w:t>
            </w:r>
            <w:r w:rsidRPr="004B4FFB">
              <w:rPr>
                <w:color w:val="000000"/>
                <w:sz w:val="22"/>
                <w:szCs w:val="22"/>
                <w:lang w:val="ru-RU"/>
              </w:rPr>
              <w:t>.</w:t>
            </w:r>
          </w:p>
          <w:p w:rsidR="00922776" w:rsidRPr="004B4FFB" w:rsidRDefault="00922776" w:rsidP="007440AE">
            <w:pPr>
              <w:pStyle w:val="Texttab"/>
              <w:spacing w:before="120" w:after="120"/>
              <w:ind w:left="0"/>
              <w:rPr>
                <w:color w:val="000000" w:themeColor="text1"/>
                <w:sz w:val="22"/>
                <w:szCs w:val="22"/>
                <w:lang w:val="ru-RU"/>
              </w:rPr>
            </w:pPr>
            <w:r w:rsidRPr="004B4FFB">
              <w:rPr>
                <w:color w:val="000000"/>
                <w:sz w:val="22"/>
                <w:szCs w:val="22"/>
                <w:lang w:val="ru-RU"/>
              </w:rPr>
              <w:t>В действующей редакции правил клиринга определено, что при</w:t>
            </w:r>
            <w:r w:rsidRPr="004B4FFB">
              <w:rPr>
                <w:sz w:val="22"/>
                <w:szCs w:val="22"/>
                <w:lang w:val="ru-RU"/>
              </w:rPr>
              <w:t xml:space="preserve"> </w:t>
            </w:r>
            <w:r w:rsidRPr="004B4FFB">
              <w:rPr>
                <w:color w:val="000000" w:themeColor="text1"/>
                <w:sz w:val="22"/>
                <w:szCs w:val="22"/>
              </w:rPr>
              <w:t>проведени</w:t>
            </w:r>
            <w:r w:rsidRPr="004B4FFB">
              <w:rPr>
                <w:color w:val="000000" w:themeColor="text1"/>
                <w:sz w:val="22"/>
                <w:szCs w:val="22"/>
                <w:lang w:val="ru-RU"/>
              </w:rPr>
              <w:t>и</w:t>
            </w:r>
            <w:r w:rsidRPr="004B4FFB">
              <w:rPr>
                <w:color w:val="000000" w:themeColor="text1"/>
                <w:sz w:val="22"/>
                <w:szCs w:val="22"/>
              </w:rPr>
              <w:t xml:space="preserve"> процедуры Перевода обязательств и Обеспечения, Клиринговый центр устанавливает Режим урегулирования</w:t>
            </w:r>
            <w:r w:rsidRPr="004B4FFB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4B4FFB">
              <w:rPr>
                <w:color w:val="000000" w:themeColor="text1"/>
                <w:sz w:val="22"/>
                <w:szCs w:val="22"/>
              </w:rPr>
              <w:t xml:space="preserve">по Расчетному коду </w:t>
            </w:r>
            <w:r w:rsidRPr="004B4FFB">
              <w:rPr>
                <w:color w:val="000000" w:themeColor="text1"/>
                <w:sz w:val="22"/>
                <w:szCs w:val="22"/>
                <w:lang w:val="ru-RU"/>
              </w:rPr>
              <w:t xml:space="preserve">Базового </w:t>
            </w:r>
            <w:r w:rsidRPr="004B4FFB">
              <w:rPr>
                <w:color w:val="000000" w:themeColor="text1"/>
                <w:sz w:val="22"/>
                <w:szCs w:val="22"/>
              </w:rPr>
              <w:t>Участника клиринга</w:t>
            </w:r>
            <w:r w:rsidRPr="004B4FFB">
              <w:rPr>
                <w:color w:val="000000" w:themeColor="text1"/>
                <w:sz w:val="22"/>
                <w:szCs w:val="22"/>
                <w:lang w:val="ru-RU"/>
              </w:rPr>
              <w:t>.</w:t>
            </w:r>
            <w:r w:rsidRPr="004B4FF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B4FFB">
              <w:rPr>
                <w:color w:val="000000" w:themeColor="text1"/>
                <w:sz w:val="22"/>
                <w:szCs w:val="22"/>
                <w:lang w:val="ru-RU"/>
              </w:rPr>
              <w:t>Новой редакцией</w:t>
            </w:r>
            <w:r w:rsidRPr="004B4FFB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4B4FFB">
              <w:rPr>
                <w:sz w:val="22"/>
                <w:szCs w:val="22"/>
                <w:lang w:val="ru-RU"/>
              </w:rPr>
              <w:t xml:space="preserve">определено, что в </w:t>
            </w:r>
            <w:r w:rsidRPr="004B4FFB">
              <w:rPr>
                <w:color w:val="000000" w:themeColor="text1"/>
                <w:sz w:val="22"/>
                <w:szCs w:val="22"/>
              </w:rPr>
              <w:t>случае проведения процедуры Перевода обязательств и Обеспечения</w:t>
            </w:r>
            <w:r w:rsidRPr="004B4FFB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4B4FFB">
              <w:rPr>
                <w:color w:val="000000" w:themeColor="text1"/>
                <w:sz w:val="22"/>
                <w:szCs w:val="22"/>
              </w:rPr>
              <w:t xml:space="preserve">по </w:t>
            </w:r>
            <w:r w:rsidRPr="004B4FFB">
              <w:rPr>
                <w:color w:val="000000" w:themeColor="text1"/>
                <w:sz w:val="22"/>
                <w:szCs w:val="22"/>
                <w:lang w:val="ru-RU"/>
              </w:rPr>
              <w:t>поручению Базового Участника клиринга</w:t>
            </w:r>
            <w:r w:rsidRPr="004B4FFB">
              <w:rPr>
                <w:color w:val="000000" w:themeColor="text1"/>
                <w:sz w:val="22"/>
                <w:szCs w:val="22"/>
              </w:rPr>
              <w:t>, Клиринговый центр устанавливает Режим урегулирования также и по Расчетному коду Участника клиринга – реципиента</w:t>
            </w:r>
            <w:r w:rsidRPr="004B4FFB">
              <w:rPr>
                <w:color w:val="000000" w:themeColor="text1"/>
                <w:sz w:val="22"/>
                <w:szCs w:val="22"/>
                <w:lang w:val="ru-RU"/>
              </w:rPr>
              <w:t>.</w:t>
            </w:r>
          </w:p>
          <w:p w:rsidR="00922776" w:rsidRPr="004B4FFB" w:rsidRDefault="00922776" w:rsidP="007440AE">
            <w:pPr>
              <w:pStyle w:val="Texttab"/>
              <w:spacing w:before="120" w:after="120"/>
              <w:ind w:left="0"/>
              <w:rPr>
                <w:color w:val="000000" w:themeColor="text1"/>
                <w:sz w:val="22"/>
                <w:szCs w:val="22"/>
                <w:lang w:val="ru-RU"/>
              </w:rPr>
            </w:pPr>
            <w:bookmarkStart w:id="0" w:name="_Hlk51766735"/>
            <w:r w:rsidRPr="001A3DC4">
              <w:rPr>
                <w:sz w:val="22"/>
                <w:szCs w:val="22"/>
                <w:lang w:val="ru-RU"/>
              </w:rPr>
              <w:t xml:space="preserve">Определены случаи, при которых </w:t>
            </w:r>
            <w:r w:rsidRPr="001A3DC4">
              <w:rPr>
                <w:color w:val="000000" w:themeColor="text1"/>
                <w:sz w:val="22"/>
                <w:szCs w:val="22"/>
              </w:rPr>
              <w:t>процедур</w:t>
            </w:r>
            <w:r w:rsidRPr="001A3DC4">
              <w:rPr>
                <w:color w:val="000000" w:themeColor="text1"/>
                <w:sz w:val="22"/>
                <w:szCs w:val="22"/>
                <w:lang w:val="ru-RU"/>
              </w:rPr>
              <w:t>а</w:t>
            </w:r>
            <w:r w:rsidRPr="001A3DC4">
              <w:rPr>
                <w:color w:val="000000" w:themeColor="text1"/>
                <w:sz w:val="22"/>
                <w:szCs w:val="22"/>
              </w:rPr>
              <w:t xml:space="preserve"> Перевода обязательств и Обеспечения</w:t>
            </w:r>
            <w:r w:rsidRPr="001A3DC4">
              <w:rPr>
                <w:color w:val="000000" w:themeColor="text1"/>
                <w:sz w:val="22"/>
                <w:szCs w:val="22"/>
                <w:lang w:val="ru-RU"/>
              </w:rPr>
              <w:t xml:space="preserve"> не проводится</w:t>
            </w:r>
            <w:r w:rsidR="001A3DC4" w:rsidRPr="001A3DC4">
              <w:rPr>
                <w:color w:val="000000" w:themeColor="text1"/>
                <w:sz w:val="22"/>
                <w:szCs w:val="22"/>
                <w:lang w:val="ru-RU"/>
              </w:rPr>
              <w:t xml:space="preserve"> (п.58.16)</w:t>
            </w:r>
            <w:r w:rsidRPr="001A3DC4">
              <w:rPr>
                <w:color w:val="000000" w:themeColor="text1"/>
                <w:sz w:val="22"/>
                <w:szCs w:val="22"/>
                <w:lang w:val="ru-RU"/>
              </w:rPr>
              <w:t>.</w:t>
            </w:r>
          </w:p>
          <w:p w:rsidR="00922776" w:rsidRPr="004B4FFB" w:rsidRDefault="00922776" w:rsidP="007440AE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bookmarkStart w:id="1" w:name="_Hlk51767778"/>
            <w:bookmarkEnd w:id="0"/>
            <w:r w:rsidRPr="004B4FFB">
              <w:rPr>
                <w:sz w:val="22"/>
                <w:szCs w:val="22"/>
                <w:lang w:val="ru-RU"/>
              </w:rPr>
              <w:t>Установлено, что в случае е</w:t>
            </w:r>
            <w:r w:rsidRPr="004B4FFB">
              <w:rPr>
                <w:sz w:val="22"/>
                <w:szCs w:val="22"/>
              </w:rPr>
              <w:t xml:space="preserve">сли процедура Перевода обязательств и Обеспечения проводится </w:t>
            </w:r>
            <w:r w:rsidRPr="004B4FFB">
              <w:rPr>
                <w:sz w:val="22"/>
                <w:szCs w:val="22"/>
                <w:lang w:val="ru-RU"/>
              </w:rPr>
              <w:t>при банкротстве или отзыве лиценции</w:t>
            </w:r>
            <w:r w:rsidRPr="004B4FFB">
              <w:rPr>
                <w:sz w:val="22"/>
                <w:szCs w:val="22"/>
              </w:rPr>
              <w:t xml:space="preserve"> и Дата исполнения обязательства приходится на период </w:t>
            </w:r>
            <w:r w:rsidRPr="004B4FFB">
              <w:rPr>
                <w:sz w:val="22"/>
                <w:szCs w:val="22"/>
                <w:lang w:val="ru-RU"/>
              </w:rPr>
              <w:t xml:space="preserve">проведения указанной </w:t>
            </w:r>
            <w:r w:rsidRPr="004B4FFB">
              <w:rPr>
                <w:sz w:val="22"/>
                <w:szCs w:val="22"/>
              </w:rPr>
              <w:t>процедуры</w:t>
            </w:r>
            <w:r w:rsidRPr="001A3DC4">
              <w:rPr>
                <w:sz w:val="22"/>
                <w:szCs w:val="22"/>
              </w:rPr>
              <w:t xml:space="preserve">, Дата исполнения обязательства </w:t>
            </w:r>
            <w:r w:rsidRPr="001A3DC4">
              <w:rPr>
                <w:sz w:val="22"/>
                <w:szCs w:val="22"/>
                <w:lang w:val="ru-RU"/>
              </w:rPr>
              <w:t>изменяется</w:t>
            </w:r>
            <w:r w:rsidR="001A3DC4" w:rsidRPr="001A3DC4">
              <w:rPr>
                <w:sz w:val="22"/>
                <w:szCs w:val="22"/>
                <w:lang w:val="ru-RU"/>
              </w:rPr>
              <w:t xml:space="preserve"> (п.58.18)</w:t>
            </w:r>
            <w:r w:rsidRPr="001A3DC4">
              <w:rPr>
                <w:sz w:val="22"/>
                <w:szCs w:val="22"/>
                <w:lang w:val="ru-RU"/>
              </w:rPr>
              <w:t>.</w:t>
            </w:r>
          </w:p>
          <w:p w:rsidR="00922776" w:rsidRPr="004B4FFB" w:rsidRDefault="00922776" w:rsidP="007440AE">
            <w:pPr>
              <w:pStyle w:val="Texttab"/>
              <w:spacing w:before="120" w:after="120"/>
              <w:ind w:left="0"/>
              <w:rPr>
                <w:color w:val="000000" w:themeColor="text1"/>
                <w:sz w:val="22"/>
                <w:szCs w:val="22"/>
                <w:lang w:val="ru-RU"/>
              </w:rPr>
            </w:pPr>
            <w:bookmarkStart w:id="2" w:name="_Hlk51769375"/>
            <w:bookmarkEnd w:id="1"/>
            <w:r w:rsidRPr="001A3DC4">
              <w:rPr>
                <w:sz w:val="22"/>
                <w:szCs w:val="22"/>
                <w:lang w:val="ru-RU"/>
              </w:rPr>
              <w:t xml:space="preserve">Условия исполнения </w:t>
            </w:r>
            <w:r w:rsidRPr="001A3DC4">
              <w:rPr>
                <w:color w:val="000000" w:themeColor="text1"/>
                <w:sz w:val="22"/>
                <w:szCs w:val="22"/>
              </w:rPr>
              <w:t>Запрос</w:t>
            </w:r>
            <w:r w:rsidRPr="001A3DC4">
              <w:rPr>
                <w:color w:val="000000" w:themeColor="text1"/>
                <w:sz w:val="22"/>
                <w:szCs w:val="22"/>
                <w:lang w:val="ru-RU"/>
              </w:rPr>
              <w:t>а</w:t>
            </w:r>
            <w:r w:rsidRPr="001A3DC4">
              <w:rPr>
                <w:color w:val="000000" w:themeColor="text1"/>
                <w:sz w:val="22"/>
                <w:szCs w:val="22"/>
              </w:rPr>
              <w:t xml:space="preserve"> на замену Торгово-клирингового счета</w:t>
            </w:r>
            <w:r w:rsidRPr="001A3DC4">
              <w:rPr>
                <w:color w:val="000000" w:themeColor="text1"/>
                <w:sz w:val="22"/>
                <w:szCs w:val="22"/>
                <w:lang w:val="ru-RU"/>
              </w:rPr>
              <w:t xml:space="preserve"> дополнены тремя новыми условиями</w:t>
            </w:r>
            <w:r w:rsidR="001A3DC4" w:rsidRPr="001A3DC4">
              <w:rPr>
                <w:color w:val="000000" w:themeColor="text1"/>
                <w:sz w:val="22"/>
                <w:szCs w:val="22"/>
                <w:lang w:val="ru-RU"/>
              </w:rPr>
              <w:t xml:space="preserve"> (п.40.8.3.)</w:t>
            </w:r>
            <w:r w:rsidRPr="001A3DC4">
              <w:rPr>
                <w:color w:val="000000" w:themeColor="text1"/>
                <w:sz w:val="22"/>
                <w:szCs w:val="22"/>
                <w:lang w:val="ru-RU"/>
              </w:rPr>
              <w:t>.</w:t>
            </w:r>
          </w:p>
          <w:p w:rsidR="00922776" w:rsidRPr="004B4FFB" w:rsidRDefault="00922776" w:rsidP="007440AE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bookmarkStart w:id="3" w:name="_Hlk51768172"/>
            <w:bookmarkEnd w:id="2"/>
            <w:r w:rsidRPr="004B4FFB">
              <w:rPr>
                <w:sz w:val="22"/>
                <w:szCs w:val="22"/>
                <w:lang w:val="ru-RU"/>
              </w:rPr>
              <w:t xml:space="preserve">Определено, что после проведения процедуры портабилити Участник клиринга </w:t>
            </w:r>
            <w:r w:rsidRPr="001A3DC4">
              <w:rPr>
                <w:sz w:val="22"/>
                <w:szCs w:val="22"/>
                <w:lang w:val="ru-RU"/>
              </w:rPr>
              <w:t xml:space="preserve">– реципиент </w:t>
            </w:r>
            <w:r w:rsidRPr="001A3DC4">
              <w:rPr>
                <w:color w:val="000000" w:themeColor="text1"/>
                <w:sz w:val="22"/>
                <w:szCs w:val="22"/>
              </w:rPr>
              <w:t xml:space="preserve">вправе </w:t>
            </w:r>
            <w:r w:rsidRPr="001A3DC4">
              <w:rPr>
                <w:color w:val="000000" w:themeColor="text1"/>
                <w:sz w:val="22"/>
                <w:szCs w:val="22"/>
                <w:lang w:val="ru-RU"/>
              </w:rPr>
              <w:t>предоставить информацию о кратком</w:t>
            </w:r>
            <w:r w:rsidRPr="001A3DC4">
              <w:rPr>
                <w:color w:val="000000" w:themeColor="text1"/>
                <w:sz w:val="22"/>
                <w:szCs w:val="22"/>
              </w:rPr>
              <w:t xml:space="preserve"> код</w:t>
            </w:r>
            <w:r w:rsidRPr="001A3DC4">
              <w:rPr>
                <w:color w:val="000000" w:themeColor="text1"/>
                <w:sz w:val="22"/>
                <w:szCs w:val="22"/>
                <w:lang w:val="ru-RU"/>
              </w:rPr>
              <w:t>е</w:t>
            </w:r>
            <w:r w:rsidRPr="001A3DC4">
              <w:rPr>
                <w:color w:val="000000" w:themeColor="text1"/>
                <w:sz w:val="22"/>
                <w:szCs w:val="22"/>
              </w:rPr>
              <w:t xml:space="preserve"> клиента </w:t>
            </w:r>
            <w:r w:rsidRPr="001A3DC4">
              <w:rPr>
                <w:color w:val="000000" w:themeColor="text1"/>
                <w:sz w:val="22"/>
                <w:szCs w:val="22"/>
                <w:lang w:val="ru-RU"/>
              </w:rPr>
              <w:t>в</w:t>
            </w:r>
            <w:r w:rsidRPr="001A3DC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A3DC4">
              <w:rPr>
                <w:color w:val="000000" w:themeColor="text1"/>
                <w:sz w:val="22"/>
                <w:szCs w:val="22"/>
                <w:lang w:val="ru-RU"/>
              </w:rPr>
              <w:t>с</w:t>
            </w:r>
            <w:r w:rsidRPr="001A3DC4">
              <w:rPr>
                <w:color w:val="000000" w:themeColor="text1"/>
                <w:sz w:val="22"/>
                <w:szCs w:val="22"/>
              </w:rPr>
              <w:t>делк</w:t>
            </w:r>
            <w:r w:rsidRPr="001A3DC4">
              <w:rPr>
                <w:color w:val="000000" w:themeColor="text1"/>
                <w:sz w:val="22"/>
                <w:szCs w:val="22"/>
                <w:lang w:val="ru-RU"/>
              </w:rPr>
              <w:t>ах</w:t>
            </w:r>
            <w:r w:rsidR="001A3DC4">
              <w:rPr>
                <w:color w:val="000000" w:themeColor="text1"/>
                <w:sz w:val="22"/>
                <w:szCs w:val="22"/>
                <w:lang w:val="ru-RU"/>
              </w:rPr>
              <w:t xml:space="preserve"> (п.58.22)</w:t>
            </w:r>
            <w:r w:rsidRPr="001A3DC4">
              <w:rPr>
                <w:color w:val="000000" w:themeColor="text1"/>
                <w:sz w:val="22"/>
                <w:szCs w:val="22"/>
                <w:lang w:val="ru-RU"/>
              </w:rPr>
              <w:t>.</w:t>
            </w:r>
            <w:bookmarkEnd w:id="3"/>
          </w:p>
        </w:tc>
        <w:tc>
          <w:tcPr>
            <w:tcW w:w="2693" w:type="dxa"/>
          </w:tcPr>
          <w:p w:rsidR="00922776" w:rsidRPr="004B4FFB" w:rsidRDefault="00922776" w:rsidP="007440AE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4B4FFB">
              <w:rPr>
                <w:color w:val="000000" w:themeColor="text1"/>
                <w:sz w:val="22"/>
                <w:szCs w:val="22"/>
              </w:rPr>
              <w:t>Установлены случаи, при которых процедура Перевода обязательств и Обеспечения не проводится.</w:t>
            </w:r>
          </w:p>
          <w:p w:rsidR="00922776" w:rsidRPr="004B4FFB" w:rsidRDefault="00922776" w:rsidP="007440AE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4B4FFB">
              <w:rPr>
                <w:color w:val="000000" w:themeColor="text1"/>
                <w:sz w:val="22"/>
                <w:szCs w:val="22"/>
              </w:rPr>
              <w:t>Участнику клиринга – реципиенту предоставлено право</w:t>
            </w:r>
            <w:r w:rsidR="006F413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B4FFB">
              <w:rPr>
                <w:color w:val="000000" w:themeColor="text1"/>
                <w:sz w:val="22"/>
                <w:szCs w:val="22"/>
              </w:rPr>
              <w:t>предоставить информацию о кратком коде клиента в сделках, обязательства по которым были переведены такому Участнику клиринга - реципиенту.</w:t>
            </w:r>
          </w:p>
        </w:tc>
      </w:tr>
      <w:tr w:rsidR="00922776" w:rsidRPr="004B4FFB" w:rsidTr="00AC564F">
        <w:trPr>
          <w:trHeight w:val="841"/>
        </w:trPr>
        <w:tc>
          <w:tcPr>
            <w:tcW w:w="2547" w:type="dxa"/>
            <w:shd w:val="clear" w:color="auto" w:fill="FBE4D5" w:themeFill="accent2" w:themeFillTint="33"/>
          </w:tcPr>
          <w:p w:rsidR="00922776" w:rsidRPr="004B4FFB" w:rsidRDefault="00922776" w:rsidP="00922776">
            <w:pPr>
              <w:pStyle w:val="a3"/>
              <w:numPr>
                <w:ilvl w:val="0"/>
                <w:numId w:val="1"/>
              </w:numPr>
              <w:spacing w:before="120"/>
              <w:ind w:left="306"/>
              <w:rPr>
                <w:rFonts w:eastAsia="Calibri"/>
                <w:sz w:val="22"/>
                <w:szCs w:val="22"/>
                <w:lang w:eastAsia="en-US"/>
              </w:rPr>
            </w:pPr>
            <w:r w:rsidRPr="004B4FFB">
              <w:rPr>
                <w:b/>
                <w:sz w:val="22"/>
                <w:szCs w:val="22"/>
              </w:rPr>
              <w:t>Изменения, связанные с развитием сервиса «Единый счет НКЦ и НРД» (в части депо счетов)</w:t>
            </w:r>
          </w:p>
        </w:tc>
        <w:tc>
          <w:tcPr>
            <w:tcW w:w="2693" w:type="dxa"/>
          </w:tcPr>
          <w:p w:rsidR="00922776" w:rsidRPr="004B4FFB" w:rsidRDefault="00922776" w:rsidP="007440AE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4B4FFB">
              <w:rPr>
                <w:sz w:val="22"/>
                <w:szCs w:val="22"/>
                <w:lang w:val="ru-RU"/>
              </w:rPr>
              <w:t>Пункты 32.2, 32.12, 32.13, 55.9 общей части Правил клиринга.</w:t>
            </w:r>
          </w:p>
        </w:tc>
        <w:tc>
          <w:tcPr>
            <w:tcW w:w="7088" w:type="dxa"/>
          </w:tcPr>
          <w:p w:rsidR="00922776" w:rsidRPr="004B4FFB" w:rsidRDefault="00922776" w:rsidP="007440AE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 w:rsidRPr="004B4FFB">
              <w:rPr>
                <w:sz w:val="22"/>
                <w:szCs w:val="22"/>
                <w:lang w:val="ru-RU"/>
              </w:rPr>
              <w:t>П</w:t>
            </w:r>
            <w:r w:rsidRPr="004B4FFB">
              <w:rPr>
                <w:sz w:val="22"/>
                <w:szCs w:val="22"/>
              </w:rPr>
              <w:t xml:space="preserve">орядок обработки </w:t>
            </w:r>
            <w:r w:rsidRPr="004B4FFB">
              <w:rPr>
                <w:sz w:val="22"/>
                <w:szCs w:val="22"/>
                <w:lang w:val="ru-RU"/>
              </w:rPr>
              <w:t xml:space="preserve">получаемых НКЦ от НРД </w:t>
            </w:r>
            <w:r w:rsidRPr="004B4FFB">
              <w:rPr>
                <w:sz w:val="22"/>
                <w:szCs w:val="22"/>
              </w:rPr>
              <w:t>запросов согласия Клирингового центра на списание ценных бумаг с Разделов</w:t>
            </w:r>
            <w:r w:rsidRPr="004B4FFB">
              <w:rPr>
                <w:sz w:val="22"/>
                <w:szCs w:val="22"/>
                <w:lang w:val="ru-RU"/>
              </w:rPr>
              <w:t xml:space="preserve"> изменен таким образом, чтобы </w:t>
            </w:r>
            <w:r w:rsidRPr="004B4FFB">
              <w:t xml:space="preserve">НКЦ не </w:t>
            </w:r>
            <w:r w:rsidRPr="004B4FFB">
              <w:rPr>
                <w:sz w:val="22"/>
                <w:szCs w:val="22"/>
              </w:rPr>
              <w:t>давал согласие на списание ценных бумаг, которые необходимы для исполнения Сделок Т+ с наступившей Датой исполнения.</w:t>
            </w:r>
          </w:p>
        </w:tc>
        <w:tc>
          <w:tcPr>
            <w:tcW w:w="2693" w:type="dxa"/>
          </w:tcPr>
          <w:p w:rsidR="00922776" w:rsidRPr="004B4FFB" w:rsidRDefault="00922776" w:rsidP="007440AE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4B4FFB">
              <w:rPr>
                <w:color w:val="000000" w:themeColor="text1"/>
                <w:sz w:val="22"/>
                <w:szCs w:val="22"/>
              </w:rPr>
              <w:t xml:space="preserve">У Участников клиринга появляется возможность использовать сервисы по подбору ценных бумаг в НРД по торговым счетам депо, клиринг с использованием которых </w:t>
            </w:r>
            <w:r w:rsidRPr="004B4FFB">
              <w:rPr>
                <w:color w:val="000000" w:themeColor="text1"/>
                <w:sz w:val="22"/>
                <w:szCs w:val="22"/>
              </w:rPr>
              <w:lastRenderedPageBreak/>
              <w:t>осуществляет НКЦ, без риска списания с этих торговых счетов ценных бумаг, необходимых для исполнения обязательств по сделкам с наступившей датой исполнения и, как следствие, без риска неисполнения обязательств перед НКЦ.</w:t>
            </w:r>
          </w:p>
        </w:tc>
      </w:tr>
      <w:tr w:rsidR="00922776" w:rsidRPr="004B4FFB" w:rsidTr="00AC564F">
        <w:trPr>
          <w:trHeight w:val="1966"/>
        </w:trPr>
        <w:tc>
          <w:tcPr>
            <w:tcW w:w="2547" w:type="dxa"/>
            <w:shd w:val="clear" w:color="auto" w:fill="FBE4D5" w:themeFill="accent2" w:themeFillTint="33"/>
          </w:tcPr>
          <w:p w:rsidR="00922776" w:rsidRPr="004B4FFB" w:rsidRDefault="00922776" w:rsidP="00922776">
            <w:pPr>
              <w:pStyle w:val="a3"/>
              <w:numPr>
                <w:ilvl w:val="0"/>
                <w:numId w:val="1"/>
              </w:numPr>
              <w:spacing w:before="120"/>
              <w:ind w:left="306"/>
              <w:rPr>
                <w:b/>
                <w:sz w:val="22"/>
                <w:szCs w:val="22"/>
              </w:rPr>
            </w:pPr>
            <w:r w:rsidRPr="004B4FFB">
              <w:rPr>
                <w:b/>
                <w:sz w:val="22"/>
                <w:szCs w:val="22"/>
              </w:rPr>
              <w:lastRenderedPageBreak/>
              <w:t>Определение порядка изменения даты исполнения обязательств по сделкам с ЦК в случае принятия Правительством РФ постановления о переносе нерабочих (праздничных) и выходных дней</w:t>
            </w:r>
          </w:p>
        </w:tc>
        <w:tc>
          <w:tcPr>
            <w:tcW w:w="2693" w:type="dxa"/>
          </w:tcPr>
          <w:p w:rsidR="00922776" w:rsidRPr="004B4FFB" w:rsidRDefault="00922776" w:rsidP="007440AE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4B4FFB">
              <w:rPr>
                <w:sz w:val="22"/>
                <w:szCs w:val="22"/>
                <w:lang w:val="ru-RU"/>
              </w:rPr>
              <w:t>Пункт 40.5 общей части Правил клиринга.</w:t>
            </w:r>
          </w:p>
          <w:p w:rsidR="00922776" w:rsidRPr="004B4FFB" w:rsidRDefault="00922776" w:rsidP="007440AE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4B4FFB">
              <w:rPr>
                <w:sz w:val="22"/>
                <w:szCs w:val="22"/>
                <w:lang w:val="ru-RU"/>
              </w:rPr>
              <w:t>Пункт 27.14 Правил клиринга на фондовом рынке и рынке депозитов.</w:t>
            </w:r>
          </w:p>
          <w:p w:rsidR="00922776" w:rsidRPr="004B4FFB" w:rsidRDefault="00922776" w:rsidP="007440AE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4B4FFB">
              <w:rPr>
                <w:sz w:val="22"/>
                <w:szCs w:val="22"/>
                <w:lang w:val="ru-RU"/>
              </w:rPr>
              <w:t xml:space="preserve">Пункт 16.2 </w:t>
            </w:r>
            <w:r w:rsidRPr="004B4FFB">
              <w:rPr>
                <w:color w:val="000000"/>
                <w:sz w:val="22"/>
                <w:szCs w:val="22"/>
              </w:rPr>
              <w:t>Правил клиринга на валютном рынке и рынке драгоценных металлов</w:t>
            </w:r>
            <w:r w:rsidRPr="004B4FFB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7088" w:type="dxa"/>
          </w:tcPr>
          <w:p w:rsidR="00922776" w:rsidRPr="004B4FFB" w:rsidRDefault="00922776" w:rsidP="007440AE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 w:rsidRPr="004B4FFB">
              <w:rPr>
                <w:color w:val="000000"/>
                <w:sz w:val="22"/>
                <w:szCs w:val="22"/>
                <w:lang w:val="ru-RU"/>
              </w:rPr>
              <w:t>В действующей редакции правил клиринга порядок изменения даты исполнения обязательств по сделкам с ЦК определен для валютного рынка, но не определен для фондового рынка.</w:t>
            </w:r>
          </w:p>
          <w:p w:rsidR="00922776" w:rsidRPr="004B4FFB" w:rsidRDefault="00922776" w:rsidP="007440AE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 w:rsidRPr="004B4FFB">
              <w:rPr>
                <w:color w:val="000000"/>
                <w:sz w:val="22"/>
                <w:szCs w:val="22"/>
                <w:lang w:val="ru-RU"/>
              </w:rPr>
              <w:t>В новой редакции правил клиринга определен порядок изменения даты исполнения обязательств по сделкам с ЦК, а также иных условий сделок с ЦК на фондовом рынке, порядок изменения даты исполнения обязательств по сделкам с ЦК на валютном рынке унифицирован с порядком, реализуемым на фондовом рынке.</w:t>
            </w:r>
          </w:p>
        </w:tc>
        <w:tc>
          <w:tcPr>
            <w:tcW w:w="2693" w:type="dxa"/>
          </w:tcPr>
          <w:p w:rsidR="00922776" w:rsidRPr="004B4FFB" w:rsidRDefault="00922776" w:rsidP="007440AE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4B4FFB">
              <w:rPr>
                <w:color w:val="000000" w:themeColor="text1"/>
                <w:sz w:val="22"/>
                <w:szCs w:val="22"/>
              </w:rPr>
              <w:t xml:space="preserve">У Участников клиринга появляется информация, как изменятся условия сделок с ЦК в случае принятия </w:t>
            </w:r>
            <w:r w:rsidRPr="004B4FFB">
              <w:rPr>
                <w:sz w:val="22"/>
                <w:szCs w:val="22"/>
              </w:rPr>
              <w:t>Правительством РФ постановления о переносе нерабочих (праздничных) и выходных дней</w:t>
            </w:r>
            <w:r w:rsidRPr="004B4FFB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922776" w:rsidRPr="004B4FFB" w:rsidTr="00AC564F">
        <w:trPr>
          <w:trHeight w:val="1130"/>
        </w:trPr>
        <w:tc>
          <w:tcPr>
            <w:tcW w:w="2547" w:type="dxa"/>
            <w:shd w:val="clear" w:color="auto" w:fill="FBE4D5" w:themeFill="accent2" w:themeFillTint="33"/>
          </w:tcPr>
          <w:p w:rsidR="00922776" w:rsidRPr="00AC564F" w:rsidRDefault="00922776" w:rsidP="00922776">
            <w:pPr>
              <w:pStyle w:val="a3"/>
              <w:numPr>
                <w:ilvl w:val="0"/>
                <w:numId w:val="1"/>
              </w:numPr>
              <w:spacing w:before="120"/>
              <w:ind w:left="306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B4FFB">
              <w:rPr>
                <w:b/>
                <w:sz w:val="22"/>
                <w:szCs w:val="22"/>
              </w:rPr>
              <w:t xml:space="preserve">Изменение порядка исполнения </w:t>
            </w:r>
            <w:r w:rsidRPr="004B4FFB">
              <w:rPr>
                <w:b/>
                <w:color w:val="000000" w:themeColor="text1"/>
              </w:rPr>
              <w:t>Постоянного поручения на возврат обеспечения в размере нетто-требования</w:t>
            </w:r>
          </w:p>
          <w:p w:rsidR="00AC564F" w:rsidRPr="00562E36" w:rsidRDefault="00AC564F" w:rsidP="00AC564F">
            <w:pPr>
              <w:pStyle w:val="a3"/>
              <w:spacing w:before="120"/>
              <w:ind w:left="306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62E36">
              <w:rPr>
                <w:b/>
                <w:color w:val="FF0000"/>
                <w:sz w:val="22"/>
                <w:szCs w:val="22"/>
              </w:rPr>
              <w:t>О технической готовности будет сообщено дополнительно</w:t>
            </w:r>
          </w:p>
        </w:tc>
        <w:tc>
          <w:tcPr>
            <w:tcW w:w="2693" w:type="dxa"/>
          </w:tcPr>
          <w:p w:rsidR="00922776" w:rsidRPr="004B4FFB" w:rsidRDefault="00922776" w:rsidP="007440AE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4B4FFB">
              <w:rPr>
                <w:sz w:val="22"/>
                <w:szCs w:val="22"/>
              </w:rPr>
              <w:t>Пп. 32.7, 32.7.3 – 32.7.6, 32.11</w:t>
            </w:r>
            <w:r w:rsidRPr="004B4FFB">
              <w:rPr>
                <w:sz w:val="22"/>
                <w:szCs w:val="22"/>
                <w:lang w:val="ru-RU"/>
              </w:rPr>
              <w:t xml:space="preserve"> общей части Правил клиринга.</w:t>
            </w:r>
          </w:p>
        </w:tc>
        <w:tc>
          <w:tcPr>
            <w:tcW w:w="7088" w:type="dxa"/>
          </w:tcPr>
          <w:p w:rsidR="00922776" w:rsidRPr="004B4FFB" w:rsidRDefault="00922776" w:rsidP="007440AE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 w:rsidRPr="004B4FFB">
              <w:rPr>
                <w:color w:val="000000"/>
                <w:sz w:val="22"/>
                <w:szCs w:val="22"/>
                <w:lang w:val="ru-RU"/>
              </w:rPr>
              <w:t>В настоящее время Постоянное поручение на возврат обеспечения в размере нетто-требования на фондовом рынке исполняется в размере нетто-требования, которое рассчитывается с учетом только Сделок Т+, и не учитывает Сделки Т+ и сделки без ЦК, исполненные путем подачи отчетов на исполнение. В отдельных случаях это приводит к тому, что сначала на основании такого поручения Участинку клиринга возвращаются денежные средств, после чего у Участника клиринга может стать недостаточно денежных средств для исполнения Сделок Т+.</w:t>
            </w:r>
          </w:p>
          <w:p w:rsidR="00922776" w:rsidRPr="004B4FFB" w:rsidRDefault="00922776" w:rsidP="007440AE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 w:rsidRPr="004B4FFB">
              <w:rPr>
                <w:color w:val="000000"/>
                <w:sz w:val="22"/>
                <w:szCs w:val="22"/>
                <w:lang w:val="ru-RU"/>
              </w:rPr>
              <w:t>Порядок исполнения поручения изменен таким образом, чтобы учитывать все обязательства и требования Участника клиринга с наступившей Датой исполнения, на фондовом и валютном рынках.</w:t>
            </w:r>
          </w:p>
        </w:tc>
        <w:tc>
          <w:tcPr>
            <w:tcW w:w="2693" w:type="dxa"/>
          </w:tcPr>
          <w:p w:rsidR="00922776" w:rsidRPr="004B4FFB" w:rsidRDefault="00922776" w:rsidP="007440AE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4B4FFB">
              <w:rPr>
                <w:sz w:val="22"/>
                <w:szCs w:val="22"/>
              </w:rPr>
              <w:t xml:space="preserve">Исключается возникновение у Участника клиринга недостаточности денежных средств для исполнения </w:t>
            </w:r>
            <w:r w:rsidRPr="004B4FFB">
              <w:rPr>
                <w:color w:val="000000"/>
                <w:sz w:val="22"/>
                <w:szCs w:val="22"/>
              </w:rPr>
              <w:t>Постоянного поручения на возврат обеспечения в размере нетто-требования.</w:t>
            </w:r>
          </w:p>
        </w:tc>
      </w:tr>
      <w:tr w:rsidR="00922776" w:rsidRPr="004B4FFB" w:rsidTr="00AC564F">
        <w:trPr>
          <w:trHeight w:val="1129"/>
        </w:trPr>
        <w:tc>
          <w:tcPr>
            <w:tcW w:w="2547" w:type="dxa"/>
            <w:shd w:val="clear" w:color="auto" w:fill="FBE4D5" w:themeFill="accent2" w:themeFillTint="33"/>
          </w:tcPr>
          <w:p w:rsidR="00922776" w:rsidRPr="004B4FFB" w:rsidRDefault="00922776" w:rsidP="00922776">
            <w:pPr>
              <w:pStyle w:val="a3"/>
              <w:numPr>
                <w:ilvl w:val="0"/>
                <w:numId w:val="1"/>
              </w:numPr>
              <w:spacing w:before="120"/>
              <w:ind w:left="306"/>
              <w:rPr>
                <w:b/>
                <w:sz w:val="22"/>
                <w:szCs w:val="22"/>
              </w:rPr>
            </w:pPr>
            <w:r w:rsidRPr="004B4FFB">
              <w:rPr>
                <w:b/>
                <w:sz w:val="22"/>
                <w:szCs w:val="22"/>
              </w:rPr>
              <w:lastRenderedPageBreak/>
              <w:t>Уточнение условий, необходимых для возврата Обеспечения, отменена заключения сделок РЕПО переноса в случае недостаточности Единого лимита</w:t>
            </w:r>
          </w:p>
        </w:tc>
        <w:tc>
          <w:tcPr>
            <w:tcW w:w="2693" w:type="dxa"/>
          </w:tcPr>
          <w:p w:rsidR="00922776" w:rsidRPr="004B4FFB" w:rsidRDefault="00922776" w:rsidP="007440AE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4B4FFB">
              <w:rPr>
                <w:sz w:val="22"/>
                <w:szCs w:val="22"/>
              </w:rPr>
              <w:t>Пп.</w:t>
            </w:r>
            <w:r w:rsidRPr="004B4FFB">
              <w:rPr>
                <w:sz w:val="22"/>
                <w:szCs w:val="22"/>
                <w:lang w:val="ru-RU"/>
              </w:rPr>
              <w:t xml:space="preserve"> </w:t>
            </w:r>
            <w:r w:rsidRPr="004B4FFB">
              <w:rPr>
                <w:sz w:val="22"/>
                <w:szCs w:val="22"/>
              </w:rPr>
              <w:t>32.11, 32.12</w:t>
            </w:r>
            <w:r w:rsidRPr="004B4FFB">
              <w:rPr>
                <w:sz w:val="22"/>
                <w:szCs w:val="22"/>
                <w:lang w:val="ru-RU"/>
              </w:rPr>
              <w:t xml:space="preserve"> общей части</w:t>
            </w:r>
            <w:r>
              <w:rPr>
                <w:sz w:val="22"/>
                <w:szCs w:val="22"/>
                <w:lang w:val="ru-RU"/>
              </w:rPr>
              <w:t xml:space="preserve"> Правил клиринга</w:t>
            </w:r>
            <w:r w:rsidRPr="004B4FFB">
              <w:rPr>
                <w:sz w:val="22"/>
                <w:szCs w:val="22"/>
              </w:rPr>
              <w:t xml:space="preserve">, </w:t>
            </w:r>
            <w:r w:rsidRPr="004B4FFB">
              <w:rPr>
                <w:sz w:val="22"/>
                <w:szCs w:val="22"/>
                <w:lang w:val="ru-RU"/>
              </w:rPr>
              <w:t>пп.</w:t>
            </w:r>
            <w:r w:rsidRPr="004B4FFB">
              <w:rPr>
                <w:sz w:val="22"/>
                <w:szCs w:val="22"/>
              </w:rPr>
              <w:t xml:space="preserve">44.1.5 </w:t>
            </w:r>
            <w:r w:rsidRPr="004B4FFB">
              <w:rPr>
                <w:sz w:val="22"/>
                <w:szCs w:val="22"/>
                <w:lang w:val="ru-RU"/>
              </w:rPr>
              <w:t xml:space="preserve">общей части </w:t>
            </w:r>
            <w:r>
              <w:rPr>
                <w:sz w:val="22"/>
                <w:szCs w:val="22"/>
                <w:lang w:val="ru-RU"/>
              </w:rPr>
              <w:t xml:space="preserve"> Правил клиринга</w:t>
            </w:r>
            <w:r w:rsidRPr="004B4FFB">
              <w:rPr>
                <w:sz w:val="22"/>
                <w:szCs w:val="22"/>
              </w:rPr>
              <w:t xml:space="preserve"> исключен, </w:t>
            </w:r>
            <w:r w:rsidRPr="004B4FFB">
              <w:rPr>
                <w:sz w:val="22"/>
                <w:szCs w:val="22"/>
                <w:lang w:val="ru-RU"/>
              </w:rPr>
              <w:t>п.</w:t>
            </w:r>
            <w:r w:rsidRPr="004B4FFB">
              <w:rPr>
                <w:sz w:val="22"/>
                <w:szCs w:val="22"/>
              </w:rPr>
              <w:t>44.1.5</w:t>
            </w:r>
            <w:r w:rsidRPr="004B4FFB">
              <w:rPr>
                <w:sz w:val="22"/>
                <w:szCs w:val="22"/>
                <w:lang w:val="ru-RU"/>
              </w:rPr>
              <w:t xml:space="preserve"> общей части</w:t>
            </w:r>
            <w:r>
              <w:rPr>
                <w:sz w:val="22"/>
                <w:szCs w:val="22"/>
                <w:lang w:val="ru-RU"/>
              </w:rPr>
              <w:t xml:space="preserve"> Правил клиринга</w:t>
            </w:r>
            <w:r w:rsidRPr="004B4FFB">
              <w:rPr>
                <w:sz w:val="22"/>
                <w:szCs w:val="22"/>
              </w:rPr>
              <w:t xml:space="preserve">, </w:t>
            </w:r>
            <w:r w:rsidRPr="004B4FFB">
              <w:rPr>
                <w:sz w:val="22"/>
                <w:szCs w:val="22"/>
                <w:lang w:val="ru-RU"/>
              </w:rPr>
              <w:t xml:space="preserve">пп. </w:t>
            </w:r>
            <w:r w:rsidRPr="004B4FFB">
              <w:rPr>
                <w:sz w:val="22"/>
                <w:szCs w:val="22"/>
              </w:rPr>
              <w:t xml:space="preserve">45.4, 47.3.2, 47.4.5, 47.6.2 </w:t>
            </w:r>
            <w:r w:rsidRPr="004B4FFB">
              <w:rPr>
                <w:sz w:val="22"/>
                <w:szCs w:val="22"/>
                <w:lang w:val="ru-RU"/>
              </w:rPr>
              <w:t xml:space="preserve">общей части </w:t>
            </w:r>
            <w:r>
              <w:rPr>
                <w:sz w:val="22"/>
                <w:szCs w:val="22"/>
                <w:lang w:val="ru-RU"/>
              </w:rPr>
              <w:t xml:space="preserve"> Правил клиринга</w:t>
            </w:r>
            <w:r w:rsidRPr="004B4FFB">
              <w:rPr>
                <w:sz w:val="22"/>
                <w:szCs w:val="22"/>
              </w:rPr>
              <w:t xml:space="preserve"> исключен</w:t>
            </w:r>
            <w:r w:rsidRPr="004B4FFB">
              <w:rPr>
                <w:sz w:val="22"/>
                <w:szCs w:val="22"/>
                <w:lang w:val="ru-RU"/>
              </w:rPr>
              <w:t>ы</w:t>
            </w:r>
            <w:r w:rsidRPr="004B4FFB">
              <w:rPr>
                <w:sz w:val="22"/>
                <w:szCs w:val="22"/>
              </w:rPr>
              <w:t xml:space="preserve">, </w:t>
            </w:r>
            <w:r w:rsidRPr="004B4FFB">
              <w:rPr>
                <w:sz w:val="22"/>
                <w:szCs w:val="22"/>
                <w:lang w:val="ru-RU"/>
              </w:rPr>
              <w:t>п.</w:t>
            </w:r>
            <w:r w:rsidRPr="004B4FFB">
              <w:rPr>
                <w:sz w:val="22"/>
                <w:szCs w:val="22"/>
              </w:rPr>
              <w:t xml:space="preserve">47.8 </w:t>
            </w:r>
            <w:r w:rsidRPr="004B4FFB">
              <w:rPr>
                <w:sz w:val="22"/>
                <w:szCs w:val="22"/>
                <w:lang w:val="ru-RU"/>
              </w:rPr>
              <w:t>общей части</w:t>
            </w:r>
            <w:r>
              <w:rPr>
                <w:sz w:val="22"/>
                <w:szCs w:val="22"/>
                <w:lang w:val="ru-RU"/>
              </w:rPr>
              <w:t xml:space="preserve"> Правил клиринга</w:t>
            </w:r>
            <w:r w:rsidRPr="004B4FFB">
              <w:rPr>
                <w:sz w:val="22"/>
                <w:szCs w:val="22"/>
              </w:rPr>
              <w:t>, п</w:t>
            </w:r>
            <w:r w:rsidRPr="004B4FFB">
              <w:rPr>
                <w:sz w:val="22"/>
                <w:szCs w:val="22"/>
                <w:lang w:val="ru-RU"/>
              </w:rPr>
              <w:t>п</w:t>
            </w:r>
            <w:r w:rsidRPr="004B4FFB">
              <w:rPr>
                <w:sz w:val="22"/>
                <w:szCs w:val="22"/>
              </w:rPr>
              <w:t>.3.1, 5.1, 5.6, 5.7, 6.3 приложения 6 общей части</w:t>
            </w:r>
            <w:r>
              <w:rPr>
                <w:sz w:val="22"/>
                <w:szCs w:val="22"/>
                <w:lang w:val="ru-RU"/>
              </w:rPr>
              <w:t xml:space="preserve"> Правил клиринга</w:t>
            </w:r>
            <w:r w:rsidRPr="004B4FFB">
              <w:rPr>
                <w:sz w:val="22"/>
                <w:szCs w:val="22"/>
              </w:rPr>
              <w:t>.</w:t>
            </w:r>
          </w:p>
        </w:tc>
        <w:tc>
          <w:tcPr>
            <w:tcW w:w="7088" w:type="dxa"/>
          </w:tcPr>
          <w:p w:rsidR="00922776" w:rsidRPr="004B4FFB" w:rsidRDefault="00922776" w:rsidP="007440AE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4B4FFB">
              <w:rPr>
                <w:sz w:val="22"/>
                <w:szCs w:val="22"/>
                <w:lang w:val="ru-RU"/>
              </w:rPr>
              <w:t>Изменены условия, необходимые для возврата Обеспечения: возврат не осуществляется, если Единый лимит отрицательный или станет отрицательным в результате возврата Обеспечения.</w:t>
            </w:r>
          </w:p>
          <w:p w:rsidR="00922776" w:rsidRPr="004B4FFB" w:rsidRDefault="00922776" w:rsidP="007440AE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4B4FFB">
              <w:rPr>
                <w:color w:val="000000" w:themeColor="text1"/>
                <w:sz w:val="22"/>
                <w:szCs w:val="22"/>
                <w:lang w:val="ru-RU"/>
              </w:rPr>
              <w:t>Отменено заключение сделок РЕПО переноса в</w:t>
            </w:r>
            <w:r w:rsidRPr="004B4FFB">
              <w:rPr>
                <w:color w:val="000000" w:themeColor="text1"/>
                <w:sz w:val="22"/>
                <w:szCs w:val="22"/>
              </w:rPr>
              <w:t xml:space="preserve"> случае если у Участника клиринга имеется Итоговое нетто-требование по ценным бумагам, не принимаемым в качестве обеспечения исполнения обязательств по Сделкам с частичным обеспечением, и в результате исполнения (прекращения) указанного Итогового нетто-требования по ценным бумагам Единый лимит станет отрицательным.</w:t>
            </w:r>
          </w:p>
        </w:tc>
        <w:tc>
          <w:tcPr>
            <w:tcW w:w="2693" w:type="dxa"/>
          </w:tcPr>
          <w:p w:rsidR="00922776" w:rsidRPr="004B4FFB" w:rsidRDefault="00922776" w:rsidP="007440AE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4B4FFB">
              <w:rPr>
                <w:color w:val="000000" w:themeColor="text1"/>
                <w:sz w:val="22"/>
                <w:szCs w:val="22"/>
              </w:rPr>
              <w:t>Порядок и условия заключения сделок урегулирования становятся более прозрачными для Участников клиринга.</w:t>
            </w:r>
          </w:p>
          <w:p w:rsidR="00922776" w:rsidRPr="004B4FFB" w:rsidRDefault="00922776" w:rsidP="007440AE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4B4FFB">
              <w:rPr>
                <w:color w:val="000000" w:themeColor="text1"/>
                <w:sz w:val="22"/>
                <w:szCs w:val="22"/>
              </w:rPr>
              <w:t>Участнику клиринга гарантируется получение по сделке ценных бумаг, в т.ч. не принимаемых в качестве обеспечения исполнения обязательств, при наличии у такого Участника клиринга необходимых денежных средств.</w:t>
            </w:r>
          </w:p>
        </w:tc>
      </w:tr>
      <w:tr w:rsidR="00922776" w:rsidRPr="004B4FFB" w:rsidTr="00AC564F">
        <w:trPr>
          <w:trHeight w:val="280"/>
        </w:trPr>
        <w:tc>
          <w:tcPr>
            <w:tcW w:w="2547" w:type="dxa"/>
            <w:shd w:val="clear" w:color="auto" w:fill="FBE4D5" w:themeFill="accent2" w:themeFillTint="33"/>
          </w:tcPr>
          <w:p w:rsidR="00922776" w:rsidRDefault="00202BDE" w:rsidP="00922776">
            <w:pPr>
              <w:pStyle w:val="a3"/>
              <w:numPr>
                <w:ilvl w:val="0"/>
                <w:numId w:val="1"/>
              </w:numPr>
              <w:spacing w:before="120"/>
              <w:ind w:left="30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Возможность п</w:t>
            </w:r>
            <w:r w:rsidR="00922776" w:rsidRPr="004B4FFB">
              <w:rPr>
                <w:b/>
                <w:sz w:val="22"/>
                <w:szCs w:val="22"/>
              </w:rPr>
              <w:t>еревод</w:t>
            </w:r>
            <w:r>
              <w:rPr>
                <w:b/>
                <w:sz w:val="22"/>
                <w:szCs w:val="22"/>
              </w:rPr>
              <w:t>а</w:t>
            </w:r>
            <w:r w:rsidR="00922776" w:rsidRPr="004B4FFB">
              <w:rPr>
                <w:b/>
                <w:sz w:val="22"/>
                <w:szCs w:val="22"/>
              </w:rPr>
              <w:t xml:space="preserve"> всех Расчетных кодов рынка СПФИ в Расчетные коды Единого пула</w:t>
            </w:r>
          </w:p>
          <w:p w:rsidR="00202BDE" w:rsidRPr="004B4FFB" w:rsidRDefault="00202BDE" w:rsidP="00202BDE">
            <w:pPr>
              <w:pStyle w:val="a3"/>
              <w:spacing w:before="120"/>
              <w:ind w:left="306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922776" w:rsidRPr="004B4FFB" w:rsidRDefault="00922776" w:rsidP="007440AE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4B4FFB">
              <w:rPr>
                <w:sz w:val="22"/>
                <w:szCs w:val="22"/>
              </w:rPr>
              <w:t>П</w:t>
            </w:r>
            <w:r w:rsidRPr="004B4FFB">
              <w:rPr>
                <w:sz w:val="22"/>
                <w:szCs w:val="22"/>
                <w:lang w:val="ru-RU"/>
              </w:rPr>
              <w:t xml:space="preserve">ункты </w:t>
            </w:r>
            <w:r w:rsidRPr="004B4FFB">
              <w:rPr>
                <w:sz w:val="22"/>
                <w:szCs w:val="22"/>
              </w:rPr>
              <w:t>2.4</w:t>
            </w:r>
            <w:r w:rsidRPr="004B4FFB">
              <w:rPr>
                <w:sz w:val="22"/>
                <w:szCs w:val="22"/>
                <w:lang w:val="ru-RU"/>
              </w:rPr>
              <w:t>, 2.5, подпукнт 21.2.8</w:t>
            </w:r>
            <w:r w:rsidRPr="004B4F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Правил клиринга на рынке Стандартизированных </w:t>
            </w:r>
            <w:r w:rsidRPr="004B4FFB">
              <w:rPr>
                <w:sz w:val="22"/>
                <w:szCs w:val="22"/>
              </w:rPr>
              <w:t>ПФИ, п</w:t>
            </w:r>
            <w:r w:rsidRPr="004B4FFB">
              <w:rPr>
                <w:sz w:val="22"/>
                <w:szCs w:val="22"/>
                <w:lang w:val="ru-RU"/>
              </w:rPr>
              <w:t xml:space="preserve">ункты 3.12, </w:t>
            </w:r>
            <w:r w:rsidRPr="004B4FFB">
              <w:rPr>
                <w:sz w:val="22"/>
                <w:szCs w:val="22"/>
              </w:rPr>
              <w:t>20.1, 20.2, 20.2.1</w:t>
            </w:r>
            <w:r w:rsidRPr="004B4FFB">
              <w:rPr>
                <w:sz w:val="22"/>
                <w:szCs w:val="22"/>
                <w:lang w:val="ru-RU"/>
              </w:rPr>
              <w:t>, 25.1.1, 51.3-51.4, 51.12-51.14, 51.19, 51.21</w:t>
            </w:r>
            <w:r w:rsidRPr="004B4FFB">
              <w:rPr>
                <w:sz w:val="22"/>
                <w:szCs w:val="22"/>
              </w:rPr>
              <w:t xml:space="preserve"> общей части</w:t>
            </w:r>
            <w:r>
              <w:rPr>
                <w:sz w:val="22"/>
                <w:szCs w:val="22"/>
                <w:lang w:val="ru-RU"/>
              </w:rPr>
              <w:t xml:space="preserve"> Правил клиринга</w:t>
            </w:r>
            <w:r w:rsidRPr="004B4FFB">
              <w:rPr>
                <w:sz w:val="22"/>
                <w:szCs w:val="22"/>
              </w:rPr>
              <w:t>.</w:t>
            </w:r>
          </w:p>
        </w:tc>
        <w:tc>
          <w:tcPr>
            <w:tcW w:w="7088" w:type="dxa"/>
          </w:tcPr>
          <w:p w:rsidR="00922776" w:rsidRPr="004B4FFB" w:rsidRDefault="00922776" w:rsidP="007440AE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 w:rsidRPr="004B4FFB">
              <w:rPr>
                <w:color w:val="000000"/>
                <w:sz w:val="22"/>
                <w:szCs w:val="22"/>
                <w:lang w:val="ru-RU"/>
              </w:rPr>
              <w:t>В рамках задачи по автоматизации дефолт-менеджмента на рынке СПФИ с даты, установленной</w:t>
            </w:r>
            <w:r w:rsidR="00202BDE">
              <w:rPr>
                <w:color w:val="000000"/>
                <w:sz w:val="22"/>
                <w:szCs w:val="22"/>
                <w:lang w:val="ru-RU"/>
              </w:rPr>
              <w:t xml:space="preserve"> отдельным</w:t>
            </w:r>
            <w:r w:rsidRPr="004B4FFB">
              <w:rPr>
                <w:color w:val="000000"/>
                <w:sz w:val="22"/>
                <w:szCs w:val="22"/>
                <w:lang w:val="ru-RU"/>
              </w:rPr>
              <w:t xml:space="preserve"> решением НКЦ, всем Расчетным кодам, открытым для рынка СПФИ, будет присвоен признак «Единый пул». </w:t>
            </w:r>
            <w:r w:rsidR="00202BDE">
              <w:rPr>
                <w:b/>
                <w:sz w:val="22"/>
                <w:szCs w:val="22"/>
              </w:rPr>
              <w:t>(</w:t>
            </w:r>
            <w:r w:rsidR="00202BDE">
              <w:rPr>
                <w:b/>
                <w:sz w:val="22"/>
                <w:szCs w:val="22"/>
                <w:lang w:val="ru-RU"/>
              </w:rPr>
              <w:t>О точной дате будет сообщено дополнительно, планируемая дата – 01.12.20</w:t>
            </w:r>
            <w:r w:rsidR="00202BDE">
              <w:rPr>
                <w:b/>
                <w:sz w:val="22"/>
                <w:szCs w:val="22"/>
              </w:rPr>
              <w:t>)</w:t>
            </w:r>
          </w:p>
          <w:p w:rsidR="00922776" w:rsidRPr="004B4FFB" w:rsidRDefault="00922776" w:rsidP="007440AE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 w:rsidRPr="004B4FFB">
              <w:rPr>
                <w:color w:val="000000"/>
                <w:sz w:val="22"/>
                <w:szCs w:val="22"/>
                <w:lang w:val="ru-RU"/>
              </w:rPr>
              <w:t>Правила клиринга дополнены положениями, в соответствии с которыми, если Расчетный код является Расчетным кодом Единого пула и уровни защиты центрального контрагента используются в случае возникновения у Участника клиринга Маржинального требования, то Обеспечение, Обеспечение под стресс и взнос в Гарантийный фонд Недобросовестного участника клиринга используется, в первую очередь, на том рынке, на котором возникло Маржинальное требование, а выделенный капитал центрального контрагента и средства Гарантийных фондов из взносов Добросовестных участников клиринга используются на том биржевом рынке, на котором возникло Маржинальное требование.</w:t>
            </w:r>
          </w:p>
        </w:tc>
        <w:tc>
          <w:tcPr>
            <w:tcW w:w="2693" w:type="dxa"/>
          </w:tcPr>
          <w:p w:rsidR="00922776" w:rsidRPr="004B4FFB" w:rsidRDefault="00922776" w:rsidP="007440AE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4B4FFB">
              <w:rPr>
                <w:color w:val="000000" w:themeColor="text1"/>
                <w:sz w:val="22"/>
                <w:szCs w:val="22"/>
              </w:rPr>
              <w:t>Не влияет на права и обязанности Участников клиринга.</w:t>
            </w:r>
          </w:p>
        </w:tc>
      </w:tr>
      <w:tr w:rsidR="00922776" w:rsidRPr="004B4FFB" w:rsidTr="00AC564F">
        <w:trPr>
          <w:trHeight w:val="280"/>
        </w:trPr>
        <w:tc>
          <w:tcPr>
            <w:tcW w:w="2547" w:type="dxa"/>
            <w:shd w:val="clear" w:color="auto" w:fill="FBE4D5" w:themeFill="accent2" w:themeFillTint="33"/>
          </w:tcPr>
          <w:p w:rsidR="00202BDE" w:rsidRDefault="00922776" w:rsidP="00922776">
            <w:pPr>
              <w:pStyle w:val="a3"/>
              <w:numPr>
                <w:ilvl w:val="0"/>
                <w:numId w:val="1"/>
              </w:numPr>
              <w:spacing w:before="120"/>
              <w:ind w:left="306"/>
              <w:rPr>
                <w:b/>
                <w:sz w:val="22"/>
                <w:szCs w:val="22"/>
              </w:rPr>
            </w:pPr>
            <w:r w:rsidRPr="004B4FFB">
              <w:rPr>
                <w:b/>
                <w:sz w:val="22"/>
                <w:szCs w:val="22"/>
              </w:rPr>
              <w:t xml:space="preserve">Предоставление Участникам </w:t>
            </w:r>
            <w:r w:rsidRPr="004B4FFB">
              <w:rPr>
                <w:b/>
                <w:sz w:val="22"/>
                <w:szCs w:val="22"/>
              </w:rPr>
              <w:lastRenderedPageBreak/>
              <w:t>клиринга, не допущенным к клирингу на фондовом рынке, доступа к Единому пулу обеспечения</w:t>
            </w:r>
          </w:p>
          <w:p w:rsidR="00562E36" w:rsidRDefault="00562E36" w:rsidP="00202BDE">
            <w:pPr>
              <w:rPr>
                <w:b/>
                <w:color w:val="FF0000"/>
                <w:sz w:val="22"/>
                <w:szCs w:val="22"/>
              </w:rPr>
            </w:pPr>
          </w:p>
          <w:p w:rsidR="00922776" w:rsidRPr="00562E36" w:rsidRDefault="00202BDE" w:rsidP="00202BDE">
            <w:pPr>
              <w:rPr>
                <w:sz w:val="22"/>
                <w:szCs w:val="22"/>
              </w:rPr>
            </w:pPr>
            <w:r w:rsidRPr="00562E36">
              <w:rPr>
                <w:b/>
                <w:color w:val="FF0000"/>
                <w:sz w:val="22"/>
                <w:szCs w:val="22"/>
              </w:rPr>
              <w:t xml:space="preserve">О </w:t>
            </w:r>
            <w:r w:rsidR="00562E36" w:rsidRPr="00562E36">
              <w:rPr>
                <w:b/>
                <w:color w:val="FF0000"/>
                <w:sz w:val="22"/>
                <w:szCs w:val="22"/>
              </w:rPr>
              <w:t xml:space="preserve">полной </w:t>
            </w:r>
            <w:r w:rsidRPr="00562E36">
              <w:rPr>
                <w:b/>
                <w:color w:val="FF0000"/>
                <w:sz w:val="22"/>
                <w:szCs w:val="22"/>
              </w:rPr>
              <w:t>технической готовности</w:t>
            </w:r>
            <w:r w:rsidR="00562E36" w:rsidRPr="00562E36">
              <w:rPr>
                <w:b/>
                <w:color w:val="FF0000"/>
                <w:sz w:val="22"/>
                <w:szCs w:val="22"/>
              </w:rPr>
              <w:t xml:space="preserve"> сервиса, включая НРД, </w:t>
            </w:r>
            <w:r w:rsidRPr="00562E36">
              <w:rPr>
                <w:b/>
                <w:color w:val="FF0000"/>
                <w:sz w:val="22"/>
                <w:szCs w:val="22"/>
              </w:rPr>
              <w:t>будет сообщено дополнительно</w:t>
            </w:r>
          </w:p>
        </w:tc>
        <w:tc>
          <w:tcPr>
            <w:tcW w:w="2693" w:type="dxa"/>
          </w:tcPr>
          <w:p w:rsidR="00922776" w:rsidRPr="004B4FFB" w:rsidRDefault="00922776" w:rsidP="007440AE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4B4FFB">
              <w:rPr>
                <w:sz w:val="22"/>
                <w:szCs w:val="22"/>
              </w:rPr>
              <w:lastRenderedPageBreak/>
              <w:t>П.15.11</w:t>
            </w:r>
            <w:r w:rsidRPr="004B4FFB">
              <w:rPr>
                <w:sz w:val="22"/>
                <w:szCs w:val="22"/>
                <w:lang w:val="ru-RU"/>
              </w:rPr>
              <w:t xml:space="preserve"> общей части</w:t>
            </w:r>
            <w:r>
              <w:rPr>
                <w:sz w:val="22"/>
                <w:szCs w:val="22"/>
                <w:lang w:val="ru-RU"/>
              </w:rPr>
              <w:t xml:space="preserve"> Правил клиринга</w:t>
            </w:r>
            <w:r w:rsidRPr="004B4FFB">
              <w:rPr>
                <w:sz w:val="22"/>
                <w:szCs w:val="22"/>
              </w:rPr>
              <w:t xml:space="preserve">, п.16.1.1 </w:t>
            </w:r>
            <w:r w:rsidRPr="004B4FFB">
              <w:rPr>
                <w:sz w:val="22"/>
                <w:szCs w:val="22"/>
                <w:lang w:val="ru-RU"/>
              </w:rPr>
              <w:lastRenderedPageBreak/>
              <w:t xml:space="preserve">общей части </w:t>
            </w:r>
            <w:r>
              <w:rPr>
                <w:sz w:val="22"/>
                <w:szCs w:val="22"/>
                <w:lang w:val="ru-RU"/>
              </w:rPr>
              <w:t xml:space="preserve">Правил клиринга </w:t>
            </w:r>
            <w:r w:rsidRPr="004B4FFB">
              <w:rPr>
                <w:sz w:val="22"/>
                <w:szCs w:val="22"/>
              </w:rPr>
              <w:t xml:space="preserve">исключен, пп.16.2-16.3, 16.6, 20.8 </w:t>
            </w:r>
            <w:r w:rsidRPr="004B4FFB">
              <w:rPr>
                <w:sz w:val="22"/>
                <w:szCs w:val="22"/>
                <w:lang w:val="ru-RU"/>
              </w:rPr>
              <w:t>общей части</w:t>
            </w:r>
            <w:r>
              <w:rPr>
                <w:sz w:val="22"/>
                <w:szCs w:val="22"/>
                <w:lang w:val="ru-RU"/>
              </w:rPr>
              <w:t xml:space="preserve"> Правил клиринга</w:t>
            </w:r>
            <w:r w:rsidRPr="004B4FFB">
              <w:rPr>
                <w:sz w:val="22"/>
                <w:szCs w:val="22"/>
              </w:rPr>
              <w:t xml:space="preserve">, пп.11.2, 11.2.1, 11.2.2, 11.3, 11.3.1 </w:t>
            </w:r>
            <w:r w:rsidRPr="004B4FFB">
              <w:rPr>
                <w:sz w:val="22"/>
                <w:szCs w:val="22"/>
                <w:lang w:val="ru-RU"/>
              </w:rPr>
              <w:t xml:space="preserve"> Правил клиринга на фондовом рынке и рынке депозитов</w:t>
            </w:r>
            <w:r w:rsidRPr="004B4FFB">
              <w:rPr>
                <w:sz w:val="22"/>
                <w:szCs w:val="22"/>
              </w:rPr>
              <w:t xml:space="preserve"> исключены, п.11.3</w:t>
            </w:r>
            <w:r w:rsidRPr="004B4FFB">
              <w:rPr>
                <w:sz w:val="22"/>
                <w:szCs w:val="22"/>
                <w:lang w:val="ru-RU"/>
              </w:rPr>
              <w:t xml:space="preserve"> Правил клиринга на фондовом рынке и рынке депозитов</w:t>
            </w:r>
            <w:r w:rsidRPr="004B4FFB">
              <w:rPr>
                <w:sz w:val="22"/>
                <w:szCs w:val="22"/>
              </w:rPr>
              <w:t xml:space="preserve"> .</w:t>
            </w:r>
          </w:p>
        </w:tc>
        <w:tc>
          <w:tcPr>
            <w:tcW w:w="7088" w:type="dxa"/>
          </w:tcPr>
          <w:p w:rsidR="00922776" w:rsidRPr="004B4FFB" w:rsidRDefault="00922776" w:rsidP="007440AE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 w:rsidRPr="004B4FFB">
              <w:rPr>
                <w:color w:val="000000"/>
                <w:sz w:val="22"/>
                <w:szCs w:val="22"/>
                <w:lang w:val="ru-RU"/>
              </w:rPr>
              <w:lastRenderedPageBreak/>
              <w:t xml:space="preserve">В общую часть Правил клиринга из фондовой части перенесен порядок отрытия Торгово-клиринговых счетов, в состав которых не входит </w:t>
            </w:r>
            <w:r w:rsidR="00202BDE">
              <w:rPr>
                <w:color w:val="000000"/>
                <w:sz w:val="22"/>
                <w:szCs w:val="22"/>
                <w:lang w:val="ru-RU"/>
              </w:rPr>
              <w:lastRenderedPageBreak/>
              <w:t>торговый р</w:t>
            </w:r>
            <w:r w:rsidRPr="004B4FFB">
              <w:rPr>
                <w:color w:val="000000"/>
                <w:sz w:val="22"/>
                <w:szCs w:val="22"/>
                <w:lang w:val="ru-RU"/>
              </w:rPr>
              <w:t>аздел</w:t>
            </w:r>
            <w:r w:rsidR="00202BDE">
              <w:rPr>
                <w:color w:val="000000"/>
                <w:sz w:val="22"/>
                <w:szCs w:val="22"/>
                <w:lang w:val="ru-RU"/>
              </w:rPr>
              <w:t xml:space="preserve"> счета депо</w:t>
            </w:r>
            <w:r w:rsidRPr="004B4FFB">
              <w:rPr>
                <w:color w:val="000000"/>
                <w:sz w:val="22"/>
                <w:szCs w:val="22"/>
                <w:lang w:val="ru-RU"/>
              </w:rPr>
              <w:t>, и которые могут быть использованы для заключения сделок за счет Единого пула обеспечения Участниками клиринга, не допущенными к клирингу на фондовом рынке.</w:t>
            </w:r>
          </w:p>
          <w:p w:rsidR="00202BDE" w:rsidRDefault="00922776" w:rsidP="007440AE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 w:rsidRPr="004B4FFB">
              <w:rPr>
                <w:color w:val="000000"/>
                <w:sz w:val="22"/>
                <w:szCs w:val="22"/>
                <w:lang w:val="ru-RU"/>
              </w:rPr>
              <w:t>Определено, что объединение рынков в Единый пул обеспечения выполняется при условии совпадения категории Участника клиринга на объединяемых рынках.</w:t>
            </w:r>
          </w:p>
          <w:p w:rsidR="00922776" w:rsidRPr="00562E36" w:rsidRDefault="00562E36" w:rsidP="00202BDE">
            <w:pPr>
              <w:rPr>
                <w:sz w:val="22"/>
                <w:szCs w:val="22"/>
                <w:lang w:eastAsia="x-none"/>
              </w:rPr>
            </w:pPr>
            <w:r w:rsidRPr="00562E36">
              <w:rPr>
                <w:b/>
                <w:sz w:val="22"/>
                <w:szCs w:val="22"/>
                <w:lang w:eastAsia="x-none"/>
              </w:rPr>
              <w:t>Вниманию участников рынка депозитов</w:t>
            </w:r>
            <w:r>
              <w:rPr>
                <w:b/>
                <w:sz w:val="22"/>
                <w:szCs w:val="22"/>
                <w:lang w:eastAsia="x-none"/>
              </w:rPr>
              <w:t>:</w:t>
            </w:r>
            <w:r>
              <w:rPr>
                <w:sz w:val="22"/>
                <w:szCs w:val="22"/>
                <w:lang w:eastAsia="x-none"/>
              </w:rPr>
              <w:t xml:space="preserve"> предусмотрена </w:t>
            </w:r>
            <w:r w:rsidRPr="00562E36">
              <w:rPr>
                <w:sz w:val="22"/>
                <w:szCs w:val="22"/>
                <w:lang w:eastAsia="x-none"/>
              </w:rPr>
              <w:t>возможность внесения ценных бумаг в Обеспечение, Обеспечение под стресс</w:t>
            </w:r>
            <w:r>
              <w:rPr>
                <w:sz w:val="22"/>
                <w:szCs w:val="22"/>
                <w:lang w:eastAsia="x-none"/>
              </w:rPr>
              <w:t xml:space="preserve"> и</w:t>
            </w:r>
            <w:r w:rsidRPr="00562E36">
              <w:rPr>
                <w:sz w:val="22"/>
                <w:szCs w:val="22"/>
                <w:lang w:eastAsia="x-none"/>
              </w:rPr>
              <w:t xml:space="preserve"> в Гарантийный фонд</w:t>
            </w:r>
            <w:r>
              <w:rPr>
                <w:sz w:val="22"/>
                <w:szCs w:val="22"/>
                <w:lang w:eastAsia="x-none"/>
              </w:rPr>
              <w:t xml:space="preserve"> (после технической готовности со стороны НРД). </w:t>
            </w:r>
          </w:p>
        </w:tc>
        <w:tc>
          <w:tcPr>
            <w:tcW w:w="2693" w:type="dxa"/>
          </w:tcPr>
          <w:p w:rsidR="00922776" w:rsidRPr="004B4FFB" w:rsidRDefault="00922776" w:rsidP="007440AE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4B4FFB">
              <w:rPr>
                <w:color w:val="000000"/>
                <w:sz w:val="22"/>
                <w:szCs w:val="22"/>
              </w:rPr>
              <w:lastRenderedPageBreak/>
              <w:t xml:space="preserve">У Участников клиринга, не допущенных к </w:t>
            </w:r>
            <w:r w:rsidRPr="004B4FFB">
              <w:rPr>
                <w:color w:val="000000"/>
                <w:sz w:val="22"/>
                <w:szCs w:val="22"/>
              </w:rPr>
              <w:lastRenderedPageBreak/>
              <w:t>клирингу на фондовом рынке, появляется возможность использовать Единый пул обеспечения.</w:t>
            </w:r>
          </w:p>
        </w:tc>
      </w:tr>
      <w:tr w:rsidR="00922776" w:rsidRPr="004B4FFB" w:rsidTr="00AC564F">
        <w:trPr>
          <w:trHeight w:val="280"/>
        </w:trPr>
        <w:tc>
          <w:tcPr>
            <w:tcW w:w="2547" w:type="dxa"/>
            <w:shd w:val="clear" w:color="auto" w:fill="FBE4D5" w:themeFill="accent2" w:themeFillTint="33"/>
          </w:tcPr>
          <w:p w:rsidR="00922776" w:rsidRPr="004B4FFB" w:rsidRDefault="00E72FD9" w:rsidP="00922776">
            <w:pPr>
              <w:pStyle w:val="a3"/>
              <w:numPr>
                <w:ilvl w:val="0"/>
                <w:numId w:val="1"/>
              </w:numPr>
              <w:spacing w:before="120"/>
              <w:ind w:left="306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Определение порядка проверки возможности регистрации заявок с указанием Торгово-клиринговых счетов, в состав которых входит Раздел на эмиссионном счете или казначейском счете депо</w:t>
            </w:r>
          </w:p>
        </w:tc>
        <w:tc>
          <w:tcPr>
            <w:tcW w:w="2693" w:type="dxa"/>
          </w:tcPr>
          <w:p w:rsidR="00922776" w:rsidRPr="004B4FFB" w:rsidRDefault="00E72FD9" w:rsidP="007440AE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Пункт 19.2 Правил клиринга на фондовом рынке и рынке депозитов</w:t>
            </w:r>
            <w:r w:rsidR="00922776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7088" w:type="dxa"/>
          </w:tcPr>
          <w:p w:rsidR="00E72FD9" w:rsidRDefault="00E72FD9" w:rsidP="00E72FD9">
            <w:pPr>
              <w:pStyle w:val="texttab1"/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Правилами клиринга установлено, что необходимым условием регистрации заявки, поданной </w:t>
            </w:r>
            <w:r>
              <w:rPr>
                <w:sz w:val="22"/>
                <w:szCs w:val="22"/>
                <w:lang w:val="x-none"/>
              </w:rPr>
              <w:t>с указанием Торгово-клирингов</w:t>
            </w:r>
            <w:r>
              <w:rPr>
                <w:sz w:val="22"/>
                <w:szCs w:val="22"/>
              </w:rPr>
              <w:t>ого</w:t>
            </w:r>
            <w:r>
              <w:rPr>
                <w:sz w:val="22"/>
                <w:szCs w:val="22"/>
                <w:lang w:val="x-none"/>
              </w:rPr>
              <w:t xml:space="preserve"> счет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x-none"/>
              </w:rPr>
              <w:t>, в состав котор</w:t>
            </w:r>
            <w:r>
              <w:rPr>
                <w:sz w:val="22"/>
                <w:szCs w:val="22"/>
              </w:rPr>
              <w:t xml:space="preserve">ого </w:t>
            </w:r>
            <w:r>
              <w:rPr>
                <w:sz w:val="22"/>
                <w:szCs w:val="22"/>
                <w:lang w:val="x-none"/>
              </w:rPr>
              <w:t>входит Раздел на эмиссионном счете или казначейском счете депо</w:t>
            </w:r>
            <w:r>
              <w:rPr>
                <w:sz w:val="22"/>
                <w:szCs w:val="22"/>
              </w:rPr>
              <w:t>, является:</w:t>
            </w:r>
          </w:p>
          <w:p w:rsidR="00E72FD9" w:rsidRDefault="00E72FD9" w:rsidP="00E72FD9">
            <w:pPr>
              <w:pStyle w:val="texttab1"/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владелец </w:t>
            </w:r>
            <w:r>
              <w:rPr>
                <w:color w:val="000000"/>
                <w:sz w:val="22"/>
                <w:szCs w:val="22"/>
              </w:rPr>
              <w:t>эмиссионного счета или казначейского счета депо</w:t>
            </w:r>
            <w:r>
              <w:rPr>
                <w:sz w:val="22"/>
                <w:szCs w:val="22"/>
              </w:rPr>
              <w:t xml:space="preserve"> (по информации о владельце</w:t>
            </w:r>
            <w:r>
              <w:rPr>
                <w:sz w:val="22"/>
                <w:szCs w:val="22"/>
                <w:lang w:val="x-none"/>
              </w:rPr>
              <w:t xml:space="preserve"> эмиссионно</w:t>
            </w:r>
            <w:r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  <w:lang w:val="x-none"/>
              </w:rPr>
              <w:t xml:space="preserve"> счет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x-none"/>
              </w:rPr>
              <w:t xml:space="preserve"> или казначейско</w:t>
            </w:r>
            <w:r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  <w:lang w:val="x-none"/>
              </w:rPr>
              <w:t xml:space="preserve"> счет</w:t>
            </w:r>
            <w:r>
              <w:rPr>
                <w:sz w:val="22"/>
                <w:szCs w:val="22"/>
              </w:rPr>
              <w:t xml:space="preserve">а </w:t>
            </w:r>
            <w:r>
              <w:rPr>
                <w:sz w:val="22"/>
                <w:szCs w:val="22"/>
                <w:lang w:val="x-none"/>
              </w:rPr>
              <w:t>депо</w:t>
            </w:r>
            <w:r>
              <w:rPr>
                <w:sz w:val="22"/>
                <w:szCs w:val="22"/>
              </w:rPr>
              <w:t>, полученной от Расчетного депозитария)</w:t>
            </w:r>
            <w:bookmarkStart w:id="4" w:name="_GoBack"/>
            <w:bookmarkEnd w:id="4"/>
            <w:r>
              <w:rPr>
                <w:color w:val="000000"/>
                <w:sz w:val="22"/>
                <w:szCs w:val="22"/>
              </w:rPr>
              <w:t xml:space="preserve"> является эмитентом ценной бумаги,</w:t>
            </w:r>
            <w:r>
              <w:rPr>
                <w:sz w:val="22"/>
                <w:szCs w:val="22"/>
              </w:rPr>
              <w:t xml:space="preserve"> указанной в заявке, </w:t>
            </w:r>
          </w:p>
          <w:p w:rsidR="00E72FD9" w:rsidRDefault="00E72FD9" w:rsidP="00E72FD9">
            <w:pPr>
              <w:pStyle w:val="texttab1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или</w:t>
            </w:r>
          </w:p>
          <w:p w:rsidR="00922776" w:rsidRPr="00E72FD9" w:rsidRDefault="00E72FD9" w:rsidP="007440AE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>
              <w:rPr>
                <w:sz w:val="22"/>
                <w:szCs w:val="22"/>
              </w:rPr>
              <w:t xml:space="preserve">т </w:t>
            </w:r>
            <w:r>
              <w:rPr>
                <w:sz w:val="22"/>
                <w:szCs w:val="22"/>
                <w:lang w:val="ru-RU"/>
              </w:rPr>
              <w:t>У</w:t>
            </w:r>
            <w:r>
              <w:rPr>
                <w:sz w:val="22"/>
                <w:szCs w:val="22"/>
              </w:rPr>
              <w:t xml:space="preserve">частника клиринга получено </w:t>
            </w:r>
            <w:r>
              <w:rPr>
                <w:color w:val="000000"/>
                <w:sz w:val="22"/>
                <w:szCs w:val="22"/>
              </w:rPr>
              <w:t>уведомление о проведении выкупа</w:t>
            </w:r>
            <w:r w:rsidR="00845216">
              <w:rPr>
                <w:color w:val="000000"/>
                <w:sz w:val="22"/>
                <w:szCs w:val="22"/>
                <w:lang w:val="ru-RU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в котором </w:t>
            </w:r>
            <w:r>
              <w:rPr>
                <w:color w:val="000000"/>
                <w:sz w:val="22"/>
                <w:szCs w:val="22"/>
                <w:lang w:val="ru-RU"/>
              </w:rPr>
              <w:t>У</w:t>
            </w:r>
            <w:r>
              <w:rPr>
                <w:color w:val="000000"/>
                <w:sz w:val="22"/>
                <w:szCs w:val="22"/>
              </w:rPr>
              <w:t>частник клиринга указан как покупатель при осуществлении выкупа</w:t>
            </w:r>
            <w:r w:rsidR="00922776" w:rsidRPr="004B4FFB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693" w:type="dxa"/>
          </w:tcPr>
          <w:p w:rsidR="00922776" w:rsidRPr="004B4FFB" w:rsidRDefault="00E72FD9" w:rsidP="007440AE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Освобождает Участников клиринга от необходимости подачи заявлений при размещении и выкупе ценных бумаг в случае, если Клиринговый центр может самостоятельно идентифицировать владельца раздела как эмитента ценной бумаги</w:t>
            </w:r>
            <w:r w:rsidR="00922776" w:rsidRPr="004B4FFB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922776" w:rsidRPr="004B4FFB" w:rsidTr="001E59CB">
        <w:trPr>
          <w:trHeight w:val="416"/>
        </w:trPr>
        <w:tc>
          <w:tcPr>
            <w:tcW w:w="2547" w:type="dxa"/>
            <w:shd w:val="clear" w:color="auto" w:fill="FBE4D5" w:themeFill="accent2" w:themeFillTint="33"/>
          </w:tcPr>
          <w:p w:rsidR="00922776" w:rsidRPr="004B4FFB" w:rsidRDefault="00922776" w:rsidP="00922776">
            <w:pPr>
              <w:pStyle w:val="Texttab"/>
              <w:numPr>
                <w:ilvl w:val="0"/>
                <w:numId w:val="1"/>
              </w:numPr>
              <w:tabs>
                <w:tab w:val="right" w:pos="731"/>
              </w:tabs>
              <w:spacing w:before="120" w:after="120"/>
              <w:ind w:left="306"/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</w:pPr>
            <w:r w:rsidRPr="004B4FFB"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>Уточнение статуса Обеспечения в иностранной валюте на валютном рынке и рынке драгоценных металлов</w:t>
            </w:r>
          </w:p>
        </w:tc>
        <w:tc>
          <w:tcPr>
            <w:tcW w:w="2693" w:type="dxa"/>
          </w:tcPr>
          <w:p w:rsidR="00922776" w:rsidRPr="004B4FFB" w:rsidRDefault="00922776" w:rsidP="007440AE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4B4FFB">
              <w:rPr>
                <w:sz w:val="22"/>
                <w:szCs w:val="22"/>
                <w:lang w:val="ru-RU"/>
              </w:rPr>
              <w:t>Подпункт 3.5.3 общей части Правил клиринга.</w:t>
            </w:r>
          </w:p>
          <w:p w:rsidR="00922776" w:rsidRPr="00024DC9" w:rsidRDefault="00922776" w:rsidP="007440AE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4B4FFB">
              <w:rPr>
                <w:sz w:val="22"/>
                <w:szCs w:val="22"/>
                <w:lang w:val="ru-RU"/>
              </w:rPr>
              <w:t xml:space="preserve">Пункт 2.8 </w:t>
            </w:r>
            <w:r w:rsidRPr="004B4FFB">
              <w:rPr>
                <w:color w:val="000000"/>
                <w:sz w:val="22"/>
                <w:szCs w:val="22"/>
              </w:rPr>
              <w:t>Правил клиринга на валютном рынке и рынке драгоценных металлов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7088" w:type="dxa"/>
          </w:tcPr>
          <w:p w:rsidR="00922776" w:rsidRPr="004B4FFB" w:rsidRDefault="00922776" w:rsidP="007440AE">
            <w:pPr>
              <w:pStyle w:val="Texttab"/>
              <w:spacing w:before="120" w:after="120"/>
              <w:ind w:left="0"/>
              <w:rPr>
                <w:bCs/>
                <w:color w:val="000000"/>
                <w:sz w:val="22"/>
                <w:szCs w:val="22"/>
                <w:lang w:val="ru-RU"/>
              </w:rPr>
            </w:pPr>
            <w:r w:rsidRPr="004B4FFB">
              <w:rPr>
                <w:bCs/>
                <w:color w:val="000000"/>
                <w:sz w:val="22"/>
                <w:szCs w:val="22"/>
              </w:rPr>
              <w:tab/>
            </w:r>
            <w:r w:rsidRPr="004B4FFB">
              <w:rPr>
                <w:bCs/>
                <w:color w:val="000000"/>
                <w:sz w:val="22"/>
                <w:szCs w:val="22"/>
                <w:lang w:val="ru-RU"/>
              </w:rPr>
              <w:t xml:space="preserve">В целях унификации формулировок Правил клиринга, касающихся описания статуса Обеспечения в иностранной валюте на разных рынках, определение иного обеспечения перенесено из Правил клиринга на валютном рынке в общуй часть Правил клиринга, в Правила клиринга на валютном рынке включено положение, явно устанавливающее, что </w:t>
            </w:r>
            <w:r w:rsidRPr="004B4FFB">
              <w:rPr>
                <w:bCs/>
                <w:color w:val="000000"/>
                <w:sz w:val="22"/>
                <w:szCs w:val="22"/>
              </w:rPr>
              <w:t>Обеспечение Участника клиринга в иностранной валюте</w:t>
            </w:r>
            <w:r w:rsidRPr="004B4FFB">
              <w:rPr>
                <w:bCs/>
                <w:color w:val="000000"/>
                <w:sz w:val="22"/>
                <w:szCs w:val="22"/>
                <w:lang w:val="ru-RU"/>
              </w:rPr>
              <w:t xml:space="preserve">, учитываемое по Расчетным кодам, открытым для валютного рынка и рынка драгоценных металлов и не являющимся Расчетными кодами Единого пула, является иным обеспечением (указанное положение не меняет существующий </w:t>
            </w:r>
            <w:r w:rsidRPr="004B4FFB">
              <w:rPr>
                <w:bCs/>
                <w:color w:val="000000"/>
                <w:sz w:val="22"/>
                <w:szCs w:val="22"/>
                <w:lang w:val="ru-RU"/>
              </w:rPr>
              <w:lastRenderedPageBreak/>
              <w:t>статус Обеспечения в иностранной валюте на валютном рынке и рынке драгоценных металлов).</w:t>
            </w:r>
          </w:p>
        </w:tc>
        <w:tc>
          <w:tcPr>
            <w:tcW w:w="2693" w:type="dxa"/>
          </w:tcPr>
          <w:p w:rsidR="00922776" w:rsidRPr="004B4FFB" w:rsidRDefault="00922776" w:rsidP="007440AE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4B4FFB">
              <w:rPr>
                <w:color w:val="000000" w:themeColor="text1"/>
                <w:sz w:val="22"/>
                <w:szCs w:val="22"/>
              </w:rPr>
              <w:lastRenderedPageBreak/>
              <w:t>Не влияет на права и обязанности Участников клиринга.</w:t>
            </w:r>
          </w:p>
        </w:tc>
      </w:tr>
      <w:tr w:rsidR="00922776" w:rsidRPr="004B4FFB" w:rsidTr="00AC564F">
        <w:trPr>
          <w:trHeight w:val="1224"/>
        </w:trPr>
        <w:tc>
          <w:tcPr>
            <w:tcW w:w="2547" w:type="dxa"/>
            <w:shd w:val="clear" w:color="auto" w:fill="FBE4D5" w:themeFill="accent2" w:themeFillTint="33"/>
          </w:tcPr>
          <w:p w:rsidR="00922776" w:rsidRPr="004B4FFB" w:rsidRDefault="00922776" w:rsidP="00922776">
            <w:pPr>
              <w:pStyle w:val="Texttab"/>
              <w:numPr>
                <w:ilvl w:val="0"/>
                <w:numId w:val="1"/>
              </w:numPr>
              <w:tabs>
                <w:tab w:val="right" w:pos="731"/>
              </w:tabs>
              <w:spacing w:before="120" w:after="120"/>
              <w:ind w:left="306"/>
              <w:rPr>
                <w:b/>
                <w:sz w:val="22"/>
                <w:szCs w:val="22"/>
                <w:lang w:val="ru-RU"/>
              </w:rPr>
            </w:pPr>
            <w:r w:rsidRPr="004B4FFB">
              <w:rPr>
                <w:b/>
                <w:sz w:val="22"/>
                <w:szCs w:val="22"/>
                <w:lang w:val="ru-RU"/>
              </w:rPr>
              <w:t>Изменения, связанные с продлением торгов TOD отдельными валютами до 12:00</w:t>
            </w:r>
          </w:p>
        </w:tc>
        <w:tc>
          <w:tcPr>
            <w:tcW w:w="2693" w:type="dxa"/>
          </w:tcPr>
          <w:p w:rsidR="00922776" w:rsidRPr="004B4FFB" w:rsidRDefault="00922776" w:rsidP="007440AE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4B4FFB">
              <w:rPr>
                <w:sz w:val="22"/>
                <w:szCs w:val="22"/>
                <w:lang w:val="ru-RU"/>
              </w:rPr>
              <w:t>Приложение 6 к общей части Правил клиринга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7088" w:type="dxa"/>
          </w:tcPr>
          <w:p w:rsidR="00922776" w:rsidRPr="004B4FFB" w:rsidRDefault="00922776" w:rsidP="007440AE">
            <w:pPr>
              <w:pStyle w:val="Texttab"/>
              <w:spacing w:before="120" w:after="120"/>
              <w:ind w:left="0"/>
              <w:rPr>
                <w:bCs/>
                <w:color w:val="000000"/>
                <w:sz w:val="22"/>
                <w:szCs w:val="22"/>
                <w:lang w:val="ru-RU"/>
              </w:rPr>
            </w:pPr>
            <w:r w:rsidRPr="004B4FFB">
              <w:rPr>
                <w:bCs/>
                <w:color w:val="000000"/>
                <w:sz w:val="22"/>
                <w:szCs w:val="22"/>
                <w:lang w:val="ru-RU"/>
              </w:rPr>
              <w:t>Временной регламент изменен с учетом продления до 12:00 времени торгов инструментами</w:t>
            </w:r>
            <w:r w:rsidRPr="004B4FFB">
              <w:rPr>
                <w:sz w:val="22"/>
                <w:szCs w:val="22"/>
              </w:rPr>
              <w:t xml:space="preserve"> </w:t>
            </w:r>
            <w:r w:rsidRPr="004B4FFB">
              <w:rPr>
                <w:bCs/>
                <w:color w:val="000000"/>
                <w:sz w:val="22"/>
                <w:szCs w:val="22"/>
                <w:lang w:val="ru-RU"/>
              </w:rPr>
              <w:t>TOD по швейцарским франкам, юаням, турецким лирам, белорусским рублям, тенге.</w:t>
            </w:r>
          </w:p>
        </w:tc>
        <w:tc>
          <w:tcPr>
            <w:tcW w:w="2693" w:type="dxa"/>
          </w:tcPr>
          <w:p w:rsidR="00922776" w:rsidRPr="004B4FFB" w:rsidRDefault="00922776" w:rsidP="007440AE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4B4FFB">
              <w:rPr>
                <w:color w:val="000000" w:themeColor="text1"/>
                <w:sz w:val="22"/>
                <w:szCs w:val="22"/>
              </w:rPr>
              <w:t>Не влияет на права и обязанности Участников клиринга.</w:t>
            </w:r>
          </w:p>
        </w:tc>
      </w:tr>
      <w:tr w:rsidR="00922776" w:rsidRPr="004B4FFB" w:rsidTr="00AC564F">
        <w:trPr>
          <w:trHeight w:val="846"/>
        </w:trPr>
        <w:tc>
          <w:tcPr>
            <w:tcW w:w="2547" w:type="dxa"/>
            <w:shd w:val="clear" w:color="auto" w:fill="FBE4D5" w:themeFill="accent2" w:themeFillTint="33"/>
          </w:tcPr>
          <w:p w:rsidR="00922776" w:rsidRPr="004B4FFB" w:rsidRDefault="00922776" w:rsidP="00922776">
            <w:pPr>
              <w:pStyle w:val="Texttab"/>
              <w:numPr>
                <w:ilvl w:val="0"/>
                <w:numId w:val="1"/>
              </w:numPr>
              <w:tabs>
                <w:tab w:val="right" w:pos="731"/>
              </w:tabs>
              <w:spacing w:before="120" w:after="120"/>
              <w:ind w:left="306"/>
              <w:rPr>
                <w:b/>
                <w:sz w:val="22"/>
                <w:szCs w:val="22"/>
              </w:rPr>
            </w:pPr>
            <w:r w:rsidRPr="004B4FFB">
              <w:rPr>
                <w:b/>
                <w:sz w:val="22"/>
                <w:szCs w:val="22"/>
                <w:lang w:val="ru-RU"/>
              </w:rPr>
              <w:t>Уточнение временного регламента</w:t>
            </w:r>
          </w:p>
        </w:tc>
        <w:tc>
          <w:tcPr>
            <w:tcW w:w="2693" w:type="dxa"/>
          </w:tcPr>
          <w:p w:rsidR="00922776" w:rsidRPr="004B4FFB" w:rsidRDefault="00922776" w:rsidP="007440AE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4B4FFB">
              <w:rPr>
                <w:sz w:val="22"/>
                <w:szCs w:val="22"/>
                <w:lang w:val="ru-RU"/>
              </w:rPr>
              <w:t>Приложение 6 к общей части Правил клиринга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7088" w:type="dxa"/>
          </w:tcPr>
          <w:p w:rsidR="00922776" w:rsidRPr="004B4FFB" w:rsidRDefault="00922776" w:rsidP="007440AE">
            <w:pPr>
              <w:tabs>
                <w:tab w:val="left" w:pos="306"/>
              </w:tabs>
              <w:spacing w:before="120"/>
              <w:rPr>
                <w:bCs/>
                <w:color w:val="000000"/>
                <w:sz w:val="22"/>
                <w:szCs w:val="22"/>
              </w:rPr>
            </w:pPr>
            <w:r w:rsidRPr="004B4FFB">
              <w:rPr>
                <w:bCs/>
                <w:color w:val="000000"/>
                <w:sz w:val="22"/>
                <w:szCs w:val="22"/>
              </w:rPr>
              <w:t>Установлено время передачи профилей – с 9:05 до 23:50 Расчётного дня.</w:t>
            </w:r>
          </w:p>
          <w:p w:rsidR="00922776" w:rsidRPr="004B4FFB" w:rsidRDefault="00922776" w:rsidP="007440AE">
            <w:pPr>
              <w:tabs>
                <w:tab w:val="left" w:pos="306"/>
              </w:tabs>
              <w:spacing w:before="120"/>
              <w:rPr>
                <w:bCs/>
                <w:color w:val="000000"/>
                <w:sz w:val="22"/>
                <w:szCs w:val="22"/>
              </w:rPr>
            </w:pPr>
            <w:r w:rsidRPr="004B4FFB">
              <w:rPr>
                <w:bCs/>
                <w:color w:val="000000"/>
                <w:sz w:val="22"/>
                <w:szCs w:val="22"/>
              </w:rPr>
              <w:t>Уточнено время исполнения Постоянных поручений на возврат обеспечения для внутренних платежей по российским рублям – 19:45.</w:t>
            </w:r>
          </w:p>
        </w:tc>
        <w:tc>
          <w:tcPr>
            <w:tcW w:w="2693" w:type="dxa"/>
          </w:tcPr>
          <w:p w:rsidR="00922776" w:rsidRPr="004B4FFB" w:rsidRDefault="00922776" w:rsidP="007440AE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4B4FFB">
              <w:rPr>
                <w:color w:val="000000" w:themeColor="text1"/>
                <w:sz w:val="22"/>
                <w:szCs w:val="22"/>
              </w:rPr>
              <w:t>Не влияет на права и обязанности Участников клиринга, поскольку фиксирует в Правилах клиринга действующий временной регламент.</w:t>
            </w:r>
          </w:p>
        </w:tc>
      </w:tr>
      <w:tr w:rsidR="00922776" w:rsidRPr="004B4FFB" w:rsidTr="00AC564F">
        <w:trPr>
          <w:trHeight w:val="988"/>
        </w:trPr>
        <w:tc>
          <w:tcPr>
            <w:tcW w:w="2547" w:type="dxa"/>
            <w:shd w:val="clear" w:color="auto" w:fill="FBE4D5" w:themeFill="accent2" w:themeFillTint="33"/>
          </w:tcPr>
          <w:p w:rsidR="00922776" w:rsidRPr="004B4FFB" w:rsidRDefault="00922776" w:rsidP="00922776">
            <w:pPr>
              <w:pStyle w:val="Texttab"/>
              <w:numPr>
                <w:ilvl w:val="0"/>
                <w:numId w:val="1"/>
              </w:numPr>
              <w:tabs>
                <w:tab w:val="right" w:pos="731"/>
              </w:tabs>
              <w:spacing w:before="120" w:after="120"/>
              <w:ind w:left="306"/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</w:pPr>
            <w:r w:rsidRPr="004B4FFB">
              <w:rPr>
                <w:b/>
                <w:sz w:val="22"/>
                <w:szCs w:val="22"/>
                <w:lang w:val="ru-RU"/>
              </w:rPr>
              <w:t>Уточнение порядка определения суммы, на которую заключается депозитный договор</w:t>
            </w:r>
          </w:p>
        </w:tc>
        <w:tc>
          <w:tcPr>
            <w:tcW w:w="2693" w:type="dxa"/>
          </w:tcPr>
          <w:p w:rsidR="00922776" w:rsidRPr="004B4FFB" w:rsidRDefault="00922776" w:rsidP="007440AE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4B4FFB">
              <w:rPr>
                <w:sz w:val="22"/>
                <w:szCs w:val="22"/>
              </w:rPr>
              <w:t>П</w:t>
            </w:r>
            <w:r w:rsidRPr="004B4FFB">
              <w:rPr>
                <w:sz w:val="22"/>
                <w:szCs w:val="22"/>
                <w:lang w:val="ru-RU"/>
              </w:rPr>
              <w:t>п.</w:t>
            </w:r>
            <w:r w:rsidRPr="004B4FFB">
              <w:rPr>
                <w:sz w:val="22"/>
                <w:szCs w:val="22"/>
              </w:rPr>
              <w:t xml:space="preserve"> 34.6.2 </w:t>
            </w:r>
            <w:r w:rsidRPr="004B4FFB">
              <w:rPr>
                <w:sz w:val="22"/>
                <w:szCs w:val="22"/>
                <w:lang w:val="ru-RU"/>
              </w:rPr>
              <w:t>Правил клиринга на фондовом рынке и рынке депозитов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7088" w:type="dxa"/>
          </w:tcPr>
          <w:p w:rsidR="00922776" w:rsidRPr="004B4FFB" w:rsidRDefault="00922776" w:rsidP="007440AE">
            <w:pPr>
              <w:tabs>
                <w:tab w:val="left" w:pos="306"/>
              </w:tabs>
              <w:spacing w:before="120"/>
              <w:rPr>
                <w:sz w:val="22"/>
                <w:szCs w:val="22"/>
              </w:rPr>
            </w:pPr>
            <w:r w:rsidRPr="004B4FFB">
              <w:rPr>
                <w:sz w:val="22"/>
                <w:szCs w:val="22"/>
              </w:rPr>
              <w:t>Уточнен порядок определения суммы, на которую заключается депозитный договор в иностранной валюте: учтены округления, возникающие при расчете суммы.</w:t>
            </w:r>
          </w:p>
        </w:tc>
        <w:tc>
          <w:tcPr>
            <w:tcW w:w="2693" w:type="dxa"/>
          </w:tcPr>
          <w:p w:rsidR="00922776" w:rsidRPr="004B4FFB" w:rsidRDefault="00922776" w:rsidP="007440AE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4B4FFB">
              <w:rPr>
                <w:color w:val="000000" w:themeColor="text1"/>
                <w:sz w:val="22"/>
                <w:szCs w:val="22"/>
              </w:rPr>
              <w:t>Не влияет на права и обязанности Участников клиринга.</w:t>
            </w:r>
          </w:p>
        </w:tc>
      </w:tr>
      <w:tr w:rsidR="00922776" w:rsidRPr="004B4FFB" w:rsidTr="00AC564F">
        <w:trPr>
          <w:trHeight w:val="988"/>
        </w:trPr>
        <w:tc>
          <w:tcPr>
            <w:tcW w:w="2547" w:type="dxa"/>
            <w:shd w:val="clear" w:color="auto" w:fill="FBE4D5" w:themeFill="accent2" w:themeFillTint="33"/>
          </w:tcPr>
          <w:p w:rsidR="00922776" w:rsidRPr="004B4FFB" w:rsidRDefault="00922776" w:rsidP="00922776">
            <w:pPr>
              <w:pStyle w:val="Texttab"/>
              <w:numPr>
                <w:ilvl w:val="0"/>
                <w:numId w:val="1"/>
              </w:numPr>
              <w:tabs>
                <w:tab w:val="right" w:pos="731"/>
              </w:tabs>
              <w:spacing w:before="120" w:after="120"/>
              <w:ind w:left="306"/>
              <w:rPr>
                <w:b/>
                <w:sz w:val="22"/>
                <w:szCs w:val="22"/>
                <w:lang w:val="ru-RU"/>
              </w:rPr>
            </w:pPr>
            <w:r w:rsidRPr="004B4FFB">
              <w:rPr>
                <w:b/>
                <w:sz w:val="22"/>
                <w:szCs w:val="22"/>
                <w:lang w:val="ru-RU"/>
              </w:rPr>
              <w:t>Изменение порядка закрытия Расчетных кодов Участника клиринга, уточнение условий прекращения допуска к клиринговому обслуживанию на основании заявления Участника клиринга</w:t>
            </w:r>
          </w:p>
        </w:tc>
        <w:tc>
          <w:tcPr>
            <w:tcW w:w="2693" w:type="dxa"/>
          </w:tcPr>
          <w:p w:rsidR="00922776" w:rsidRPr="004B4FFB" w:rsidRDefault="00922776" w:rsidP="007440AE">
            <w:pPr>
              <w:pStyle w:val="Texttab"/>
              <w:spacing w:before="120" w:after="120"/>
              <w:ind w:left="0"/>
              <w:rPr>
                <w:sz w:val="22"/>
                <w:szCs w:val="22"/>
              </w:rPr>
            </w:pPr>
            <w:r w:rsidRPr="004B4FFB">
              <w:rPr>
                <w:sz w:val="22"/>
                <w:szCs w:val="22"/>
              </w:rPr>
              <w:t>Пп.</w:t>
            </w:r>
            <w:r w:rsidRPr="004B4FFB">
              <w:rPr>
                <w:sz w:val="22"/>
                <w:szCs w:val="22"/>
                <w:lang w:val="ru-RU"/>
              </w:rPr>
              <w:t xml:space="preserve">14.16, 14.19, </w:t>
            </w:r>
            <w:r w:rsidRPr="004B4FFB">
              <w:rPr>
                <w:sz w:val="22"/>
                <w:szCs w:val="22"/>
              </w:rPr>
              <w:t>1</w:t>
            </w:r>
            <w:r w:rsidRPr="004B4FFB">
              <w:rPr>
                <w:sz w:val="22"/>
                <w:szCs w:val="22"/>
                <w:lang w:val="ru-RU"/>
              </w:rPr>
              <w:t>5</w:t>
            </w:r>
            <w:r w:rsidRPr="004B4FFB">
              <w:rPr>
                <w:sz w:val="22"/>
                <w:szCs w:val="22"/>
              </w:rPr>
              <w:t xml:space="preserve">.19 – 15.21 </w:t>
            </w:r>
            <w:r w:rsidRPr="004B4FFB">
              <w:rPr>
                <w:sz w:val="22"/>
                <w:szCs w:val="22"/>
                <w:lang w:val="ru-RU"/>
              </w:rPr>
              <w:t>общей части</w:t>
            </w:r>
            <w:r>
              <w:rPr>
                <w:sz w:val="22"/>
                <w:szCs w:val="22"/>
                <w:lang w:val="ru-RU"/>
              </w:rPr>
              <w:t xml:space="preserve"> Правил клиринга.</w:t>
            </w:r>
          </w:p>
        </w:tc>
        <w:tc>
          <w:tcPr>
            <w:tcW w:w="7088" w:type="dxa"/>
          </w:tcPr>
          <w:p w:rsidR="00922776" w:rsidRPr="004B4FFB" w:rsidRDefault="00922776" w:rsidP="007440AE">
            <w:pPr>
              <w:tabs>
                <w:tab w:val="left" w:pos="306"/>
              </w:tabs>
              <w:spacing w:before="120"/>
              <w:rPr>
                <w:sz w:val="22"/>
                <w:szCs w:val="22"/>
              </w:rPr>
            </w:pPr>
            <w:r w:rsidRPr="004B4FFB">
              <w:rPr>
                <w:sz w:val="22"/>
                <w:szCs w:val="22"/>
              </w:rPr>
              <w:t xml:space="preserve">Изменен порядок закрытия Расчетных кодов Участников клиринга: закрытие осуществляется НКЦ при прекращении допуска Участника клиринга к клиринговому обслуживанию на соответствующем рынке или по запросу Участника клиринга. Запрос Участника клиринга исполняется </w:t>
            </w:r>
            <w:r w:rsidRPr="004B4FFB">
              <w:t xml:space="preserve">при условии </w:t>
            </w:r>
            <w:r w:rsidRPr="004B4FFB">
              <w:rPr>
                <w:sz w:val="22"/>
                <w:szCs w:val="22"/>
              </w:rPr>
              <w:t>отсутствия у Участника клиринга неисполненных обязательств и Обеспечения, учитываемых по такому Расчетному коду.</w:t>
            </w:r>
          </w:p>
          <w:p w:rsidR="00922776" w:rsidRPr="004B4FFB" w:rsidRDefault="00922776" w:rsidP="007440AE">
            <w:pPr>
              <w:tabs>
                <w:tab w:val="left" w:pos="306"/>
              </w:tabs>
              <w:spacing w:before="120"/>
              <w:rPr>
                <w:sz w:val="22"/>
                <w:szCs w:val="22"/>
              </w:rPr>
            </w:pPr>
            <w:r w:rsidRPr="004B4FFB">
              <w:rPr>
                <w:sz w:val="22"/>
                <w:szCs w:val="22"/>
              </w:rPr>
              <w:t>В связи с изменением порядка закрытия Расчетных кодов Участников клиринга переформулированы условия прекращения допуска к клиринговому обслуживанию на основании заявления Участника клиринга.</w:t>
            </w:r>
          </w:p>
        </w:tc>
        <w:tc>
          <w:tcPr>
            <w:tcW w:w="2693" w:type="dxa"/>
          </w:tcPr>
          <w:p w:rsidR="00922776" w:rsidRPr="004B4FFB" w:rsidRDefault="00922776" w:rsidP="007440AE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4B4FFB">
              <w:rPr>
                <w:color w:val="000000" w:themeColor="text1"/>
                <w:sz w:val="22"/>
                <w:szCs w:val="22"/>
              </w:rPr>
              <w:t>Для исполнения Запроса на закрытие Расчетного кода Участнику клиринга нужно предварительно вывести Обеспечение, учитываемое по такому Расчетному коду.</w:t>
            </w:r>
          </w:p>
        </w:tc>
      </w:tr>
      <w:tr w:rsidR="00922776" w:rsidRPr="004B4FFB" w:rsidTr="00AC564F">
        <w:trPr>
          <w:trHeight w:val="1550"/>
        </w:trPr>
        <w:tc>
          <w:tcPr>
            <w:tcW w:w="2547" w:type="dxa"/>
            <w:shd w:val="clear" w:color="auto" w:fill="FBE4D5" w:themeFill="accent2" w:themeFillTint="33"/>
          </w:tcPr>
          <w:p w:rsidR="00922776" w:rsidRPr="004B4FFB" w:rsidRDefault="00922776" w:rsidP="00922776">
            <w:pPr>
              <w:pStyle w:val="Texttab"/>
              <w:numPr>
                <w:ilvl w:val="0"/>
                <w:numId w:val="1"/>
              </w:numPr>
              <w:tabs>
                <w:tab w:val="right" w:pos="731"/>
              </w:tabs>
              <w:spacing w:before="120" w:after="120"/>
              <w:ind w:left="306"/>
              <w:rPr>
                <w:b/>
                <w:sz w:val="22"/>
                <w:szCs w:val="22"/>
                <w:lang w:val="ru-RU"/>
              </w:rPr>
            </w:pPr>
            <w:r w:rsidRPr="004B4FFB">
              <w:rPr>
                <w:b/>
                <w:sz w:val="22"/>
                <w:szCs w:val="22"/>
                <w:lang w:val="ru-RU"/>
              </w:rPr>
              <w:lastRenderedPageBreak/>
              <w:t>Уточнение формулировки случая, при котором НКЦ не вправе принять решение о проведении ликвидационного неттинга в случае назначения временной администрации по управлению Участником клиринга – Кредитной организацией</w:t>
            </w:r>
          </w:p>
        </w:tc>
        <w:tc>
          <w:tcPr>
            <w:tcW w:w="2693" w:type="dxa"/>
          </w:tcPr>
          <w:p w:rsidR="00922776" w:rsidRPr="004B4FFB" w:rsidRDefault="00922776" w:rsidP="007440AE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4B4FFB">
              <w:rPr>
                <w:sz w:val="22"/>
                <w:szCs w:val="22"/>
                <w:lang w:val="ru-RU"/>
              </w:rPr>
              <w:t>П.14.17.1, 60.4 общей части</w:t>
            </w:r>
            <w:r>
              <w:rPr>
                <w:sz w:val="22"/>
                <w:szCs w:val="22"/>
                <w:lang w:val="ru-RU"/>
              </w:rPr>
              <w:t xml:space="preserve"> Правил клиринга</w:t>
            </w:r>
            <w:r w:rsidRPr="004B4FFB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7088" w:type="dxa"/>
          </w:tcPr>
          <w:p w:rsidR="00922776" w:rsidRPr="004B4FFB" w:rsidRDefault="00922776" w:rsidP="007440AE">
            <w:pPr>
              <w:tabs>
                <w:tab w:val="left" w:pos="306"/>
              </w:tabs>
              <w:spacing w:before="120"/>
              <w:jc w:val="both"/>
              <w:rPr>
                <w:color w:val="000000" w:themeColor="text1"/>
                <w:sz w:val="22"/>
                <w:szCs w:val="22"/>
              </w:rPr>
            </w:pPr>
            <w:r w:rsidRPr="004B4FFB">
              <w:rPr>
                <w:color w:val="000000" w:themeColor="text1"/>
                <w:sz w:val="22"/>
                <w:szCs w:val="22"/>
              </w:rPr>
              <w:t xml:space="preserve">В случае назначения временной администрации по управлению Участником клиринга – Кредитной организацией в рамках мер по предупреждению банкротства кредитной организации, Клиринговый центр вправе, начиная с даты назначения временной администрации, принять решение о проведении в отношении такого Участника клиринга ликвидационного </w:t>
            </w:r>
            <w:proofErr w:type="spellStart"/>
            <w:r w:rsidRPr="004B4FFB">
              <w:rPr>
                <w:color w:val="000000" w:themeColor="text1"/>
                <w:sz w:val="22"/>
                <w:szCs w:val="22"/>
              </w:rPr>
              <w:t>неттинга</w:t>
            </w:r>
            <w:proofErr w:type="spellEnd"/>
            <w:r w:rsidRPr="004B4FFB">
              <w:rPr>
                <w:color w:val="000000" w:themeColor="text1"/>
                <w:sz w:val="22"/>
                <w:szCs w:val="22"/>
              </w:rPr>
              <w:t>, за исключением случая публичного заявления Банка России об оказании финансовой поддержки такому Участнику клиринга – Кредитной организации в целях обеспечения непрерывности его деятельности.</w:t>
            </w:r>
          </w:p>
        </w:tc>
        <w:tc>
          <w:tcPr>
            <w:tcW w:w="2693" w:type="dxa"/>
          </w:tcPr>
          <w:p w:rsidR="00922776" w:rsidRPr="004B4FFB" w:rsidRDefault="00922776" w:rsidP="007440AE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4B4FFB">
              <w:rPr>
                <w:color w:val="000000" w:themeColor="text1"/>
                <w:sz w:val="22"/>
                <w:szCs w:val="22"/>
              </w:rPr>
              <w:t>Не влияет на права и обязанности Участников клиринга.</w:t>
            </w:r>
          </w:p>
        </w:tc>
      </w:tr>
      <w:tr w:rsidR="00922776" w:rsidRPr="004B4FFB" w:rsidTr="00AC564F">
        <w:trPr>
          <w:trHeight w:val="2122"/>
        </w:trPr>
        <w:tc>
          <w:tcPr>
            <w:tcW w:w="2547" w:type="dxa"/>
            <w:shd w:val="clear" w:color="auto" w:fill="FBE4D5" w:themeFill="accent2" w:themeFillTint="33"/>
          </w:tcPr>
          <w:p w:rsidR="00922776" w:rsidRPr="004B4FFB" w:rsidDel="00EC019C" w:rsidRDefault="00922776" w:rsidP="00922776">
            <w:pPr>
              <w:pStyle w:val="Texttab"/>
              <w:numPr>
                <w:ilvl w:val="0"/>
                <w:numId w:val="1"/>
              </w:numPr>
              <w:tabs>
                <w:tab w:val="right" w:pos="731"/>
              </w:tabs>
              <w:spacing w:before="120" w:after="120"/>
              <w:ind w:left="306"/>
              <w:rPr>
                <w:b/>
                <w:sz w:val="22"/>
                <w:szCs w:val="22"/>
                <w:lang w:val="ru-RU"/>
              </w:rPr>
            </w:pPr>
            <w:r w:rsidRPr="004B4FFB">
              <w:rPr>
                <w:b/>
                <w:sz w:val="22"/>
                <w:szCs w:val="22"/>
                <w:lang w:val="ru-RU"/>
              </w:rPr>
              <w:t>Устранение дублирующих положений о прекращении Договора об оказании клиринговых услуг и прекращении допуска к клиринговому обслуживанию</w:t>
            </w:r>
          </w:p>
        </w:tc>
        <w:tc>
          <w:tcPr>
            <w:tcW w:w="2693" w:type="dxa"/>
          </w:tcPr>
          <w:p w:rsidR="00922776" w:rsidRPr="004B4FFB" w:rsidDel="00EC019C" w:rsidRDefault="00922776" w:rsidP="007440AE">
            <w:pPr>
              <w:pStyle w:val="Texttab"/>
              <w:tabs>
                <w:tab w:val="left" w:pos="1309"/>
              </w:tabs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4B4FFB">
              <w:rPr>
                <w:sz w:val="22"/>
                <w:szCs w:val="22"/>
                <w:lang w:val="ru-RU"/>
              </w:rPr>
              <w:t>Пункты 4.11, 14.15, 14.17-14.18 общей части П</w:t>
            </w:r>
            <w:r>
              <w:rPr>
                <w:sz w:val="22"/>
                <w:szCs w:val="22"/>
                <w:lang w:val="ru-RU"/>
              </w:rPr>
              <w:t>равил клиринга</w:t>
            </w:r>
            <w:r w:rsidRPr="004B4FFB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7088" w:type="dxa"/>
          </w:tcPr>
          <w:p w:rsidR="00922776" w:rsidRPr="004B4FFB" w:rsidRDefault="00922776" w:rsidP="007440AE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 w:rsidRPr="004B4FFB">
              <w:rPr>
                <w:color w:val="000000"/>
                <w:sz w:val="22"/>
                <w:szCs w:val="22"/>
                <w:lang w:val="ru-RU"/>
              </w:rPr>
              <w:t>В действующей редакции правил клиринга три основания являются одновременно и основаниями прекращения Договора об оказании клиринговых услуг, и основаниями прекращения допуска к клиринговому обслуживанию.</w:t>
            </w:r>
          </w:p>
          <w:p w:rsidR="00922776" w:rsidRPr="004B4FFB" w:rsidDel="00EC019C" w:rsidRDefault="00922776" w:rsidP="007440AE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 w:rsidRPr="004B4FFB">
              <w:rPr>
                <w:color w:val="000000"/>
                <w:sz w:val="22"/>
                <w:szCs w:val="22"/>
                <w:lang w:val="ru-RU"/>
              </w:rPr>
              <w:t>В новой редакции правил клиринга это дублирование устранено, формулировки оснований прекращения допуска к клиринговому обслуживанию приведения в соответствие формулировкам оснований проведения ликвидационного неттинга.</w:t>
            </w:r>
          </w:p>
        </w:tc>
        <w:tc>
          <w:tcPr>
            <w:tcW w:w="2693" w:type="dxa"/>
          </w:tcPr>
          <w:p w:rsidR="00922776" w:rsidRPr="004B4FFB" w:rsidDel="00EC019C" w:rsidRDefault="00922776" w:rsidP="007440AE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4B4FFB">
              <w:rPr>
                <w:color w:val="000000" w:themeColor="text1"/>
                <w:sz w:val="22"/>
                <w:szCs w:val="22"/>
              </w:rPr>
              <w:t>Не влияет на права и обязанности Участников клиринга.</w:t>
            </w:r>
          </w:p>
        </w:tc>
      </w:tr>
    </w:tbl>
    <w:p w:rsidR="007B3F65" w:rsidRPr="007B3F65" w:rsidRDefault="007B3F65" w:rsidP="007B3F65">
      <w:pPr>
        <w:spacing w:before="120" w:after="120"/>
        <w:rPr>
          <w:b/>
        </w:rPr>
      </w:pPr>
      <w:r w:rsidRPr="007B3F65">
        <w:rPr>
          <w:b/>
        </w:rPr>
        <w:t>Правила клиринга вступают в силу, за исключением:</w:t>
      </w:r>
    </w:p>
    <w:p w:rsidR="007B3F65" w:rsidRDefault="007B3F65" w:rsidP="007B3F65">
      <w:pPr>
        <w:numPr>
          <w:ilvl w:val="0"/>
          <w:numId w:val="4"/>
        </w:numPr>
        <w:spacing w:before="240"/>
        <w:ind w:left="1276" w:hanging="567"/>
        <w:contextualSpacing/>
        <w:rPr>
          <w:rFonts w:ascii="Garamond" w:hAnsi="Garamond" w:cs="Gautami"/>
        </w:rPr>
      </w:pPr>
      <w:r>
        <w:rPr>
          <w:rFonts w:ascii="Garamond" w:hAnsi="Garamond" w:cs="Gautami"/>
        </w:rPr>
        <w:t xml:space="preserve">в </w:t>
      </w:r>
      <w:r w:rsidRPr="001E59CB">
        <w:rPr>
          <w:rFonts w:ascii="Garamond" w:hAnsi="Garamond" w:cs="Gautami"/>
          <w:b/>
        </w:rPr>
        <w:t>Части I</w:t>
      </w:r>
      <w:r w:rsidRPr="003C6B93">
        <w:rPr>
          <w:rFonts w:ascii="Garamond" w:hAnsi="Garamond" w:cs="Gautami"/>
        </w:rPr>
        <w:t xml:space="preserve"> Правил клиринга: </w:t>
      </w:r>
    </w:p>
    <w:p w:rsidR="007B3F65" w:rsidRPr="001E59CB" w:rsidRDefault="007B3F65" w:rsidP="007B3F65">
      <w:pPr>
        <w:pStyle w:val="a3"/>
        <w:numPr>
          <w:ilvl w:val="0"/>
          <w:numId w:val="5"/>
        </w:numPr>
        <w:tabs>
          <w:tab w:val="left" w:pos="1713"/>
        </w:tabs>
        <w:spacing w:before="120"/>
        <w:ind w:hanging="797"/>
        <w:contextualSpacing/>
        <w:jc w:val="both"/>
        <w:rPr>
          <w:rFonts w:ascii="Garamond" w:hAnsi="Garamond"/>
          <w:b/>
        </w:rPr>
      </w:pPr>
      <w:r w:rsidRPr="001E59CB">
        <w:rPr>
          <w:rFonts w:ascii="Garamond" w:hAnsi="Garamond"/>
          <w:b/>
        </w:rPr>
        <w:t>пунктов 32.7, 32.11,</w:t>
      </w:r>
    </w:p>
    <w:p w:rsidR="007B3F65" w:rsidRPr="00C366F3" w:rsidRDefault="007B3F65" w:rsidP="007B3F65">
      <w:pPr>
        <w:ind w:left="709"/>
        <w:jc w:val="both"/>
        <w:rPr>
          <w:rFonts w:ascii="Garamond" w:hAnsi="Garamond"/>
        </w:rPr>
      </w:pPr>
      <w:r w:rsidRPr="00C366F3">
        <w:rPr>
          <w:rFonts w:ascii="Garamond" w:hAnsi="Garamond"/>
        </w:rPr>
        <w:lastRenderedPageBreak/>
        <w:t xml:space="preserve">В связи с технической неготовностью </w:t>
      </w:r>
      <w:r>
        <w:rPr>
          <w:rFonts w:ascii="Garamond" w:hAnsi="Garamond"/>
        </w:rPr>
        <w:t xml:space="preserve">реализации </w:t>
      </w:r>
      <w:r w:rsidRPr="00C366F3">
        <w:rPr>
          <w:rFonts w:ascii="Garamond" w:hAnsi="Garamond"/>
        </w:rPr>
        <w:t>задачи по изменению порядка исполнения Постоянного поручения на возврат обеспечения в размере Итогового</w:t>
      </w:r>
      <w:r>
        <w:rPr>
          <w:rFonts w:ascii="Garamond" w:hAnsi="Garamond"/>
        </w:rPr>
        <w:t xml:space="preserve"> </w:t>
      </w:r>
      <w:r w:rsidRPr="00C366F3">
        <w:rPr>
          <w:rFonts w:ascii="Garamond" w:hAnsi="Garamond"/>
        </w:rPr>
        <w:t>нетто</w:t>
      </w:r>
      <w:r>
        <w:rPr>
          <w:rFonts w:ascii="Garamond" w:hAnsi="Garamond"/>
        </w:rPr>
        <w:t>-</w:t>
      </w:r>
      <w:r w:rsidRPr="00C366F3">
        <w:rPr>
          <w:rFonts w:ascii="Garamond" w:hAnsi="Garamond"/>
        </w:rPr>
        <w:t xml:space="preserve">требования, </w:t>
      </w:r>
      <w:r>
        <w:rPr>
          <w:rFonts w:ascii="Garamond" w:hAnsi="Garamond"/>
        </w:rPr>
        <w:t xml:space="preserve">будут действовать </w:t>
      </w:r>
      <w:r w:rsidRPr="00C366F3">
        <w:rPr>
          <w:rFonts w:ascii="Garamond" w:hAnsi="Garamond"/>
        </w:rPr>
        <w:t xml:space="preserve">пункты 32.7 и 32.11 </w:t>
      </w:r>
      <w:r>
        <w:rPr>
          <w:rFonts w:ascii="Garamond" w:hAnsi="Garamond"/>
        </w:rPr>
        <w:t>из предыдущей</w:t>
      </w:r>
      <w:r w:rsidRPr="00C366F3">
        <w:rPr>
          <w:rFonts w:ascii="Garamond" w:hAnsi="Garamond"/>
        </w:rPr>
        <w:t xml:space="preserve"> редакции Части I Правил клиринга.</w:t>
      </w:r>
    </w:p>
    <w:p w:rsidR="007B3F65" w:rsidRPr="001E59CB" w:rsidRDefault="007B3F65" w:rsidP="007B3F65">
      <w:pPr>
        <w:numPr>
          <w:ilvl w:val="0"/>
          <w:numId w:val="3"/>
        </w:numPr>
        <w:tabs>
          <w:tab w:val="left" w:pos="1713"/>
        </w:tabs>
        <w:contextualSpacing/>
        <w:jc w:val="both"/>
        <w:rPr>
          <w:rFonts w:ascii="Garamond" w:hAnsi="Garamond"/>
          <w:b/>
        </w:rPr>
      </w:pPr>
      <w:r w:rsidRPr="001E59CB">
        <w:rPr>
          <w:rFonts w:ascii="Garamond" w:hAnsi="Garamond"/>
          <w:b/>
        </w:rPr>
        <w:t>подпункта 1) пункта 33.6,</w:t>
      </w:r>
    </w:p>
    <w:p w:rsidR="007B3F65" w:rsidRDefault="007B3F65" w:rsidP="007B3F65">
      <w:pPr>
        <w:tabs>
          <w:tab w:val="left" w:pos="1713"/>
        </w:tabs>
        <w:ind w:left="709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В связи с планируемой реализацией задачи по п</w:t>
      </w:r>
      <w:r w:rsidRPr="00333938">
        <w:rPr>
          <w:rFonts w:ascii="Garamond" w:hAnsi="Garamond"/>
        </w:rPr>
        <w:t>редоставлени</w:t>
      </w:r>
      <w:r>
        <w:rPr>
          <w:rFonts w:ascii="Garamond" w:hAnsi="Garamond"/>
        </w:rPr>
        <w:t xml:space="preserve">ю </w:t>
      </w:r>
      <w:proofErr w:type="spellStart"/>
      <w:r w:rsidRPr="00333938">
        <w:rPr>
          <w:rFonts w:ascii="Garamond" w:hAnsi="Garamond"/>
        </w:rPr>
        <w:t>корпоратам</w:t>
      </w:r>
      <w:proofErr w:type="spellEnd"/>
      <w:r w:rsidRPr="00333938">
        <w:rPr>
          <w:rFonts w:ascii="Garamond" w:hAnsi="Garamond"/>
        </w:rPr>
        <w:t xml:space="preserve"> доступа к Единому пулу обеспечения </w:t>
      </w:r>
      <w:r>
        <w:rPr>
          <w:rFonts w:ascii="Garamond" w:hAnsi="Garamond"/>
        </w:rPr>
        <w:t xml:space="preserve">которая позволяет Участнику клиринга, не имея </w:t>
      </w:r>
      <w:r w:rsidRPr="00333938">
        <w:rPr>
          <w:rFonts w:ascii="Garamond" w:hAnsi="Garamond"/>
        </w:rPr>
        <w:t>допуск к клиринговому обслуживанию на фондовом рынке</w:t>
      </w:r>
      <w:r>
        <w:rPr>
          <w:rFonts w:ascii="Garamond" w:hAnsi="Garamond"/>
        </w:rPr>
        <w:t xml:space="preserve">, рынке депозитов и рынке кредитов, получить доступ </w:t>
      </w:r>
      <w:r w:rsidRPr="00BB3116">
        <w:rPr>
          <w:rFonts w:ascii="Garamond" w:hAnsi="Garamond"/>
        </w:rPr>
        <w:t>к сервисам Единого пула обеспечения</w:t>
      </w:r>
      <w:r>
        <w:rPr>
          <w:rFonts w:ascii="Garamond" w:hAnsi="Garamond"/>
        </w:rPr>
        <w:t xml:space="preserve">, </w:t>
      </w:r>
      <w:r w:rsidRPr="00333938">
        <w:rPr>
          <w:rFonts w:ascii="Garamond" w:hAnsi="Garamond"/>
        </w:rPr>
        <w:t xml:space="preserve">и возможности внесения </w:t>
      </w:r>
      <w:r>
        <w:rPr>
          <w:rFonts w:ascii="Garamond" w:hAnsi="Garamond"/>
        </w:rPr>
        <w:t xml:space="preserve">с 28.09.20 </w:t>
      </w:r>
      <w:r w:rsidRPr="00333938">
        <w:rPr>
          <w:rFonts w:ascii="Garamond" w:hAnsi="Garamond"/>
        </w:rPr>
        <w:t>ценных бумаг в обеспечение</w:t>
      </w:r>
      <w:r>
        <w:rPr>
          <w:rFonts w:ascii="Garamond" w:hAnsi="Garamond"/>
        </w:rPr>
        <w:t>, подпункт</w:t>
      </w:r>
      <w:r w:rsidRPr="0006167F">
        <w:rPr>
          <w:rFonts w:ascii="Garamond" w:hAnsi="Garamond"/>
        </w:rPr>
        <w:t xml:space="preserve"> 1)</w:t>
      </w:r>
      <w:r>
        <w:rPr>
          <w:rFonts w:ascii="Garamond" w:hAnsi="Garamond"/>
        </w:rPr>
        <w:t xml:space="preserve"> </w:t>
      </w:r>
      <w:r w:rsidRPr="0006167F">
        <w:rPr>
          <w:rFonts w:ascii="Garamond" w:hAnsi="Garamond"/>
        </w:rPr>
        <w:t>пункта 33.</w:t>
      </w:r>
      <w:r>
        <w:rPr>
          <w:rFonts w:ascii="Garamond" w:hAnsi="Garamond"/>
        </w:rPr>
        <w:t>6</w:t>
      </w:r>
      <w:r w:rsidRPr="0006167F">
        <w:t xml:space="preserve"> </w:t>
      </w:r>
      <w:r>
        <w:rPr>
          <w:rFonts w:ascii="Garamond" w:hAnsi="Garamond"/>
        </w:rPr>
        <w:t xml:space="preserve">будет исключен из ближайшей следующей редакции </w:t>
      </w:r>
      <w:r w:rsidRPr="0006167F">
        <w:rPr>
          <w:rFonts w:ascii="Garamond" w:hAnsi="Garamond"/>
        </w:rPr>
        <w:t>Части I Правил</w:t>
      </w:r>
      <w:r>
        <w:rPr>
          <w:rFonts w:ascii="Garamond" w:hAnsi="Garamond"/>
        </w:rPr>
        <w:t xml:space="preserve"> клиринга.</w:t>
      </w:r>
    </w:p>
    <w:p w:rsidR="007B3F65" w:rsidRPr="001E59CB" w:rsidRDefault="007B3F65" w:rsidP="007B3F65">
      <w:pPr>
        <w:numPr>
          <w:ilvl w:val="0"/>
          <w:numId w:val="3"/>
        </w:numPr>
        <w:tabs>
          <w:tab w:val="left" w:pos="1713"/>
        </w:tabs>
        <w:spacing w:before="120"/>
        <w:ind w:left="1712" w:hanging="357"/>
        <w:jc w:val="both"/>
        <w:rPr>
          <w:rFonts w:ascii="Garamond" w:hAnsi="Garamond"/>
          <w:b/>
        </w:rPr>
      </w:pPr>
      <w:r w:rsidRPr="001E59CB">
        <w:rPr>
          <w:rFonts w:ascii="Garamond" w:hAnsi="Garamond"/>
          <w:b/>
        </w:rPr>
        <w:t>пунктов 41.8, 41.9.</w:t>
      </w:r>
    </w:p>
    <w:p w:rsidR="007B3F65" w:rsidRPr="003C6B93" w:rsidRDefault="007B3F65" w:rsidP="007B3F65">
      <w:pPr>
        <w:ind w:left="709"/>
        <w:jc w:val="both"/>
        <w:rPr>
          <w:rFonts w:ascii="Garamond" w:hAnsi="Garamond"/>
        </w:rPr>
      </w:pPr>
      <w:bookmarkStart w:id="5" w:name="_Hlk50538660"/>
      <w:r w:rsidRPr="003C6B93">
        <w:rPr>
          <w:rFonts w:ascii="Garamond" w:hAnsi="Garamond"/>
        </w:rPr>
        <w:t>Реализация задачи «</w:t>
      </w:r>
      <w:r w:rsidRPr="005825F9">
        <w:rPr>
          <w:rFonts w:ascii="Garamond" w:hAnsi="Garamond"/>
        </w:rPr>
        <w:t>Ранние расчеты на ФР с возможностью возврата обеспечения</w:t>
      </w:r>
      <w:r w:rsidRPr="003C6B93">
        <w:rPr>
          <w:rFonts w:ascii="Garamond" w:hAnsi="Garamond"/>
        </w:rPr>
        <w:t>» не включена в релиз</w:t>
      </w:r>
      <w:r>
        <w:rPr>
          <w:rFonts w:ascii="Garamond" w:hAnsi="Garamond"/>
        </w:rPr>
        <w:t xml:space="preserve"> ФР и ВР 28</w:t>
      </w:r>
      <w:r w:rsidRPr="003C6B93">
        <w:rPr>
          <w:rFonts w:ascii="Garamond" w:hAnsi="Garamond"/>
        </w:rPr>
        <w:t xml:space="preserve"> </w:t>
      </w:r>
      <w:r>
        <w:rPr>
          <w:rFonts w:ascii="Garamond" w:hAnsi="Garamond"/>
        </w:rPr>
        <w:t>сентябр</w:t>
      </w:r>
      <w:r w:rsidRPr="003C6B93">
        <w:rPr>
          <w:rFonts w:ascii="Garamond" w:hAnsi="Garamond"/>
        </w:rPr>
        <w:t>я 2020 г.</w:t>
      </w:r>
    </w:p>
    <w:bookmarkEnd w:id="5"/>
    <w:p w:rsidR="007B3F65" w:rsidRPr="003C6B93" w:rsidRDefault="007B3F65" w:rsidP="007B3F65">
      <w:pPr>
        <w:ind w:left="709"/>
        <w:jc w:val="both"/>
        <w:rPr>
          <w:rFonts w:ascii="Garamond" w:hAnsi="Garamond"/>
        </w:rPr>
      </w:pPr>
      <w:r w:rsidRPr="003C6B93">
        <w:rPr>
          <w:rFonts w:ascii="Garamond" w:hAnsi="Garamond"/>
        </w:rPr>
        <w:t>Вступление в силу пункт</w:t>
      </w:r>
      <w:r>
        <w:rPr>
          <w:rFonts w:ascii="Garamond" w:hAnsi="Garamond"/>
        </w:rPr>
        <w:t>ов</w:t>
      </w:r>
      <w:r w:rsidRPr="003C6B93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32.7, 32.11, 41.8, 41.9 </w:t>
      </w:r>
      <w:r w:rsidRPr="003C6B93">
        <w:rPr>
          <w:rFonts w:ascii="Garamond" w:hAnsi="Garamond"/>
        </w:rPr>
        <w:t>будет определен</w:t>
      </w:r>
      <w:r>
        <w:rPr>
          <w:rFonts w:ascii="Garamond" w:hAnsi="Garamond"/>
        </w:rPr>
        <w:t>о</w:t>
      </w:r>
      <w:r w:rsidRPr="003C6B93">
        <w:rPr>
          <w:rFonts w:ascii="Garamond" w:hAnsi="Garamond"/>
        </w:rPr>
        <w:t xml:space="preserve"> отдельным решением Правления.</w:t>
      </w:r>
    </w:p>
    <w:p w:rsidR="007B3F65" w:rsidRPr="003C6B93" w:rsidRDefault="007B3F65" w:rsidP="007B3F65">
      <w:pPr>
        <w:ind w:firstLine="709"/>
        <w:jc w:val="both"/>
        <w:rPr>
          <w:rFonts w:ascii="Garamond" w:hAnsi="Garamond"/>
        </w:rPr>
      </w:pPr>
    </w:p>
    <w:p w:rsidR="007B3F65" w:rsidRDefault="007B3F65" w:rsidP="007B3F65">
      <w:pPr>
        <w:numPr>
          <w:ilvl w:val="0"/>
          <w:numId w:val="4"/>
        </w:numPr>
        <w:spacing w:before="240"/>
        <w:ind w:left="1276" w:hanging="567"/>
        <w:contextualSpacing/>
        <w:rPr>
          <w:rFonts w:ascii="Garamond" w:hAnsi="Garamond" w:cs="Gautami"/>
        </w:rPr>
      </w:pPr>
      <w:r>
        <w:rPr>
          <w:rFonts w:ascii="Garamond" w:hAnsi="Garamond" w:cs="Gautami"/>
        </w:rPr>
        <w:t xml:space="preserve">в </w:t>
      </w:r>
      <w:r w:rsidRPr="001E59CB">
        <w:rPr>
          <w:rFonts w:ascii="Garamond" w:hAnsi="Garamond" w:cs="Gautami"/>
          <w:b/>
        </w:rPr>
        <w:t>Части II</w:t>
      </w:r>
      <w:r w:rsidRPr="00600082">
        <w:rPr>
          <w:rFonts w:ascii="Garamond" w:hAnsi="Garamond" w:cs="Gautami"/>
        </w:rPr>
        <w:t xml:space="preserve"> </w:t>
      </w:r>
      <w:r>
        <w:rPr>
          <w:rFonts w:ascii="Garamond" w:hAnsi="Garamond" w:cs="Gautami"/>
        </w:rPr>
        <w:t>П</w:t>
      </w:r>
      <w:r w:rsidRPr="00600082">
        <w:rPr>
          <w:rFonts w:ascii="Garamond" w:hAnsi="Garamond" w:cs="Gautami"/>
        </w:rPr>
        <w:t>равил клиринга</w:t>
      </w:r>
      <w:r>
        <w:rPr>
          <w:rFonts w:ascii="Garamond" w:hAnsi="Garamond" w:cs="Gautami"/>
        </w:rPr>
        <w:t>:</w:t>
      </w:r>
    </w:p>
    <w:p w:rsidR="007B3F65" w:rsidRPr="001E59CB" w:rsidRDefault="007B3F65" w:rsidP="007B3F65">
      <w:pPr>
        <w:numPr>
          <w:ilvl w:val="0"/>
          <w:numId w:val="3"/>
        </w:numPr>
        <w:tabs>
          <w:tab w:val="left" w:pos="1713"/>
        </w:tabs>
        <w:contextualSpacing/>
        <w:jc w:val="both"/>
        <w:rPr>
          <w:rFonts w:ascii="Garamond" w:hAnsi="Garamond"/>
          <w:b/>
        </w:rPr>
      </w:pPr>
      <w:r w:rsidRPr="001E59CB">
        <w:rPr>
          <w:rFonts w:ascii="Garamond" w:hAnsi="Garamond"/>
          <w:b/>
        </w:rPr>
        <w:t>пунктов 22.2, 27.14, статьи 35.</w:t>
      </w:r>
    </w:p>
    <w:p w:rsidR="007B3F65" w:rsidRPr="003C6B93" w:rsidRDefault="007B3F65" w:rsidP="007B3F65">
      <w:pPr>
        <w:spacing w:before="120"/>
        <w:ind w:left="709"/>
        <w:jc w:val="both"/>
        <w:rPr>
          <w:rFonts w:ascii="Garamond" w:hAnsi="Garamond"/>
        </w:rPr>
      </w:pPr>
      <w:r w:rsidRPr="009E4DC6">
        <w:rPr>
          <w:rFonts w:ascii="Garamond" w:hAnsi="Garamond"/>
        </w:rPr>
        <w:t>Реализация задач</w:t>
      </w:r>
      <w:r>
        <w:rPr>
          <w:rFonts w:ascii="Garamond" w:hAnsi="Garamond"/>
        </w:rPr>
        <w:t>и</w:t>
      </w:r>
      <w:r w:rsidRPr="009E4DC6">
        <w:rPr>
          <w:rFonts w:ascii="Garamond" w:hAnsi="Garamond"/>
        </w:rPr>
        <w:t xml:space="preserve"> Т-1461 «Досрочный возврат депозитов с ЦК», не включена в релиз </w:t>
      </w:r>
      <w:r>
        <w:rPr>
          <w:rFonts w:ascii="Garamond" w:hAnsi="Garamond"/>
        </w:rPr>
        <w:t>ФР и ВР 28</w:t>
      </w:r>
      <w:r w:rsidRPr="003C6B93">
        <w:rPr>
          <w:rFonts w:ascii="Garamond" w:hAnsi="Garamond"/>
        </w:rPr>
        <w:t xml:space="preserve"> </w:t>
      </w:r>
      <w:r>
        <w:rPr>
          <w:rFonts w:ascii="Garamond" w:hAnsi="Garamond"/>
        </w:rPr>
        <w:t>сентябр</w:t>
      </w:r>
      <w:r w:rsidRPr="003C6B93">
        <w:rPr>
          <w:rFonts w:ascii="Garamond" w:hAnsi="Garamond"/>
        </w:rPr>
        <w:t>я 2020 г.</w:t>
      </w:r>
    </w:p>
    <w:p w:rsidR="007B3F65" w:rsidRDefault="007B3F65" w:rsidP="007B3F65">
      <w:pPr>
        <w:ind w:left="709"/>
        <w:jc w:val="both"/>
        <w:rPr>
          <w:rFonts w:ascii="Garamond" w:hAnsi="Garamond"/>
        </w:rPr>
      </w:pPr>
      <w:r w:rsidRPr="009E4DC6">
        <w:rPr>
          <w:rFonts w:ascii="Garamond" w:hAnsi="Garamond"/>
        </w:rPr>
        <w:t>Вступление в силу пунктов 22.2, 27.14, статьи 35 будет определено отдельным решением Правления.</w:t>
      </w:r>
    </w:p>
    <w:p w:rsidR="007B3F65" w:rsidRDefault="007B3F65" w:rsidP="007B3F65">
      <w:pPr>
        <w:numPr>
          <w:ilvl w:val="0"/>
          <w:numId w:val="4"/>
        </w:numPr>
        <w:spacing w:before="120"/>
        <w:ind w:left="1276" w:hanging="567"/>
        <w:rPr>
          <w:rFonts w:ascii="Garamond" w:hAnsi="Garamond" w:cs="Gautami"/>
        </w:rPr>
      </w:pPr>
      <w:r>
        <w:rPr>
          <w:rFonts w:ascii="Garamond" w:hAnsi="Garamond" w:cs="Gautami"/>
        </w:rPr>
        <w:t xml:space="preserve">в </w:t>
      </w:r>
      <w:r w:rsidRPr="001E59CB">
        <w:rPr>
          <w:rFonts w:ascii="Garamond" w:hAnsi="Garamond" w:cs="Gautami"/>
          <w:b/>
        </w:rPr>
        <w:t>Части VI</w:t>
      </w:r>
      <w:r w:rsidRPr="00600082">
        <w:rPr>
          <w:rFonts w:ascii="Garamond" w:hAnsi="Garamond" w:cs="Gautami"/>
        </w:rPr>
        <w:t xml:space="preserve"> </w:t>
      </w:r>
      <w:r>
        <w:rPr>
          <w:rFonts w:ascii="Garamond" w:hAnsi="Garamond" w:cs="Gautami"/>
        </w:rPr>
        <w:t>П</w:t>
      </w:r>
      <w:r w:rsidRPr="00600082">
        <w:rPr>
          <w:rFonts w:ascii="Garamond" w:hAnsi="Garamond" w:cs="Gautami"/>
        </w:rPr>
        <w:t>равил клиринга</w:t>
      </w:r>
      <w:r>
        <w:rPr>
          <w:rFonts w:ascii="Garamond" w:hAnsi="Garamond" w:cs="Gautami"/>
        </w:rPr>
        <w:t>:</w:t>
      </w:r>
    </w:p>
    <w:p w:rsidR="007B3F65" w:rsidRPr="001E59CB" w:rsidRDefault="007B3F65" w:rsidP="007B3F65">
      <w:pPr>
        <w:numPr>
          <w:ilvl w:val="0"/>
          <w:numId w:val="3"/>
        </w:numPr>
        <w:tabs>
          <w:tab w:val="left" w:pos="1713"/>
        </w:tabs>
        <w:contextualSpacing/>
        <w:jc w:val="both"/>
        <w:rPr>
          <w:rFonts w:ascii="Garamond" w:hAnsi="Garamond"/>
          <w:b/>
        </w:rPr>
      </w:pPr>
      <w:r w:rsidRPr="001E59CB">
        <w:rPr>
          <w:rFonts w:ascii="Garamond" w:hAnsi="Garamond"/>
          <w:b/>
        </w:rPr>
        <w:t>пунктов 4.5, 4.6.</w:t>
      </w:r>
    </w:p>
    <w:p w:rsidR="007B3F65" w:rsidRPr="008408F4" w:rsidRDefault="007B3F65" w:rsidP="007B3F65">
      <w:pPr>
        <w:spacing w:before="120"/>
        <w:ind w:left="709"/>
        <w:jc w:val="both"/>
        <w:rPr>
          <w:rFonts w:ascii="Garamond" w:hAnsi="Garamond"/>
        </w:rPr>
      </w:pPr>
      <w:r w:rsidRPr="008408F4">
        <w:rPr>
          <w:rFonts w:ascii="Garamond" w:hAnsi="Garamond"/>
        </w:rPr>
        <w:t>Вступление в силу пунктов 4.5, 4.6, устанавливающих допуск корпоративных клиентов и страховых компаний на рынок СПФИ, будет определено отдельным решением Правления.</w:t>
      </w:r>
    </w:p>
    <w:p w:rsidR="003D2351" w:rsidRDefault="003D2351"/>
    <w:sectPr w:rsidR="003D2351" w:rsidSect="009227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418C7"/>
    <w:multiLevelType w:val="hybridMultilevel"/>
    <w:tmpl w:val="0B622EB2"/>
    <w:lvl w:ilvl="0" w:tplc="D158B0F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25247EC3"/>
    <w:multiLevelType w:val="hybridMultilevel"/>
    <w:tmpl w:val="A41691D0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" w15:restartNumberingAfterBreak="0">
    <w:nsid w:val="5B1B57AA"/>
    <w:multiLevelType w:val="hybridMultilevel"/>
    <w:tmpl w:val="394C7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11B22"/>
    <w:multiLevelType w:val="hybridMultilevel"/>
    <w:tmpl w:val="4C72289A"/>
    <w:lvl w:ilvl="0" w:tplc="9542B132">
      <w:start w:val="1"/>
      <w:numFmt w:val="decimal"/>
      <w:lvlText w:val="%1."/>
      <w:lvlJc w:val="left"/>
      <w:pPr>
        <w:ind w:left="1353" w:hanging="360"/>
      </w:pPr>
      <w:rPr>
        <w:rFonts w:ascii="Garamond" w:hAnsi="Garamond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73A37E4B"/>
    <w:multiLevelType w:val="hybridMultilevel"/>
    <w:tmpl w:val="59E056B4"/>
    <w:lvl w:ilvl="0" w:tplc="AD5C186E">
      <w:start w:val="1"/>
      <w:numFmt w:val="decimal"/>
      <w:lvlText w:val="%1)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</w:lvl>
    <w:lvl w:ilvl="3" w:tplc="0419000F" w:tentative="1">
      <w:start w:val="1"/>
      <w:numFmt w:val="decimal"/>
      <w:lvlText w:val="%4."/>
      <w:lvlJc w:val="left"/>
      <w:pPr>
        <w:ind w:left="3203" w:hanging="360"/>
      </w:p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</w:lvl>
    <w:lvl w:ilvl="6" w:tplc="0419000F" w:tentative="1">
      <w:start w:val="1"/>
      <w:numFmt w:val="decimal"/>
      <w:lvlText w:val="%7."/>
      <w:lvlJc w:val="left"/>
      <w:pPr>
        <w:ind w:left="5363" w:hanging="360"/>
      </w:p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76"/>
    <w:rsid w:val="001A3DC4"/>
    <w:rsid w:val="001E59CB"/>
    <w:rsid w:val="00202BDE"/>
    <w:rsid w:val="003D2351"/>
    <w:rsid w:val="00562E36"/>
    <w:rsid w:val="006F413B"/>
    <w:rsid w:val="007473F6"/>
    <w:rsid w:val="007B3F65"/>
    <w:rsid w:val="00845216"/>
    <w:rsid w:val="00922776"/>
    <w:rsid w:val="00AC564F"/>
    <w:rsid w:val="00B84B86"/>
    <w:rsid w:val="00C629F8"/>
    <w:rsid w:val="00E72FD9"/>
    <w:rsid w:val="00FF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1605"/>
  <w15:chartTrackingRefBased/>
  <w15:docId w15:val="{00BCAFD5-674D-4226-B58C-D701A7F0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776"/>
    <w:pPr>
      <w:ind w:left="708"/>
    </w:pPr>
  </w:style>
  <w:style w:type="table" w:styleId="a4">
    <w:name w:val="Table Grid"/>
    <w:basedOn w:val="a1"/>
    <w:rsid w:val="009227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">
    <w:name w:val="Text tab"/>
    <w:basedOn w:val="a"/>
    <w:link w:val="Texttab0"/>
    <w:qFormat/>
    <w:rsid w:val="00922776"/>
    <w:pPr>
      <w:widowControl w:val="0"/>
      <w:tabs>
        <w:tab w:val="right" w:pos="851"/>
      </w:tabs>
      <w:adjustRightInd w:val="0"/>
      <w:spacing w:before="60"/>
      <w:ind w:left="851"/>
      <w:jc w:val="both"/>
      <w:textAlignment w:val="baseline"/>
    </w:pPr>
    <w:rPr>
      <w:iCs/>
      <w:noProof/>
      <w:lang w:val="x-none" w:eastAsia="x-none"/>
    </w:rPr>
  </w:style>
  <w:style w:type="character" w:customStyle="1" w:styleId="Texttab0">
    <w:name w:val="Text tab Знак"/>
    <w:link w:val="Texttab"/>
    <w:rsid w:val="00922776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paragraph" w:customStyle="1" w:styleId="texttab1">
    <w:name w:val="texttab"/>
    <w:basedOn w:val="a"/>
    <w:uiPriority w:val="99"/>
    <w:rsid w:val="00E72FD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3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2334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Криворотова Ольга Владимировна</dc:creator>
  <cp:keywords/>
  <dc:description/>
  <cp:lastModifiedBy>Пак Лилия Олеговна</cp:lastModifiedBy>
  <cp:revision>9</cp:revision>
  <dcterms:created xsi:type="dcterms:W3CDTF">2020-09-21T09:34:00Z</dcterms:created>
  <dcterms:modified xsi:type="dcterms:W3CDTF">2020-10-06T11:50:00Z</dcterms:modified>
</cp:coreProperties>
</file>