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vertAnchor="page" w:horzAnchor="margin" w:tblpXSpec="center" w:tblpY="1546"/>
        <w:tblW w:w="14737" w:type="dxa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5824"/>
        <w:gridCol w:w="3673"/>
      </w:tblGrid>
      <w:tr w:rsidR="00234FA1" w:rsidRPr="004C5B15" w:rsidTr="00026BE6">
        <w:trPr>
          <w:trHeight w:val="990"/>
        </w:trPr>
        <w:tc>
          <w:tcPr>
            <w:tcW w:w="2830" w:type="dxa"/>
            <w:shd w:val="clear" w:color="auto" w:fill="ED7D31" w:themeFill="accent2"/>
            <w:vAlign w:val="center"/>
          </w:tcPr>
          <w:p w:rsidR="00234FA1" w:rsidRPr="00D7022C" w:rsidRDefault="00234FA1" w:rsidP="00B10DD9">
            <w:pPr>
              <w:spacing w:before="240" w:after="240"/>
              <w:ind w:left="317" w:hanging="1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022C">
              <w:rPr>
                <w:b/>
                <w:color w:val="000000" w:themeColor="text1"/>
                <w:sz w:val="22"/>
                <w:szCs w:val="22"/>
              </w:rPr>
              <w:t>Изменения</w:t>
            </w:r>
          </w:p>
        </w:tc>
        <w:tc>
          <w:tcPr>
            <w:tcW w:w="2410" w:type="dxa"/>
            <w:shd w:val="clear" w:color="auto" w:fill="ED7D31" w:themeFill="accent2"/>
            <w:vAlign w:val="center"/>
          </w:tcPr>
          <w:p w:rsidR="00234FA1" w:rsidRPr="00D7022C" w:rsidRDefault="00234FA1" w:rsidP="00B10DD9">
            <w:pPr>
              <w:spacing w:before="240" w:after="240"/>
              <w:ind w:right="-96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022C">
              <w:rPr>
                <w:b/>
                <w:color w:val="000000" w:themeColor="text1"/>
                <w:sz w:val="22"/>
                <w:szCs w:val="22"/>
              </w:rPr>
              <w:t xml:space="preserve">Пункт </w:t>
            </w:r>
            <w:r w:rsidRPr="00D7022C">
              <w:rPr>
                <w:b/>
                <w:color w:val="000000" w:themeColor="text1"/>
                <w:sz w:val="22"/>
                <w:szCs w:val="22"/>
              </w:rPr>
              <w:br/>
              <w:t>Правил клиринга</w:t>
            </w:r>
          </w:p>
        </w:tc>
        <w:tc>
          <w:tcPr>
            <w:tcW w:w="5824" w:type="dxa"/>
            <w:shd w:val="clear" w:color="auto" w:fill="ED7D31" w:themeFill="accent2"/>
            <w:vAlign w:val="center"/>
          </w:tcPr>
          <w:p w:rsidR="00234FA1" w:rsidRPr="00D7022C" w:rsidRDefault="00234FA1" w:rsidP="00B10DD9">
            <w:pPr>
              <w:spacing w:before="240" w:after="24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022C">
              <w:rPr>
                <w:b/>
                <w:color w:val="000000" w:themeColor="text1"/>
                <w:sz w:val="22"/>
                <w:szCs w:val="22"/>
              </w:rPr>
              <w:t>Описание изменений</w:t>
            </w:r>
          </w:p>
        </w:tc>
        <w:tc>
          <w:tcPr>
            <w:tcW w:w="3673" w:type="dxa"/>
            <w:shd w:val="clear" w:color="auto" w:fill="ED7D31" w:themeFill="accent2"/>
            <w:vAlign w:val="center"/>
          </w:tcPr>
          <w:p w:rsidR="00234FA1" w:rsidRPr="004C5B15" w:rsidRDefault="00234FA1" w:rsidP="00B10DD9">
            <w:pPr>
              <w:spacing w:before="240" w:after="24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C5B15">
              <w:rPr>
                <w:b/>
                <w:color w:val="000000" w:themeColor="text1"/>
                <w:sz w:val="22"/>
                <w:szCs w:val="22"/>
              </w:rPr>
              <w:t xml:space="preserve">Влияние на права и обязанности </w:t>
            </w:r>
            <w:r w:rsidRPr="004C5B15">
              <w:rPr>
                <w:b/>
                <w:color w:val="000000" w:themeColor="text1"/>
                <w:sz w:val="22"/>
                <w:szCs w:val="22"/>
              </w:rPr>
              <w:br/>
              <w:t>Участников клиринга</w:t>
            </w:r>
          </w:p>
        </w:tc>
      </w:tr>
      <w:tr w:rsidR="00026BE6" w:rsidRPr="004C5B15" w:rsidTr="00026BE6">
        <w:trPr>
          <w:trHeight w:val="105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26BE6" w:rsidRPr="00D7022C" w:rsidRDefault="00026BE6" w:rsidP="00026BE6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Введено требование о предоставлении</w:t>
            </w:r>
            <w:r w:rsidRPr="00751E16">
              <w:rPr>
                <w:b/>
                <w:sz w:val="22"/>
                <w:szCs w:val="22"/>
              </w:rPr>
              <w:t xml:space="preserve"> Участником клиринга товарного рынка в Клиринговый центр информации</w:t>
            </w:r>
            <w:r w:rsidRPr="00751E16">
              <w:rPr>
                <w:b/>
                <w:color w:val="000000"/>
                <w:sz w:val="22"/>
                <w:szCs w:val="22"/>
              </w:rPr>
              <w:t xml:space="preserve"> обо всех аффилированных лицах Участника клиринга, информаци</w:t>
            </w:r>
            <w:r>
              <w:rPr>
                <w:b/>
                <w:color w:val="000000"/>
                <w:sz w:val="22"/>
                <w:szCs w:val="22"/>
              </w:rPr>
              <w:t>и</w:t>
            </w:r>
            <w:r w:rsidRPr="00751E16">
              <w:rPr>
                <w:b/>
                <w:color w:val="000000"/>
                <w:sz w:val="22"/>
                <w:szCs w:val="22"/>
              </w:rPr>
              <w:t xml:space="preserve"> об аффилированности клиентов Участника клиринга с Базисами </w:t>
            </w:r>
          </w:p>
        </w:tc>
        <w:tc>
          <w:tcPr>
            <w:tcW w:w="2410" w:type="dxa"/>
          </w:tcPr>
          <w:p w:rsidR="00026BE6" w:rsidRPr="00D7022C" w:rsidRDefault="00026BE6" w:rsidP="00026BE6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>Термин «Аффилированность» статьи 1, подпункт</w:t>
            </w:r>
            <w:r>
              <w:rPr>
                <w:sz w:val="22"/>
                <w:szCs w:val="22"/>
                <w:lang w:val="ru-RU"/>
              </w:rPr>
              <w:t>ы</w:t>
            </w:r>
            <w:r w:rsidRPr="00D7022C">
              <w:rPr>
                <w:sz w:val="22"/>
                <w:szCs w:val="22"/>
                <w:lang w:val="ru-RU"/>
              </w:rPr>
              <w:t xml:space="preserve"> 5.3.4,</w:t>
            </w:r>
            <w:r>
              <w:rPr>
                <w:sz w:val="22"/>
                <w:szCs w:val="22"/>
                <w:lang w:val="ru-RU"/>
              </w:rPr>
              <w:t xml:space="preserve"> 5.3.5,</w:t>
            </w:r>
            <w:r w:rsidRPr="00D7022C">
              <w:rPr>
                <w:sz w:val="22"/>
                <w:szCs w:val="22"/>
                <w:lang w:val="ru-RU"/>
              </w:rPr>
              <w:t xml:space="preserve"> пункты 5.7, 5.8, подункты 6.1.7-6.1.9. пункт 6.2, пункт 6.7, подпункты 9.2.3, 9.6.2, </w:t>
            </w:r>
            <w:r>
              <w:rPr>
                <w:sz w:val="22"/>
                <w:szCs w:val="22"/>
                <w:lang w:val="ru-RU"/>
              </w:rPr>
              <w:t xml:space="preserve">9.6.3., </w:t>
            </w:r>
            <w:r w:rsidRPr="00D7022C">
              <w:rPr>
                <w:sz w:val="22"/>
                <w:szCs w:val="22"/>
                <w:lang w:val="ru-RU"/>
              </w:rPr>
              <w:t>пункт 10.8 Правил клиринга на товарном рынке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824" w:type="dxa"/>
          </w:tcPr>
          <w:p w:rsidR="00026BE6" w:rsidRDefault="00026BE6" w:rsidP="00026BE6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 w:rsidRPr="00751E16">
              <w:rPr>
                <w:color w:val="000000"/>
                <w:sz w:val="22"/>
                <w:szCs w:val="22"/>
              </w:rPr>
              <w:t>Участник клиринга обязан</w:t>
            </w:r>
            <w:r w:rsidRPr="00751E16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51E16">
              <w:rPr>
                <w:sz w:val="22"/>
                <w:szCs w:val="22"/>
              </w:rPr>
              <w:t xml:space="preserve"> предостави</w:t>
            </w:r>
            <w:r>
              <w:rPr>
                <w:sz w:val="22"/>
                <w:szCs w:val="22"/>
                <w:lang w:val="ru-RU"/>
              </w:rPr>
              <w:t>ть</w:t>
            </w:r>
            <w:r w:rsidRPr="00751E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в НКЦ </w:t>
            </w:r>
            <w:r w:rsidRPr="00751E16">
              <w:rPr>
                <w:sz w:val="22"/>
                <w:szCs w:val="22"/>
              </w:rPr>
              <w:t>информацию</w:t>
            </w:r>
            <w:r w:rsidRPr="00751E16">
              <w:rPr>
                <w:color w:val="000000"/>
                <w:sz w:val="22"/>
                <w:szCs w:val="22"/>
              </w:rPr>
              <w:t xml:space="preserve"> обо всех аффилированных лицах Участника клиринга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и</w:t>
            </w:r>
            <w:r w:rsidRPr="00751E16">
              <w:rPr>
                <w:color w:val="000000"/>
                <w:sz w:val="22"/>
                <w:szCs w:val="22"/>
              </w:rPr>
              <w:t xml:space="preserve"> об аффилированности клиентов с Базисами</w:t>
            </w:r>
            <w:r w:rsidRPr="00751E16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51E16">
              <w:rPr>
                <w:color w:val="000000"/>
                <w:sz w:val="22"/>
                <w:szCs w:val="22"/>
              </w:rPr>
              <w:t>(аккредитованными элеваторами и складами)</w:t>
            </w:r>
            <w:r w:rsidRPr="00751E16">
              <w:rPr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026BE6" w:rsidRDefault="00026BE6" w:rsidP="00026BE6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Заверения об </w:t>
            </w:r>
            <w:r w:rsidRPr="009005BE">
              <w:rPr>
                <w:color w:val="000000"/>
                <w:sz w:val="22"/>
                <w:szCs w:val="22"/>
                <w:lang w:val="ru-RU"/>
              </w:rPr>
              <w:t xml:space="preserve">обстоятельствах дополнены заверениями Участника клиринга о предоставлении информации об аффилированных лицах. Установлена ответственность Участника клиринга за нарушение указанного заверения: </w:t>
            </w:r>
            <w:r w:rsidRPr="009005BE">
              <w:rPr>
                <w:sz w:val="22"/>
                <w:szCs w:val="22"/>
              </w:rPr>
              <w:t xml:space="preserve"> </w:t>
            </w:r>
            <w:r w:rsidRPr="009005BE">
              <w:rPr>
                <w:sz w:val="22"/>
                <w:szCs w:val="22"/>
                <w:lang w:val="ru-RU"/>
              </w:rPr>
              <w:t>в</w:t>
            </w:r>
            <w:r w:rsidRPr="009005BE">
              <w:rPr>
                <w:sz w:val="22"/>
                <w:szCs w:val="22"/>
              </w:rPr>
              <w:t xml:space="preserve"> случае возникновения убытков у </w:t>
            </w:r>
            <w:r w:rsidR="00066EFB">
              <w:rPr>
                <w:sz w:val="22"/>
                <w:szCs w:val="22"/>
                <w:lang w:val="ru-RU"/>
              </w:rPr>
              <w:t>НКЦ</w:t>
            </w:r>
            <w:r w:rsidRPr="009005BE">
              <w:rPr>
                <w:sz w:val="22"/>
                <w:szCs w:val="22"/>
                <w:lang w:val="ru-RU"/>
              </w:rPr>
              <w:t xml:space="preserve"> </w:t>
            </w:r>
            <w:r w:rsidRPr="009005BE">
              <w:rPr>
                <w:sz w:val="22"/>
                <w:szCs w:val="22"/>
              </w:rPr>
              <w:t xml:space="preserve">Участник клиринга обязуется </w:t>
            </w:r>
            <w:r w:rsidRPr="009005BE">
              <w:rPr>
                <w:color w:val="000000"/>
                <w:sz w:val="22"/>
                <w:szCs w:val="22"/>
              </w:rPr>
              <w:t xml:space="preserve">возместить </w:t>
            </w:r>
            <w:r w:rsidR="00066EFB">
              <w:rPr>
                <w:color w:val="000000"/>
                <w:sz w:val="22"/>
                <w:szCs w:val="22"/>
                <w:lang w:val="ru-RU"/>
              </w:rPr>
              <w:t>НКЦ</w:t>
            </w:r>
            <w:r w:rsidRPr="009005BE">
              <w:rPr>
                <w:color w:val="000000"/>
                <w:sz w:val="22"/>
                <w:szCs w:val="22"/>
              </w:rPr>
              <w:t xml:space="preserve"> в полном объеме убытки, понесенные </w:t>
            </w:r>
            <w:r w:rsidR="00066EFB">
              <w:rPr>
                <w:color w:val="000000"/>
                <w:sz w:val="22"/>
                <w:szCs w:val="22"/>
                <w:lang w:val="ru-RU"/>
              </w:rPr>
              <w:t>НКЦ</w:t>
            </w:r>
            <w:r w:rsidRPr="009005BE">
              <w:rPr>
                <w:color w:val="000000"/>
                <w:sz w:val="22"/>
                <w:szCs w:val="22"/>
              </w:rPr>
              <w:t xml:space="preserve"> вследствие нарушения Участником клиринга заверений</w:t>
            </w:r>
            <w:r w:rsidRPr="009005BE">
              <w:rPr>
                <w:color w:val="000000"/>
                <w:sz w:val="22"/>
                <w:szCs w:val="22"/>
                <w:lang w:val="ru-RU"/>
              </w:rPr>
              <w:t>.</w:t>
            </w:r>
          </w:p>
          <w:p w:rsidR="00026BE6" w:rsidRPr="009005BE" w:rsidRDefault="00026BE6" w:rsidP="00026BE6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Приостановление допуска к клиринговому обслуживанию Участника клиринга или его клиентов, аффилированных с Базисом, на таком Базисе по всем или отдельным видам Договоров, а также неучет Товаров на таком Базисе в качестве Обеспечения Участника клиринга осуществляются по решению </w:t>
            </w:r>
            <w:r w:rsidR="00066EFB">
              <w:rPr>
                <w:color w:val="000000"/>
                <w:sz w:val="22"/>
                <w:szCs w:val="22"/>
                <w:lang w:val="ru-RU"/>
              </w:rPr>
              <w:t>НКЦ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3673" w:type="dxa"/>
          </w:tcPr>
          <w:p w:rsidR="00026BE6" w:rsidRPr="009005BE" w:rsidRDefault="00026BE6" w:rsidP="00026BE6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Установлена обязанность Участника клиринга предоставлять </w:t>
            </w:r>
            <w:r w:rsidR="00066EFB">
              <w:rPr>
                <w:color w:val="000000" w:themeColor="text1"/>
                <w:sz w:val="22"/>
                <w:szCs w:val="22"/>
              </w:rPr>
              <w:t>НКЦ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51E16">
              <w:rPr>
                <w:sz w:val="22"/>
                <w:szCs w:val="22"/>
              </w:rPr>
              <w:t>информацию</w:t>
            </w:r>
            <w:r w:rsidRPr="00751E16">
              <w:rPr>
                <w:color w:val="000000"/>
                <w:sz w:val="22"/>
                <w:szCs w:val="22"/>
              </w:rPr>
              <w:t xml:space="preserve"> об аффилированных лицах </w:t>
            </w:r>
            <w:r w:rsidR="00066EFB">
              <w:rPr>
                <w:color w:val="000000"/>
                <w:sz w:val="22"/>
                <w:szCs w:val="22"/>
              </w:rPr>
              <w:t>и</w:t>
            </w:r>
            <w:r w:rsidRPr="00751E16">
              <w:rPr>
                <w:color w:val="000000"/>
                <w:sz w:val="22"/>
                <w:szCs w:val="22"/>
              </w:rPr>
              <w:t xml:space="preserve"> об аффилированности </w:t>
            </w:r>
            <w:r w:rsidRPr="009005BE">
              <w:rPr>
                <w:color w:val="000000"/>
                <w:sz w:val="22"/>
                <w:szCs w:val="22"/>
              </w:rPr>
              <w:t>клиентов Участника клиринга с Базисами.</w:t>
            </w:r>
          </w:p>
          <w:p w:rsidR="00026BE6" w:rsidRPr="004C5B15" w:rsidRDefault="00026BE6" w:rsidP="00026BE6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9005BE">
              <w:rPr>
                <w:color w:val="000000" w:themeColor="text1"/>
                <w:sz w:val="22"/>
                <w:szCs w:val="22"/>
              </w:rPr>
              <w:t>Установлена</w:t>
            </w:r>
            <w:r w:rsidRPr="0000243F">
              <w:rPr>
                <w:color w:val="000000" w:themeColor="text1"/>
                <w:sz w:val="22"/>
                <w:szCs w:val="22"/>
              </w:rPr>
              <w:t xml:space="preserve"> обязанность </w:t>
            </w:r>
            <w:r w:rsidRPr="0029770C">
              <w:rPr>
                <w:color w:val="000000" w:themeColor="text1"/>
                <w:sz w:val="22"/>
                <w:szCs w:val="22"/>
              </w:rPr>
              <w:t>Участника клиринга</w:t>
            </w:r>
            <w:r w:rsidRPr="0029770C">
              <w:rPr>
                <w:color w:val="000000"/>
                <w:sz w:val="22"/>
                <w:szCs w:val="22"/>
              </w:rPr>
              <w:t xml:space="preserve"> </w:t>
            </w:r>
            <w:r w:rsidRPr="009005BE">
              <w:rPr>
                <w:color w:val="000000"/>
                <w:sz w:val="22"/>
                <w:szCs w:val="22"/>
              </w:rPr>
              <w:t xml:space="preserve">возместить </w:t>
            </w:r>
            <w:r w:rsidR="00066EFB">
              <w:rPr>
                <w:color w:val="000000"/>
                <w:sz w:val="22"/>
                <w:szCs w:val="22"/>
              </w:rPr>
              <w:t>НКЦ</w:t>
            </w:r>
            <w:r w:rsidRPr="009005BE">
              <w:rPr>
                <w:color w:val="000000"/>
                <w:sz w:val="22"/>
                <w:szCs w:val="22"/>
              </w:rPr>
              <w:t xml:space="preserve"> убытки, понесенные </w:t>
            </w:r>
            <w:r w:rsidR="00066EFB">
              <w:rPr>
                <w:color w:val="000000"/>
                <w:sz w:val="22"/>
                <w:szCs w:val="22"/>
              </w:rPr>
              <w:t xml:space="preserve">НКЦ </w:t>
            </w:r>
            <w:r w:rsidRPr="009005BE">
              <w:rPr>
                <w:color w:val="000000"/>
                <w:sz w:val="22"/>
                <w:szCs w:val="22"/>
              </w:rPr>
              <w:t>вследствие нарушения Участником клиринга заверений о предоставлении информации об аффилированных лицах.</w:t>
            </w:r>
          </w:p>
        </w:tc>
      </w:tr>
      <w:tr w:rsidR="00026BE6" w:rsidRPr="004C5B15" w:rsidTr="00026BE6">
        <w:trPr>
          <w:trHeight w:val="105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26BE6" w:rsidRPr="00B85A97" w:rsidDel="00455CC5" w:rsidRDefault="00026BE6" w:rsidP="00026BE6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Предусмотрено</w:t>
            </w:r>
            <w:r w:rsidRPr="00F35E44">
              <w:rPr>
                <w:b/>
                <w:sz w:val="22"/>
                <w:szCs w:val="22"/>
              </w:rPr>
              <w:t xml:space="preserve"> право Клирингового центра принять решение о </w:t>
            </w:r>
            <w:proofErr w:type="spellStart"/>
            <w:r w:rsidRPr="00F35E44">
              <w:rPr>
                <w:b/>
                <w:sz w:val="22"/>
                <w:szCs w:val="22"/>
              </w:rPr>
              <w:t>незаключении</w:t>
            </w:r>
            <w:proofErr w:type="spellEnd"/>
            <w:r w:rsidRPr="00F35E44">
              <w:rPr>
                <w:b/>
                <w:sz w:val="22"/>
                <w:szCs w:val="22"/>
              </w:rPr>
              <w:t xml:space="preserve"> с Недобросовестным участником клиринга на товарном рынке своп договора или форвардного договора</w:t>
            </w:r>
          </w:p>
        </w:tc>
        <w:tc>
          <w:tcPr>
            <w:tcW w:w="2410" w:type="dxa"/>
          </w:tcPr>
          <w:p w:rsidR="00026BE6" w:rsidRPr="00D7022C" w:rsidRDefault="00026BE6" w:rsidP="00026BE6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D7022C">
              <w:rPr>
                <w:sz w:val="22"/>
                <w:szCs w:val="22"/>
                <w:lang w:val="ru-RU"/>
              </w:rPr>
              <w:t xml:space="preserve">ункт 16.16 </w:t>
            </w:r>
            <w:r w:rsidRPr="00D7022C">
              <w:rPr>
                <w:sz w:val="22"/>
                <w:szCs w:val="22"/>
              </w:rPr>
              <w:t xml:space="preserve"> </w:t>
            </w:r>
            <w:r w:rsidRPr="00D7022C">
              <w:rPr>
                <w:sz w:val="22"/>
                <w:szCs w:val="22"/>
                <w:lang w:val="ru-RU"/>
              </w:rPr>
              <w:t>Правил клиринга на товарном рынке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824" w:type="dxa"/>
          </w:tcPr>
          <w:p w:rsidR="00026BE6" w:rsidRPr="00203321" w:rsidDel="00A61E68" w:rsidRDefault="00026BE6" w:rsidP="00066EFB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Предусмотрено право </w:t>
            </w:r>
            <w:r w:rsidR="00066EFB">
              <w:rPr>
                <w:sz w:val="22"/>
                <w:szCs w:val="22"/>
                <w:lang w:val="ru-RU"/>
              </w:rPr>
              <w:t>НКЦ</w:t>
            </w:r>
            <w:r w:rsidRPr="00D7022C">
              <w:rPr>
                <w:sz w:val="22"/>
                <w:szCs w:val="22"/>
              </w:rPr>
              <w:t xml:space="preserve"> принять решение о незаключении с Недобросовестным участником клиринга своп договора или форвардного договора в случае невозможности заключения указанных договоров. В случае принятия такого решения порядок урегулирования неисполненных обязательств устанавливается </w:t>
            </w:r>
            <w:r>
              <w:rPr>
                <w:sz w:val="22"/>
                <w:szCs w:val="22"/>
                <w:lang w:val="ru-RU"/>
              </w:rPr>
              <w:t xml:space="preserve">таким </w:t>
            </w:r>
            <w:r w:rsidRPr="00D7022C">
              <w:rPr>
                <w:sz w:val="22"/>
                <w:szCs w:val="22"/>
              </w:rPr>
              <w:t xml:space="preserve">решением </w:t>
            </w:r>
            <w:r w:rsidR="00066EFB">
              <w:rPr>
                <w:sz w:val="22"/>
                <w:szCs w:val="22"/>
                <w:lang w:val="ru-RU"/>
              </w:rPr>
              <w:t>НКЦ</w:t>
            </w:r>
            <w:r w:rsidRPr="00D7022C">
              <w:rPr>
                <w:sz w:val="22"/>
                <w:szCs w:val="22"/>
              </w:rPr>
              <w:t>.</w:t>
            </w:r>
            <w:r w:rsidR="00066EFB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73" w:type="dxa"/>
          </w:tcPr>
          <w:p w:rsidR="00026BE6" w:rsidRPr="004E69B1" w:rsidRDefault="00026BE6" w:rsidP="00026BE6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4E69B1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клиринга.</w:t>
            </w:r>
          </w:p>
        </w:tc>
      </w:tr>
      <w:tr w:rsidR="00026BE6" w:rsidRPr="004C5B15" w:rsidTr="00026BE6">
        <w:trPr>
          <w:trHeight w:val="105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26BE6" w:rsidRPr="00D7022C" w:rsidRDefault="00026BE6" w:rsidP="00026BE6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Определен п</w:t>
            </w:r>
            <w:r w:rsidRPr="00D7022C">
              <w:rPr>
                <w:b/>
                <w:sz w:val="22"/>
                <w:szCs w:val="22"/>
              </w:rPr>
              <w:t>орядок действий в случае обращения взыскания или наложения ареста на имущество Участника клиринга, находящееся на торговом товарном счете</w:t>
            </w:r>
          </w:p>
        </w:tc>
        <w:tc>
          <w:tcPr>
            <w:tcW w:w="2410" w:type="dxa"/>
          </w:tcPr>
          <w:p w:rsidR="00026BE6" w:rsidRPr="00D7022C" w:rsidRDefault="00026BE6" w:rsidP="00026BE6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>Статья 20</w:t>
            </w:r>
            <w:r w:rsidRPr="00D7022C">
              <w:rPr>
                <w:sz w:val="22"/>
                <w:szCs w:val="22"/>
              </w:rPr>
              <w:t xml:space="preserve"> </w:t>
            </w:r>
            <w:r w:rsidRPr="00D7022C">
              <w:rPr>
                <w:sz w:val="22"/>
                <w:szCs w:val="22"/>
                <w:lang w:val="ru-RU"/>
              </w:rPr>
              <w:t>Правил клиринга на товарном рынке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824" w:type="dxa"/>
          </w:tcPr>
          <w:p w:rsidR="00026BE6" w:rsidRPr="0000243F" w:rsidRDefault="00026BE6" w:rsidP="00026BE6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00243F">
              <w:rPr>
                <w:sz w:val="22"/>
                <w:szCs w:val="22"/>
                <w:lang w:val="ru-RU"/>
              </w:rPr>
              <w:t xml:space="preserve">Определен </w:t>
            </w:r>
            <w:bookmarkStart w:id="0" w:name="_Toc29559951"/>
            <w:r>
              <w:rPr>
                <w:sz w:val="22"/>
                <w:szCs w:val="22"/>
                <w:lang w:val="ru-RU"/>
              </w:rPr>
              <w:t>п</w:t>
            </w:r>
            <w:r w:rsidRPr="0000243F">
              <w:rPr>
                <w:sz w:val="22"/>
                <w:szCs w:val="22"/>
              </w:rPr>
              <w:t>орядок действий в случае обращения взыскания или наложения ареста на имущество Участника клиринга, находящееся на торговом товарном счете</w:t>
            </w:r>
            <w:bookmarkEnd w:id="0"/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3673" w:type="dxa"/>
          </w:tcPr>
          <w:p w:rsidR="00026BE6" w:rsidRPr="004C5B15" w:rsidRDefault="00026BE6" w:rsidP="00026BE6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FB44B4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026BE6" w:rsidRPr="004C5B15" w:rsidTr="00026BE6">
        <w:trPr>
          <w:trHeight w:val="105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26BE6" w:rsidRPr="00D7022C" w:rsidRDefault="00026BE6" w:rsidP="00026BE6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Внесены и</w:t>
            </w:r>
            <w:r w:rsidRPr="00D7022C">
              <w:rPr>
                <w:b/>
                <w:sz w:val="22"/>
                <w:szCs w:val="22"/>
              </w:rPr>
              <w:t>зменения во временной регламент товарного рынка</w:t>
            </w:r>
          </w:p>
        </w:tc>
        <w:tc>
          <w:tcPr>
            <w:tcW w:w="2410" w:type="dxa"/>
          </w:tcPr>
          <w:p w:rsidR="00026BE6" w:rsidRPr="00D7022C" w:rsidRDefault="00026BE6" w:rsidP="00026BE6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>Пункты 1.3, 1.4, 3.3, 3.4, 4.1, 4.3-4.5 Временного регламента, являющегося приложением к</w:t>
            </w:r>
            <w:r w:rsidRPr="00D7022C">
              <w:rPr>
                <w:sz w:val="22"/>
                <w:szCs w:val="22"/>
              </w:rPr>
              <w:t xml:space="preserve"> </w:t>
            </w:r>
            <w:r w:rsidRPr="00D7022C">
              <w:rPr>
                <w:sz w:val="22"/>
                <w:szCs w:val="22"/>
                <w:lang w:val="ru-RU"/>
              </w:rPr>
              <w:t>Правилам клиринга на товарном рынке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824" w:type="dxa"/>
          </w:tcPr>
          <w:p w:rsidR="00026BE6" w:rsidRPr="009D46F6" w:rsidRDefault="00026BE6" w:rsidP="00026BE6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9D46F6">
              <w:rPr>
                <w:sz w:val="22"/>
                <w:szCs w:val="22"/>
                <w:lang w:val="ru-RU"/>
              </w:rPr>
              <w:t xml:space="preserve">Изменено время </w:t>
            </w:r>
            <w:r w:rsidRPr="009D46F6">
              <w:rPr>
                <w:noProof w:val="0"/>
                <w:color w:val="000000"/>
                <w:sz w:val="22"/>
                <w:szCs w:val="22"/>
              </w:rPr>
              <w:t>заключени</w:t>
            </w:r>
            <w:r w:rsidRPr="009D46F6">
              <w:rPr>
                <w:noProof w:val="0"/>
                <w:color w:val="000000"/>
                <w:sz w:val="22"/>
                <w:szCs w:val="22"/>
                <w:lang w:val="ru-RU"/>
              </w:rPr>
              <w:t>я</w:t>
            </w:r>
            <w:r w:rsidRPr="009D46F6">
              <w:rPr>
                <w:noProof w:val="0"/>
                <w:color w:val="000000"/>
                <w:sz w:val="22"/>
                <w:szCs w:val="22"/>
              </w:rPr>
              <w:t xml:space="preserve"> закрывающих </w:t>
            </w:r>
            <w:r w:rsidRPr="009D46F6">
              <w:rPr>
                <w:color w:val="000000"/>
                <w:sz w:val="22"/>
                <w:szCs w:val="22"/>
              </w:rPr>
              <w:t>форвардных договоров при наличии у Участника клиринга Итогового нетто-обязательства в российских рублях, для исполнения которого недостаточно денежных средств, учитываемого по Расчетному коду Участника клиринга, в Дату исполнения второй части сделки своп, заключенной в случае наличия у Участника клиринга Итогового нетто-обязательства по денежным средствам, для исполнения которого недостаточно денежных средств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3673" w:type="dxa"/>
          </w:tcPr>
          <w:p w:rsidR="00026BE6" w:rsidRPr="004C5B15" w:rsidRDefault="00026BE6" w:rsidP="00026BE6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FB44B4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234FA1" w:rsidRPr="004C5B15" w:rsidTr="00026BE6">
        <w:trPr>
          <w:trHeight w:val="105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Введено требование о п</w:t>
            </w:r>
            <w:r w:rsidRPr="00D7022C">
              <w:rPr>
                <w:b/>
                <w:sz w:val="22"/>
                <w:szCs w:val="22"/>
              </w:rPr>
              <w:t>редоставлени</w:t>
            </w:r>
            <w:r>
              <w:rPr>
                <w:b/>
                <w:sz w:val="22"/>
                <w:szCs w:val="22"/>
              </w:rPr>
              <w:t>и</w:t>
            </w:r>
            <w:r w:rsidRPr="00D7022C">
              <w:rPr>
                <w:b/>
                <w:sz w:val="22"/>
                <w:szCs w:val="22"/>
              </w:rPr>
              <w:t xml:space="preserve"> декларации о рисках </w:t>
            </w:r>
          </w:p>
        </w:tc>
        <w:tc>
          <w:tcPr>
            <w:tcW w:w="2410" w:type="dxa"/>
          </w:tcPr>
          <w:p w:rsidR="00234FA1" w:rsidRPr="00D7022C" w:rsidRDefault="00234FA1" w:rsidP="00B10DD9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>Пподпункт 4.6.4, пункт 4.7</w:t>
            </w:r>
            <w:r>
              <w:rPr>
                <w:sz w:val="22"/>
                <w:szCs w:val="22"/>
                <w:lang w:val="ru-RU"/>
              </w:rPr>
              <w:t xml:space="preserve"> Правил клиринга на рынке СПФИ.</w:t>
            </w:r>
          </w:p>
        </w:tc>
        <w:tc>
          <w:tcPr>
            <w:tcW w:w="5824" w:type="dxa"/>
          </w:tcPr>
          <w:p w:rsidR="00234FA1" w:rsidRPr="0029770C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29770C">
              <w:rPr>
                <w:sz w:val="22"/>
                <w:szCs w:val="22"/>
                <w:lang w:val="ru-RU"/>
              </w:rPr>
              <w:t xml:space="preserve">Установлено, что </w:t>
            </w:r>
            <w:r w:rsidRPr="0029770C">
              <w:rPr>
                <w:color w:val="000000"/>
                <w:sz w:val="22"/>
                <w:szCs w:val="22"/>
              </w:rPr>
              <w:t xml:space="preserve"> </w:t>
            </w:r>
            <w:r w:rsidRPr="0029770C">
              <w:rPr>
                <w:color w:val="000000"/>
                <w:sz w:val="22"/>
                <w:szCs w:val="22"/>
                <w:lang w:val="ru-RU"/>
              </w:rPr>
              <w:t xml:space="preserve">для </w:t>
            </w:r>
            <w:r w:rsidRPr="0029770C">
              <w:rPr>
                <w:color w:val="000000"/>
                <w:sz w:val="22"/>
                <w:szCs w:val="22"/>
              </w:rPr>
              <w:t xml:space="preserve"> допуск</w:t>
            </w:r>
            <w:r w:rsidRPr="0029770C">
              <w:rPr>
                <w:color w:val="000000"/>
                <w:sz w:val="22"/>
                <w:szCs w:val="22"/>
                <w:lang w:val="ru-RU"/>
              </w:rPr>
              <w:t>а</w:t>
            </w:r>
            <w:r w:rsidRPr="0029770C">
              <w:rPr>
                <w:color w:val="000000"/>
                <w:sz w:val="22"/>
                <w:szCs w:val="22"/>
              </w:rPr>
              <w:t xml:space="preserve"> к клиринговому обслуживанию на рынке Стандартизированных ПФИ Участник клиринга - Некредитная организация, не являющийся профессиональным участником рынка ценных бумаг или страховой организацией и/или обществом взаимного страхования</w:t>
            </w:r>
            <w:r w:rsidRPr="0029770C">
              <w:rPr>
                <w:color w:val="000000"/>
                <w:sz w:val="22"/>
                <w:szCs w:val="22"/>
                <w:lang w:val="ru-RU"/>
              </w:rPr>
              <w:t xml:space="preserve"> обязан </w:t>
            </w:r>
            <w:r w:rsidRPr="0029770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29770C">
              <w:rPr>
                <w:color w:val="000000"/>
                <w:sz w:val="22"/>
                <w:szCs w:val="22"/>
              </w:rPr>
              <w:t>редостав</w:t>
            </w:r>
            <w:r>
              <w:rPr>
                <w:color w:val="000000"/>
                <w:sz w:val="22"/>
                <w:szCs w:val="22"/>
                <w:lang w:val="ru-RU"/>
              </w:rPr>
              <w:t>ля</w:t>
            </w:r>
            <w:r w:rsidRPr="0029770C">
              <w:rPr>
                <w:color w:val="000000"/>
                <w:sz w:val="22"/>
                <w:szCs w:val="22"/>
              </w:rPr>
              <w:t xml:space="preserve">ть в Клиринговый центр </w:t>
            </w:r>
            <w:r w:rsidRPr="0029770C">
              <w:rPr>
                <w:sz w:val="22"/>
                <w:szCs w:val="22"/>
              </w:rPr>
              <w:t>декларацию о рисках.</w:t>
            </w:r>
          </w:p>
        </w:tc>
        <w:tc>
          <w:tcPr>
            <w:tcW w:w="3673" w:type="dxa"/>
          </w:tcPr>
          <w:p w:rsidR="00234FA1" w:rsidRPr="00BB54A9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BB54A9">
              <w:rPr>
                <w:color w:val="000000" w:themeColor="text1"/>
                <w:sz w:val="22"/>
                <w:szCs w:val="22"/>
              </w:rPr>
              <w:t xml:space="preserve">Установлена обязанность </w:t>
            </w:r>
            <w:r w:rsidRPr="00BB54A9">
              <w:rPr>
                <w:color w:val="000000"/>
                <w:sz w:val="22"/>
                <w:szCs w:val="22"/>
              </w:rPr>
              <w:t xml:space="preserve">Участника клиринга предоставлять в Клиринговый центр </w:t>
            </w:r>
            <w:r w:rsidRPr="00BB54A9">
              <w:rPr>
                <w:sz w:val="22"/>
                <w:szCs w:val="22"/>
              </w:rPr>
              <w:t>декларацию о рисках.</w:t>
            </w:r>
          </w:p>
        </w:tc>
      </w:tr>
      <w:tr w:rsidR="00234FA1" w:rsidRPr="004C5B15" w:rsidTr="00026BE6">
        <w:trPr>
          <w:trHeight w:val="705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234FA1" w:rsidRPr="00D7022C" w:rsidRDefault="00234FA1" w:rsidP="00234FA1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Определен п</w:t>
            </w:r>
            <w:r w:rsidRPr="00D7022C">
              <w:rPr>
                <w:b/>
                <w:sz w:val="22"/>
                <w:szCs w:val="22"/>
              </w:rPr>
              <w:t>орядок уплаты премии на рынке СПФИ</w:t>
            </w:r>
          </w:p>
        </w:tc>
        <w:tc>
          <w:tcPr>
            <w:tcW w:w="2410" w:type="dxa"/>
          </w:tcPr>
          <w:p w:rsidR="00234FA1" w:rsidRPr="00D7022C" w:rsidRDefault="00234FA1" w:rsidP="00B10DD9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D7022C">
              <w:rPr>
                <w:sz w:val="22"/>
                <w:szCs w:val="22"/>
                <w:lang w:val="ru-RU"/>
              </w:rPr>
              <w:t>Пункт 27.8</w:t>
            </w:r>
            <w:r>
              <w:t xml:space="preserve"> </w:t>
            </w:r>
            <w:r w:rsidRPr="003D044A">
              <w:rPr>
                <w:sz w:val="22"/>
                <w:szCs w:val="22"/>
                <w:lang w:val="ru-RU"/>
              </w:rPr>
              <w:t xml:space="preserve">Правил клиринга </w:t>
            </w:r>
            <w:r>
              <w:rPr>
                <w:sz w:val="22"/>
                <w:szCs w:val="22"/>
                <w:lang w:val="ru-RU"/>
              </w:rPr>
              <w:t>н</w:t>
            </w:r>
            <w:r w:rsidRPr="003D044A">
              <w:rPr>
                <w:sz w:val="22"/>
                <w:szCs w:val="22"/>
                <w:lang w:val="ru-RU"/>
              </w:rPr>
              <w:t>а рынке СПФИ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824" w:type="dxa"/>
          </w:tcPr>
          <w:p w:rsidR="00234FA1" w:rsidRPr="00F81039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F81039">
              <w:rPr>
                <w:sz w:val="22"/>
                <w:szCs w:val="22"/>
                <w:lang w:val="ru-RU"/>
              </w:rPr>
              <w:t>Определен порядок перечисления премии Участникам клиринга</w:t>
            </w:r>
            <w:r w:rsidRPr="00F81039">
              <w:rPr>
                <w:sz w:val="22"/>
                <w:szCs w:val="22"/>
              </w:rPr>
              <w:t xml:space="preserve">, выполнившим условия, необходимые для </w:t>
            </w:r>
            <w:r>
              <w:rPr>
                <w:sz w:val="22"/>
                <w:szCs w:val="22"/>
              </w:rPr>
              <w:t>получения премии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3673" w:type="dxa"/>
          </w:tcPr>
          <w:p w:rsidR="00234FA1" w:rsidRPr="00BB54A9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BB54A9">
              <w:rPr>
                <w:color w:val="000000" w:themeColor="text1"/>
                <w:sz w:val="22"/>
                <w:szCs w:val="22"/>
              </w:rPr>
              <w:t>Участнику клиринга</w:t>
            </w:r>
            <w:r w:rsidRPr="00957572">
              <w:rPr>
                <w:color w:val="000000" w:themeColor="text1"/>
                <w:sz w:val="22"/>
                <w:szCs w:val="22"/>
              </w:rPr>
              <w:t>,</w:t>
            </w:r>
            <w:r w:rsidRPr="00BB54A9">
              <w:rPr>
                <w:sz w:val="22"/>
                <w:szCs w:val="22"/>
              </w:rPr>
              <w:t xml:space="preserve"> выполнивше</w:t>
            </w:r>
            <w:r>
              <w:rPr>
                <w:sz w:val="22"/>
                <w:szCs w:val="22"/>
              </w:rPr>
              <w:t>му</w:t>
            </w:r>
            <w:r w:rsidRPr="00BB54A9">
              <w:rPr>
                <w:sz w:val="22"/>
                <w:szCs w:val="22"/>
              </w:rPr>
              <w:t xml:space="preserve"> условия, необходимые для получения премии</w:t>
            </w:r>
            <w:r>
              <w:rPr>
                <w:sz w:val="22"/>
                <w:szCs w:val="22"/>
              </w:rPr>
              <w:t>,</w:t>
            </w:r>
            <w:r w:rsidRPr="00BB54A9">
              <w:rPr>
                <w:color w:val="000000" w:themeColor="text1"/>
                <w:sz w:val="22"/>
                <w:szCs w:val="22"/>
              </w:rPr>
              <w:t xml:space="preserve"> предоставлено право </w:t>
            </w:r>
            <w:r>
              <w:rPr>
                <w:color w:val="000000" w:themeColor="text1"/>
                <w:sz w:val="22"/>
                <w:szCs w:val="22"/>
              </w:rPr>
              <w:t>получения премии</w:t>
            </w:r>
            <w:r w:rsidRPr="00BB54A9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234FA1" w:rsidRPr="004C5B15" w:rsidTr="00026BE6">
        <w:trPr>
          <w:trHeight w:val="705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234FA1" w:rsidRPr="003D044A" w:rsidRDefault="00234FA1" w:rsidP="00234FA1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Изменен порядок в</w:t>
            </w:r>
            <w:r w:rsidRPr="003D044A">
              <w:rPr>
                <w:b/>
                <w:sz w:val="22"/>
                <w:szCs w:val="22"/>
              </w:rPr>
              <w:t>озврат</w:t>
            </w:r>
            <w:r>
              <w:rPr>
                <w:b/>
                <w:sz w:val="22"/>
                <w:szCs w:val="22"/>
              </w:rPr>
              <w:t>а</w:t>
            </w:r>
            <w:r w:rsidRPr="003D044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(уплаты) </w:t>
            </w:r>
            <w:r w:rsidRPr="003D044A">
              <w:rPr>
                <w:b/>
                <w:sz w:val="22"/>
                <w:szCs w:val="22"/>
              </w:rPr>
              <w:t xml:space="preserve">накопленной </w:t>
            </w:r>
            <w:r w:rsidRPr="00B4121A">
              <w:rPr>
                <w:b/>
                <w:sz w:val="22"/>
                <w:szCs w:val="22"/>
              </w:rPr>
              <w:lastRenderedPageBreak/>
              <w:t>депозитной маржи</w:t>
            </w:r>
            <w:r w:rsidRPr="00B4121A">
              <w:rPr>
                <w:b/>
                <w:color w:val="000000"/>
                <w:sz w:val="22"/>
                <w:szCs w:val="22"/>
              </w:rPr>
              <w:t xml:space="preserve"> по Расчетным кодам Единого пула</w:t>
            </w:r>
          </w:p>
        </w:tc>
        <w:tc>
          <w:tcPr>
            <w:tcW w:w="2410" w:type="dxa"/>
          </w:tcPr>
          <w:p w:rsidR="00234FA1" w:rsidRPr="00D7022C" w:rsidRDefault="00234FA1" w:rsidP="00B10DD9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Пункт 20.1, подпункт 21.2.1 </w:t>
            </w:r>
            <w:r w:rsidRPr="003D044A">
              <w:rPr>
                <w:sz w:val="22"/>
                <w:szCs w:val="22"/>
                <w:lang w:val="ru-RU"/>
              </w:rPr>
              <w:t xml:space="preserve">Правил клиринга </w:t>
            </w:r>
            <w:r>
              <w:rPr>
                <w:sz w:val="22"/>
                <w:szCs w:val="22"/>
                <w:lang w:val="ru-RU"/>
              </w:rPr>
              <w:t>н</w:t>
            </w:r>
            <w:r w:rsidRPr="003D044A">
              <w:rPr>
                <w:sz w:val="22"/>
                <w:szCs w:val="22"/>
                <w:lang w:val="ru-RU"/>
              </w:rPr>
              <w:t xml:space="preserve">а рынке </w:t>
            </w:r>
            <w:r w:rsidRPr="003D044A">
              <w:rPr>
                <w:sz w:val="22"/>
                <w:szCs w:val="22"/>
                <w:lang w:val="ru-RU"/>
              </w:rPr>
              <w:lastRenderedPageBreak/>
              <w:t>СПФИ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824" w:type="dxa"/>
          </w:tcPr>
          <w:p w:rsidR="00234FA1" w:rsidRPr="00B4121A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B4121A">
              <w:rPr>
                <w:sz w:val="22"/>
                <w:szCs w:val="22"/>
                <w:lang w:val="ru-RU"/>
              </w:rPr>
              <w:lastRenderedPageBreak/>
              <w:t xml:space="preserve">Установлено, что </w:t>
            </w:r>
            <w:r w:rsidRPr="00B4121A">
              <w:rPr>
                <w:color w:val="000000"/>
                <w:sz w:val="22"/>
                <w:szCs w:val="22"/>
              </w:rPr>
              <w:t>обязательства по возврату (уплате) накопленной депозитной маржи, учитываемые по Расчетным кодам Единого пула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r w:rsidRPr="00B4121A">
              <w:rPr>
                <w:color w:val="000000"/>
                <w:sz w:val="22"/>
                <w:szCs w:val="22"/>
                <w:lang w:val="ru-RU"/>
              </w:rPr>
              <w:t xml:space="preserve">определяются и </w:t>
            </w:r>
            <w:r w:rsidRPr="00B4121A">
              <w:rPr>
                <w:color w:val="000000"/>
                <w:sz w:val="22"/>
                <w:szCs w:val="22"/>
                <w:lang w:val="ru-RU"/>
              </w:rPr>
              <w:lastRenderedPageBreak/>
              <w:t xml:space="preserve">передаются </w:t>
            </w:r>
            <w:r w:rsidRPr="00B4121A">
              <w:rPr>
                <w:color w:val="000000"/>
                <w:sz w:val="22"/>
                <w:szCs w:val="22"/>
              </w:rPr>
              <w:t xml:space="preserve"> в Клиринговую систему фондового рынка и рынка депозитов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в сроки, установленные для   «ранних расчетов».</w:t>
            </w:r>
          </w:p>
        </w:tc>
        <w:tc>
          <w:tcPr>
            <w:tcW w:w="3673" w:type="dxa"/>
          </w:tcPr>
          <w:p w:rsidR="00234FA1" w:rsidRPr="004C5B15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У участников клиринга появляется право/</w:t>
            </w:r>
            <w:r w:rsidR="002D2342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обязанность получения/</w:t>
            </w:r>
            <w:r w:rsidR="002D2342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возврата </w:t>
            </w:r>
            <w:r w:rsidRPr="00B4121A">
              <w:rPr>
                <w:color w:val="000000"/>
                <w:sz w:val="22"/>
                <w:szCs w:val="22"/>
              </w:rPr>
              <w:t xml:space="preserve">накопленной депозитной </w:t>
            </w:r>
            <w:r w:rsidRPr="00B4121A">
              <w:rPr>
                <w:color w:val="000000"/>
                <w:sz w:val="22"/>
                <w:szCs w:val="22"/>
              </w:rPr>
              <w:lastRenderedPageBreak/>
              <w:t>маржи</w:t>
            </w:r>
            <w:r>
              <w:rPr>
                <w:color w:val="000000"/>
                <w:sz w:val="22"/>
                <w:szCs w:val="22"/>
              </w:rPr>
              <w:t xml:space="preserve"> до проведения клиринговой сессии (по Расчетным кодам Единого пула).</w:t>
            </w:r>
          </w:p>
        </w:tc>
      </w:tr>
      <w:tr w:rsidR="00234FA1" w:rsidRPr="004C5B15" w:rsidTr="00026BE6">
        <w:trPr>
          <w:trHeight w:val="705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234FA1" w:rsidRPr="003D044A" w:rsidRDefault="00234FA1" w:rsidP="00234FA1">
            <w:pPr>
              <w:pStyle w:val="a3"/>
              <w:numPr>
                <w:ilvl w:val="0"/>
                <w:numId w:val="1"/>
              </w:numPr>
              <w:ind w:left="30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Уточнены сроки определения подлежащих исполнению обязательств</w:t>
            </w:r>
            <w:r w:rsidRPr="003D044A">
              <w:rPr>
                <w:b/>
                <w:sz w:val="22"/>
                <w:szCs w:val="22"/>
              </w:rPr>
              <w:t xml:space="preserve"> на рынке СПФИ</w:t>
            </w:r>
            <w:r>
              <w:rPr>
                <w:b/>
                <w:sz w:val="22"/>
                <w:szCs w:val="22"/>
              </w:rPr>
              <w:t xml:space="preserve"> по Расчетным кодам, не являющимся расчетными кодами Единого пула</w:t>
            </w:r>
          </w:p>
        </w:tc>
        <w:tc>
          <w:tcPr>
            <w:tcW w:w="2410" w:type="dxa"/>
          </w:tcPr>
          <w:p w:rsidR="00234FA1" w:rsidRPr="00D7022C" w:rsidRDefault="00234FA1" w:rsidP="00B10DD9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Пункт 20.1, п</w:t>
            </w:r>
            <w:r w:rsidRPr="005449C0">
              <w:rPr>
                <w:sz w:val="22"/>
                <w:szCs w:val="22"/>
                <w:lang w:val="ru-RU"/>
              </w:rPr>
              <w:t xml:space="preserve">одпункт 21.2.1 Правил клиринга </w:t>
            </w:r>
            <w:r>
              <w:rPr>
                <w:sz w:val="22"/>
                <w:szCs w:val="22"/>
                <w:lang w:val="ru-RU"/>
              </w:rPr>
              <w:t>н</w:t>
            </w:r>
            <w:r w:rsidRPr="005449C0">
              <w:rPr>
                <w:sz w:val="22"/>
                <w:szCs w:val="22"/>
                <w:lang w:val="ru-RU"/>
              </w:rPr>
              <w:t>а рынке СПФИ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5824" w:type="dxa"/>
          </w:tcPr>
          <w:p w:rsidR="00234FA1" w:rsidRPr="00D276DF" w:rsidRDefault="00234FA1" w:rsidP="00B10DD9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B4121A">
              <w:rPr>
                <w:sz w:val="22"/>
                <w:szCs w:val="22"/>
                <w:lang w:val="ru-RU"/>
              </w:rPr>
              <w:t>Установлено,</w:t>
            </w:r>
            <w:r>
              <w:rPr>
                <w:sz w:val="22"/>
                <w:szCs w:val="22"/>
                <w:lang w:val="ru-RU"/>
              </w:rPr>
              <w:t xml:space="preserve"> что определение подлежащих исполнению обязательств раньше времени проведения клиринговых сессии </w:t>
            </w:r>
            <w:r w:rsidRPr="00D276DF">
              <w:rPr>
                <w:sz w:val="22"/>
                <w:szCs w:val="22"/>
              </w:rPr>
              <w:t xml:space="preserve">на рынке СПФИ </w:t>
            </w:r>
            <w:r>
              <w:rPr>
                <w:sz w:val="22"/>
                <w:szCs w:val="22"/>
                <w:lang w:val="ru-RU"/>
              </w:rPr>
              <w:t>осуществляется</w:t>
            </w:r>
            <w:r w:rsidRPr="00D276DF">
              <w:rPr>
                <w:sz w:val="22"/>
                <w:szCs w:val="22"/>
              </w:rPr>
              <w:t xml:space="preserve"> только по Расчетным кодам Единого пула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3673" w:type="dxa"/>
          </w:tcPr>
          <w:p w:rsidR="00234FA1" w:rsidRPr="004C5B15" w:rsidRDefault="00234FA1" w:rsidP="00B10DD9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FB44B4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7521A0" w:rsidRDefault="007521A0"/>
    <w:p w:rsidR="00066EFB" w:rsidRPr="00094DA7" w:rsidRDefault="00066EFB" w:rsidP="008B71D6">
      <w:pPr>
        <w:spacing w:after="120"/>
        <w:rPr>
          <w:b/>
        </w:rPr>
      </w:pPr>
      <w:r w:rsidRPr="00094DA7">
        <w:rPr>
          <w:b/>
        </w:rPr>
        <w:t>Изменения в Тарифы</w:t>
      </w:r>
    </w:p>
    <w:p w:rsidR="00F24F28" w:rsidRDefault="00F24F28" w:rsidP="008B71D6">
      <w:pPr>
        <w:pStyle w:val="a3"/>
        <w:numPr>
          <w:ilvl w:val="0"/>
          <w:numId w:val="5"/>
        </w:numPr>
        <w:spacing w:after="120"/>
        <w:ind w:left="714" w:hanging="357"/>
        <w:jc w:val="both"/>
      </w:pPr>
      <w:r>
        <w:t xml:space="preserve">Предусмотрено </w:t>
      </w:r>
      <w:r w:rsidRPr="00F24F28">
        <w:t>комиссионно</w:t>
      </w:r>
      <w:r>
        <w:t>е</w:t>
      </w:r>
      <w:r w:rsidRPr="00F24F28">
        <w:t xml:space="preserve"> вознаграждени</w:t>
      </w:r>
      <w:r>
        <w:t xml:space="preserve">е на срочном рынке </w:t>
      </w:r>
      <w:r w:rsidRPr="00F24F28">
        <w:t>за клиринговые услуги по корректировке свободного обеспечения по разделу</w:t>
      </w:r>
      <w:r>
        <w:t xml:space="preserve"> (Раздел </w:t>
      </w:r>
      <w:r>
        <w:rPr>
          <w:lang w:val="en-US"/>
        </w:rPr>
        <w:t>V</w:t>
      </w:r>
      <w:r>
        <w:t xml:space="preserve"> пункт 12</w:t>
      </w:r>
      <w:r w:rsidRPr="00F24F28">
        <w:t>)</w:t>
      </w:r>
      <w:r w:rsidR="008B71D6">
        <w:t>. – дата вступления в силу данной новации будет определена позднее отдельным решением НКЦ.</w:t>
      </w:r>
    </w:p>
    <w:p w:rsidR="00F24F28" w:rsidRPr="00F24F28" w:rsidRDefault="00F24F28" w:rsidP="008B71D6">
      <w:pPr>
        <w:pStyle w:val="a3"/>
        <w:numPr>
          <w:ilvl w:val="0"/>
          <w:numId w:val="5"/>
        </w:numPr>
        <w:jc w:val="both"/>
      </w:pPr>
      <w:r w:rsidRPr="00F24F28">
        <w:t>Введен</w:t>
      </w:r>
      <w:r>
        <w:t>а</w:t>
      </w:r>
      <w:r w:rsidRPr="00F24F28">
        <w:t xml:space="preserve"> преми</w:t>
      </w:r>
      <w:r>
        <w:t>я</w:t>
      </w:r>
      <w:r w:rsidRPr="00F24F28">
        <w:t xml:space="preserve"> по внебиржевым Договорам СПФИ </w:t>
      </w:r>
      <w:r w:rsidR="008B71D6">
        <w:t xml:space="preserve">(Раздел </w:t>
      </w:r>
      <w:r w:rsidR="008B71D6">
        <w:rPr>
          <w:lang w:val="en-US"/>
        </w:rPr>
        <w:t>VII</w:t>
      </w:r>
      <w:r w:rsidR="008B71D6">
        <w:t xml:space="preserve"> сноска 1). </w:t>
      </w:r>
      <w:r w:rsidR="008B71D6" w:rsidRPr="008B71D6">
        <w:t xml:space="preserve">Условия и порядок предоставления премии по внебиржевым Договорам СПФИ (за исключением Аукционных договоров) представлен в Тарифах Клирингового центра и Маркетинговой программе по внебиржевым сделкам СПФИ, раскрываемой на Сайте Клирингового центра (www.nationalclearingcentre.ru)  </w:t>
      </w:r>
    </w:p>
    <w:p w:rsidR="00B97A00" w:rsidRDefault="00B97A00" w:rsidP="00F24F28">
      <w:pPr>
        <w:pStyle w:val="a3"/>
        <w:ind w:left="720"/>
      </w:pPr>
    </w:p>
    <w:p w:rsidR="00094DA7" w:rsidRDefault="00B97A00" w:rsidP="00B97A00">
      <w:pPr>
        <w:spacing w:after="120"/>
      </w:pPr>
      <w:r w:rsidRPr="00094DA7">
        <w:rPr>
          <w:b/>
        </w:rPr>
        <w:t xml:space="preserve">Изменения в Формы и форматы </w:t>
      </w:r>
      <w:r w:rsidR="00094DA7" w:rsidRPr="00094DA7">
        <w:rPr>
          <w:b/>
        </w:rPr>
        <w:t>документов и отчетов</w:t>
      </w:r>
    </w:p>
    <w:p w:rsidR="00094DA7" w:rsidRDefault="00094DA7" w:rsidP="00110571">
      <w:pPr>
        <w:pStyle w:val="a3"/>
        <w:numPr>
          <w:ilvl w:val="0"/>
          <w:numId w:val="10"/>
        </w:numPr>
        <w:spacing w:after="120"/>
      </w:pPr>
      <w:r>
        <w:t>Общая часть форм и форматов документов отчетов</w:t>
      </w:r>
    </w:p>
    <w:p w:rsidR="00094DA7" w:rsidRPr="00094DA7" w:rsidRDefault="00094DA7" w:rsidP="00094DA7">
      <w:pPr>
        <w:pStyle w:val="a3"/>
        <w:numPr>
          <w:ilvl w:val="0"/>
          <w:numId w:val="9"/>
        </w:numPr>
        <w:rPr>
          <w:sz w:val="22"/>
          <w:szCs w:val="22"/>
        </w:rPr>
      </w:pPr>
      <w:r>
        <w:t>дополнен</w:t>
      </w:r>
      <w:r>
        <w:t>а</w:t>
      </w:r>
      <w:r>
        <w:t xml:space="preserve"> документами для предоставления </w:t>
      </w:r>
      <w:r>
        <w:t>У</w:t>
      </w:r>
      <w:r>
        <w:t>частниками клиринга для целей налогового агентирования:</w:t>
      </w:r>
    </w:p>
    <w:p w:rsidR="00094DA7" w:rsidRPr="00094DA7" w:rsidRDefault="00094DA7" w:rsidP="00094DA7">
      <w:pPr>
        <w:spacing w:before="120"/>
        <w:ind w:firstLine="709"/>
        <w:rPr>
          <w:i/>
        </w:rPr>
      </w:pPr>
      <w:r w:rsidRPr="00094DA7">
        <w:rPr>
          <w:i/>
        </w:rPr>
        <w:t xml:space="preserve">Письмо-подтверждение о наличии фактического права на получаемый доход          </w:t>
      </w:r>
    </w:p>
    <w:p w:rsidR="00094DA7" w:rsidRPr="00094DA7" w:rsidRDefault="00094DA7" w:rsidP="00094DA7">
      <w:pPr>
        <w:ind w:firstLine="708"/>
        <w:rPr>
          <w:i/>
        </w:rPr>
      </w:pPr>
      <w:r w:rsidRPr="00094DA7">
        <w:rPr>
          <w:i/>
        </w:rPr>
        <w:t xml:space="preserve">Письмо-подтверждение об отсутствии фактического права на получаемый доход   </w:t>
      </w:r>
    </w:p>
    <w:p w:rsidR="00094DA7" w:rsidRPr="00094DA7" w:rsidRDefault="00094DA7" w:rsidP="00094DA7">
      <w:pPr>
        <w:ind w:firstLine="708"/>
        <w:rPr>
          <w:i/>
        </w:rPr>
      </w:pPr>
      <w:r w:rsidRPr="00094DA7">
        <w:rPr>
          <w:i/>
        </w:rPr>
        <w:t xml:space="preserve">Письмо-подтверждение о наличии у фактического получателя дохода фактического права на получаемый доход      </w:t>
      </w:r>
    </w:p>
    <w:p w:rsidR="00094DA7" w:rsidRPr="00094DA7" w:rsidRDefault="00094DA7" w:rsidP="00094DA7">
      <w:pPr>
        <w:ind w:firstLine="708"/>
        <w:rPr>
          <w:i/>
        </w:rPr>
      </w:pPr>
      <w:r w:rsidRPr="00094DA7">
        <w:rPr>
          <w:i/>
        </w:rPr>
        <w:t xml:space="preserve">Анкета для налоговых целей (без применения ДИДН)             </w:t>
      </w:r>
    </w:p>
    <w:p w:rsidR="00094DA7" w:rsidRPr="00094DA7" w:rsidRDefault="00094DA7" w:rsidP="00094DA7">
      <w:pPr>
        <w:spacing w:after="120"/>
        <w:ind w:firstLine="708"/>
        <w:rPr>
          <w:i/>
        </w:rPr>
      </w:pPr>
      <w:r w:rsidRPr="00094DA7">
        <w:rPr>
          <w:i/>
        </w:rPr>
        <w:t>Анкета для налоговых целей (с применением ДИДН)              </w:t>
      </w:r>
    </w:p>
    <w:p w:rsidR="00094DA7" w:rsidRDefault="00094DA7" w:rsidP="00094DA7">
      <w:pPr>
        <w:pStyle w:val="a3"/>
        <w:numPr>
          <w:ilvl w:val="0"/>
          <w:numId w:val="9"/>
        </w:numPr>
        <w:spacing w:after="120"/>
      </w:pPr>
      <w:r>
        <w:lastRenderedPageBreak/>
        <w:t>из Форм и форматов на валютном рынке и рынке драгоценных металлов перенесены в Общую часть следующие форматы сообщений ЭДО</w:t>
      </w:r>
      <w:r w:rsidR="00110571">
        <w:t xml:space="preserve"> (предусмотрены для вечерней (дополнительной) торговой сессии на фондовом рынке, будут действовать для фондового рынка с 22.06.20)</w:t>
      </w:r>
      <w:r>
        <w:t>:</w:t>
      </w:r>
    </w:p>
    <w:p w:rsidR="00094DA7" w:rsidRPr="00094DA7" w:rsidRDefault="00094DA7" w:rsidP="00094DA7">
      <w:pPr>
        <w:ind w:firstLine="708"/>
        <w:rPr>
          <w:i/>
        </w:rPr>
      </w:pPr>
      <w:r w:rsidRPr="00094DA7">
        <w:rPr>
          <w:i/>
        </w:rPr>
        <w:t xml:space="preserve">- Запрос на раннее завершение заключения сделок с Клиринговым центром </w:t>
      </w:r>
      <w:r>
        <w:rPr>
          <w:i/>
        </w:rPr>
        <w:t>(</w:t>
      </w:r>
      <w:r w:rsidRPr="00094DA7">
        <w:rPr>
          <w:i/>
        </w:rPr>
        <w:t>EFINRQ</w:t>
      </w:r>
      <w:r>
        <w:rPr>
          <w:i/>
        </w:rPr>
        <w:t>)</w:t>
      </w:r>
    </w:p>
    <w:p w:rsidR="00094DA7" w:rsidRPr="00094DA7" w:rsidRDefault="00094DA7" w:rsidP="00094DA7">
      <w:pPr>
        <w:ind w:firstLine="708"/>
        <w:rPr>
          <w:i/>
        </w:rPr>
      </w:pPr>
      <w:r w:rsidRPr="00094DA7">
        <w:rPr>
          <w:i/>
        </w:rPr>
        <w:t xml:space="preserve">- Постоянное поручение на раннее завершение заключения сделок с Клиринговым центром </w:t>
      </w:r>
      <w:r>
        <w:rPr>
          <w:i/>
        </w:rPr>
        <w:t>(</w:t>
      </w:r>
      <w:r w:rsidRPr="00094DA7">
        <w:rPr>
          <w:i/>
        </w:rPr>
        <w:t>EFINORD</w:t>
      </w:r>
      <w:r>
        <w:rPr>
          <w:i/>
        </w:rPr>
        <w:t>)</w:t>
      </w:r>
    </w:p>
    <w:p w:rsidR="00094DA7" w:rsidRPr="00094DA7" w:rsidRDefault="00094DA7" w:rsidP="00094DA7">
      <w:pPr>
        <w:ind w:firstLine="708"/>
        <w:rPr>
          <w:i/>
        </w:rPr>
      </w:pPr>
      <w:r w:rsidRPr="00094DA7">
        <w:rPr>
          <w:i/>
        </w:rPr>
        <w:t xml:space="preserve">- Запрос об отмене Постоянного поручения на раннее завершение заключения сделок с Клиринговым центром </w:t>
      </w:r>
      <w:r>
        <w:rPr>
          <w:i/>
        </w:rPr>
        <w:t>(</w:t>
      </w:r>
      <w:r w:rsidRPr="00094DA7">
        <w:rPr>
          <w:i/>
        </w:rPr>
        <w:t>EFINORDDEL</w:t>
      </w:r>
      <w:r>
        <w:rPr>
          <w:i/>
        </w:rPr>
        <w:t>)</w:t>
      </w:r>
    </w:p>
    <w:p w:rsidR="00094DA7" w:rsidRDefault="00094DA7" w:rsidP="00B97A00">
      <w:pPr>
        <w:spacing w:after="120"/>
      </w:pPr>
    </w:p>
    <w:p w:rsidR="00F24F28" w:rsidRDefault="00110571" w:rsidP="00110571">
      <w:pPr>
        <w:pStyle w:val="a3"/>
        <w:numPr>
          <w:ilvl w:val="0"/>
          <w:numId w:val="10"/>
        </w:numPr>
        <w:spacing w:after="120"/>
      </w:pPr>
      <w:r>
        <w:t xml:space="preserve">Формы и форматы </w:t>
      </w:r>
      <w:r w:rsidR="00B97A00">
        <w:t>на рынке Стандартизированных ПФИ</w:t>
      </w:r>
    </w:p>
    <w:p w:rsidR="00110571" w:rsidRDefault="00110571" w:rsidP="00B97A00">
      <w:pPr>
        <w:pStyle w:val="a3"/>
        <w:numPr>
          <w:ilvl w:val="0"/>
          <w:numId w:val="6"/>
        </w:numPr>
      </w:pPr>
      <w:r>
        <w:t xml:space="preserve">Дополнены </w:t>
      </w:r>
      <w:bookmarkStart w:id="1" w:name="_Toc34134193"/>
      <w:r w:rsidRPr="00110571">
        <w:rPr>
          <w:i/>
        </w:rPr>
        <w:t>Письмо</w:t>
      </w:r>
      <w:r w:rsidRPr="00110571">
        <w:rPr>
          <w:i/>
        </w:rPr>
        <w:t>м</w:t>
      </w:r>
      <w:r w:rsidRPr="00110571">
        <w:rPr>
          <w:i/>
        </w:rPr>
        <w:t xml:space="preserve"> об ознакомлении с Декларацией</w:t>
      </w:r>
      <w:bookmarkEnd w:id="1"/>
      <w:r w:rsidRPr="00110571">
        <w:rPr>
          <w:i/>
        </w:rPr>
        <w:t xml:space="preserve"> о рисках</w:t>
      </w:r>
    </w:p>
    <w:p w:rsidR="000C3A1B" w:rsidRDefault="00B97A00" w:rsidP="00B97A00">
      <w:pPr>
        <w:pStyle w:val="a3"/>
        <w:numPr>
          <w:ilvl w:val="0"/>
          <w:numId w:val="6"/>
        </w:numPr>
      </w:pPr>
      <w:r>
        <w:t>В Клиринговый отчет внесен</w:t>
      </w:r>
      <w:r w:rsidR="000C3A1B">
        <w:t>ы</w:t>
      </w:r>
      <w:r>
        <w:t xml:space="preserve"> </w:t>
      </w:r>
      <w:r w:rsidR="000C3A1B">
        <w:t>следующие изменения:</w:t>
      </w:r>
    </w:p>
    <w:p w:rsidR="00B97A00" w:rsidRDefault="00B97A00" w:rsidP="000C3A1B">
      <w:pPr>
        <w:pStyle w:val="a3"/>
        <w:numPr>
          <w:ilvl w:val="0"/>
          <w:numId w:val="7"/>
        </w:numPr>
      </w:pPr>
      <w:r>
        <w:t>редакционная правка</w:t>
      </w:r>
      <w:r w:rsidR="000C3A1B">
        <w:t xml:space="preserve">: </w:t>
      </w:r>
      <w:r>
        <w:t xml:space="preserve">поле </w:t>
      </w:r>
      <w:r w:rsidR="000C3A1B" w:rsidRPr="000C3A1B">
        <w:t xml:space="preserve">«Суммарная оценка» </w:t>
      </w:r>
      <w:r w:rsidR="000C3A1B">
        <w:t>переименовано в</w:t>
      </w:r>
      <w:r w:rsidR="000C3A1B" w:rsidRPr="000C3A1B">
        <w:t xml:space="preserve"> «Оценка Обеспечения без Риск-</w:t>
      </w:r>
      <w:proofErr w:type="spellStart"/>
      <w:r w:rsidR="000C3A1B" w:rsidRPr="000C3A1B">
        <w:t>Неттинга</w:t>
      </w:r>
      <w:proofErr w:type="spellEnd"/>
      <w:r w:rsidR="000C3A1B" w:rsidRPr="000C3A1B">
        <w:t>»</w:t>
      </w:r>
      <w:r w:rsidR="000C3A1B">
        <w:t>;</w:t>
      </w:r>
    </w:p>
    <w:p w:rsidR="000C3A1B" w:rsidRPr="00B97A00" w:rsidRDefault="000C3A1B" w:rsidP="000C3A1B">
      <w:pPr>
        <w:pStyle w:val="a3"/>
        <w:numPr>
          <w:ilvl w:val="0"/>
          <w:numId w:val="7"/>
        </w:numPr>
      </w:pPr>
      <w:r>
        <w:t xml:space="preserve">добавлено поле </w:t>
      </w:r>
      <w:r w:rsidRPr="000C3A1B">
        <w:t xml:space="preserve">«Оценка Обеспечения </w:t>
      </w:r>
      <w:r w:rsidR="00110571">
        <w:t>(</w:t>
      </w:r>
      <w:r w:rsidRPr="000C3A1B">
        <w:t>включа</w:t>
      </w:r>
      <w:r w:rsidR="00110571">
        <w:t>ет</w:t>
      </w:r>
      <w:r w:rsidRPr="000C3A1B">
        <w:t xml:space="preserve"> Риск-</w:t>
      </w:r>
      <w:proofErr w:type="spellStart"/>
      <w:r w:rsidRPr="000C3A1B">
        <w:t>Неттинг</w:t>
      </w:r>
      <w:proofErr w:type="spellEnd"/>
      <w:r w:rsidR="00110571">
        <w:t>)</w:t>
      </w:r>
      <w:bookmarkStart w:id="2" w:name="_GoBack"/>
      <w:bookmarkEnd w:id="2"/>
      <w:r w:rsidRPr="000C3A1B">
        <w:t>»</w:t>
      </w:r>
      <w:r>
        <w:t>.</w:t>
      </w:r>
    </w:p>
    <w:sectPr w:rsidR="000C3A1B" w:rsidRPr="00B97A00" w:rsidSect="00234F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2422B"/>
    <w:multiLevelType w:val="hybridMultilevel"/>
    <w:tmpl w:val="15F6E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77861"/>
    <w:multiLevelType w:val="hybridMultilevel"/>
    <w:tmpl w:val="E258F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9A0CC4"/>
    <w:multiLevelType w:val="hybridMultilevel"/>
    <w:tmpl w:val="F460A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C04DD"/>
    <w:multiLevelType w:val="hybridMultilevel"/>
    <w:tmpl w:val="7480F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70E8D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21236"/>
    <w:multiLevelType w:val="hybridMultilevel"/>
    <w:tmpl w:val="255A5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30D56"/>
    <w:multiLevelType w:val="hybridMultilevel"/>
    <w:tmpl w:val="548A9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37E4B"/>
    <w:multiLevelType w:val="hybridMultilevel"/>
    <w:tmpl w:val="59E056B4"/>
    <w:lvl w:ilvl="0" w:tplc="AD5C186E">
      <w:start w:val="1"/>
      <w:numFmt w:val="decimal"/>
      <w:lvlText w:val="%1)"/>
      <w:lvlJc w:val="left"/>
      <w:pPr>
        <w:ind w:left="29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7" w15:restartNumberingAfterBreak="0">
    <w:nsid w:val="7D365601"/>
    <w:multiLevelType w:val="hybridMultilevel"/>
    <w:tmpl w:val="21122FE8"/>
    <w:lvl w:ilvl="0" w:tplc="FFFFFFFF">
      <w:start w:val="1"/>
      <w:numFmt w:val="decimal"/>
      <w:pStyle w:val="Pointnumb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D6B3E18"/>
    <w:multiLevelType w:val="hybridMultilevel"/>
    <w:tmpl w:val="E1DAF2F8"/>
    <w:lvl w:ilvl="0" w:tplc="AD26FB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A1"/>
    <w:rsid w:val="00026BE6"/>
    <w:rsid w:val="00066EFB"/>
    <w:rsid w:val="00094DA7"/>
    <w:rsid w:val="000C3A1B"/>
    <w:rsid w:val="00110571"/>
    <w:rsid w:val="001815F0"/>
    <w:rsid w:val="00234FA1"/>
    <w:rsid w:val="002678B8"/>
    <w:rsid w:val="002D2342"/>
    <w:rsid w:val="00494199"/>
    <w:rsid w:val="007521A0"/>
    <w:rsid w:val="008B71D6"/>
    <w:rsid w:val="00B97A00"/>
    <w:rsid w:val="00F10FF5"/>
    <w:rsid w:val="00F2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6AB9"/>
  <w15:chartTrackingRefBased/>
  <w15:docId w15:val="{02B42993-FDEB-40A2-95D1-706AFFD7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4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FA1"/>
    <w:pPr>
      <w:ind w:left="708"/>
    </w:pPr>
  </w:style>
  <w:style w:type="paragraph" w:customStyle="1" w:styleId="a4">
    <w:name w:val="Подпункт"/>
    <w:basedOn w:val="a"/>
    <w:qFormat/>
    <w:rsid w:val="00234FA1"/>
    <w:pPr>
      <w:tabs>
        <w:tab w:val="left" w:pos="851"/>
      </w:tabs>
      <w:spacing w:before="60"/>
      <w:ind w:left="470" w:hanging="360"/>
      <w:jc w:val="both"/>
    </w:pPr>
    <w:rPr>
      <w:rFonts w:eastAsia="Calibri"/>
      <w:lang w:eastAsia="en-US"/>
    </w:rPr>
  </w:style>
  <w:style w:type="table" w:styleId="a5">
    <w:name w:val="Table Grid"/>
    <w:basedOn w:val="a1"/>
    <w:rsid w:val="00234F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">
    <w:name w:val="Text tab"/>
    <w:basedOn w:val="a"/>
    <w:link w:val="Texttab0"/>
    <w:qFormat/>
    <w:rsid w:val="00234FA1"/>
    <w:pPr>
      <w:widowControl w:val="0"/>
      <w:tabs>
        <w:tab w:val="right" w:pos="851"/>
      </w:tabs>
      <w:adjustRightInd w:val="0"/>
      <w:spacing w:before="60"/>
      <w:ind w:left="851"/>
      <w:jc w:val="both"/>
      <w:textAlignment w:val="baseline"/>
    </w:pPr>
    <w:rPr>
      <w:iCs/>
      <w:noProof/>
      <w:lang w:val="x-none" w:eastAsia="x-none"/>
    </w:rPr>
  </w:style>
  <w:style w:type="character" w:customStyle="1" w:styleId="Texttab0">
    <w:name w:val="Text tab Знак"/>
    <w:link w:val="Texttab"/>
    <w:rsid w:val="00234FA1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paragraph" w:customStyle="1" w:styleId="Pointnumber">
    <w:name w:val="Point_number"/>
    <w:basedOn w:val="a"/>
    <w:qFormat/>
    <w:rsid w:val="00234FA1"/>
    <w:pPr>
      <w:widowControl w:val="0"/>
      <w:numPr>
        <w:numId w:val="2"/>
      </w:numPr>
      <w:tabs>
        <w:tab w:val="left" w:pos="1418"/>
      </w:tabs>
      <w:adjustRightInd w:val="0"/>
      <w:spacing w:before="60"/>
      <w:jc w:val="both"/>
      <w:textAlignment w:val="baseline"/>
    </w:pPr>
    <w:rPr>
      <w:rFonts w:cs="Arial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1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Криворотова Ольга Владимировна</dc:creator>
  <cp:keywords/>
  <dc:description/>
  <cp:lastModifiedBy>Криворотова Ольга Владимировна</cp:lastModifiedBy>
  <cp:revision>3</cp:revision>
  <dcterms:created xsi:type="dcterms:W3CDTF">2020-04-27T15:26:00Z</dcterms:created>
  <dcterms:modified xsi:type="dcterms:W3CDTF">2020-04-28T18:37:00Z</dcterms:modified>
</cp:coreProperties>
</file>