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9"/>
        <w:tblW w:w="16160" w:type="dxa"/>
        <w:tblInd w:w="-572" w:type="dxa"/>
        <w:tblLook w:val="04A0" w:firstRow="1" w:lastRow="0" w:firstColumn="1" w:lastColumn="0" w:noHBand="0" w:noVBand="1"/>
      </w:tblPr>
      <w:tblGrid>
        <w:gridCol w:w="3254"/>
        <w:gridCol w:w="2536"/>
        <w:gridCol w:w="7393"/>
        <w:gridCol w:w="2977"/>
      </w:tblGrid>
      <w:tr w:rsidR="003458ED" w:rsidRPr="00A1341A" w:rsidTr="00093EA9">
        <w:trPr>
          <w:trHeight w:val="846"/>
        </w:trPr>
        <w:tc>
          <w:tcPr>
            <w:tcW w:w="3254" w:type="dxa"/>
            <w:shd w:val="clear" w:color="auto" w:fill="C0504D" w:themeFill="accent2"/>
            <w:vAlign w:val="center"/>
          </w:tcPr>
          <w:p w:rsidR="00A1341A" w:rsidRPr="00A1341A" w:rsidRDefault="00A1341A" w:rsidP="00A1341A">
            <w:pPr>
              <w:spacing w:before="240" w:after="240"/>
              <w:jc w:val="center"/>
              <w:rPr>
                <w:rFonts w:ascii="Arial" w:hAnsi="Arial" w:cs="Arial"/>
                <w:b/>
                <w:color w:val="000000" w:themeColor="text1"/>
                <w:sz w:val="22"/>
                <w:szCs w:val="22"/>
              </w:rPr>
            </w:pPr>
            <w:r w:rsidRPr="00A1341A">
              <w:rPr>
                <w:rFonts w:ascii="Arial" w:hAnsi="Arial" w:cs="Arial"/>
                <w:b/>
                <w:color w:val="000000" w:themeColor="text1"/>
                <w:sz w:val="22"/>
                <w:szCs w:val="22"/>
              </w:rPr>
              <w:t>Изменения</w:t>
            </w:r>
          </w:p>
        </w:tc>
        <w:tc>
          <w:tcPr>
            <w:tcW w:w="2536" w:type="dxa"/>
            <w:shd w:val="clear" w:color="auto" w:fill="C0504D" w:themeFill="accent2"/>
            <w:vAlign w:val="center"/>
          </w:tcPr>
          <w:p w:rsidR="00A1341A" w:rsidRPr="00A1341A" w:rsidRDefault="00A1341A" w:rsidP="00A1341A">
            <w:pPr>
              <w:spacing w:before="240" w:after="240"/>
              <w:ind w:right="-96"/>
              <w:jc w:val="center"/>
              <w:rPr>
                <w:rFonts w:ascii="Arial" w:hAnsi="Arial" w:cs="Arial"/>
                <w:b/>
                <w:color w:val="000000" w:themeColor="text1"/>
                <w:sz w:val="22"/>
                <w:szCs w:val="22"/>
              </w:rPr>
            </w:pPr>
            <w:r w:rsidRPr="00A1341A">
              <w:rPr>
                <w:rFonts w:ascii="Arial" w:hAnsi="Arial" w:cs="Arial"/>
                <w:b/>
                <w:color w:val="000000" w:themeColor="text1"/>
                <w:sz w:val="22"/>
                <w:szCs w:val="22"/>
              </w:rPr>
              <w:t xml:space="preserve">Пункт </w:t>
            </w:r>
            <w:r w:rsidRPr="00A1341A">
              <w:rPr>
                <w:rFonts w:ascii="Arial" w:hAnsi="Arial" w:cs="Arial"/>
                <w:b/>
                <w:color w:val="000000" w:themeColor="text1"/>
                <w:sz w:val="22"/>
                <w:szCs w:val="22"/>
              </w:rPr>
              <w:br/>
              <w:t>Правил клиринга</w:t>
            </w:r>
          </w:p>
        </w:tc>
        <w:tc>
          <w:tcPr>
            <w:tcW w:w="7393" w:type="dxa"/>
            <w:shd w:val="clear" w:color="auto" w:fill="C0504D" w:themeFill="accent2"/>
            <w:vAlign w:val="center"/>
          </w:tcPr>
          <w:p w:rsidR="00A1341A" w:rsidRPr="00A1341A" w:rsidRDefault="00A1341A" w:rsidP="00A1341A">
            <w:pPr>
              <w:spacing w:before="240" w:after="240"/>
              <w:jc w:val="center"/>
              <w:rPr>
                <w:rFonts w:ascii="Arial" w:hAnsi="Arial" w:cs="Arial"/>
                <w:b/>
                <w:color w:val="000000" w:themeColor="text1"/>
                <w:sz w:val="22"/>
                <w:szCs w:val="22"/>
              </w:rPr>
            </w:pPr>
            <w:r w:rsidRPr="00A1341A">
              <w:rPr>
                <w:rFonts w:ascii="Arial" w:hAnsi="Arial" w:cs="Arial"/>
                <w:b/>
                <w:color w:val="000000" w:themeColor="text1"/>
                <w:sz w:val="22"/>
                <w:szCs w:val="22"/>
              </w:rPr>
              <w:t>Описание изменений</w:t>
            </w:r>
          </w:p>
        </w:tc>
        <w:tc>
          <w:tcPr>
            <w:tcW w:w="2977" w:type="dxa"/>
            <w:shd w:val="clear" w:color="auto" w:fill="C0504D" w:themeFill="accent2"/>
            <w:vAlign w:val="center"/>
          </w:tcPr>
          <w:p w:rsidR="00A1341A" w:rsidRPr="00A1341A" w:rsidRDefault="00A1341A" w:rsidP="00A1341A">
            <w:pPr>
              <w:spacing w:before="240" w:after="240"/>
              <w:jc w:val="center"/>
              <w:rPr>
                <w:rFonts w:ascii="Arial" w:hAnsi="Arial" w:cs="Arial"/>
                <w:b/>
                <w:color w:val="000000" w:themeColor="text1"/>
                <w:sz w:val="22"/>
                <w:szCs w:val="22"/>
              </w:rPr>
            </w:pPr>
            <w:r w:rsidRPr="00A1341A">
              <w:rPr>
                <w:rFonts w:ascii="Arial" w:hAnsi="Arial" w:cs="Arial"/>
                <w:b/>
                <w:color w:val="000000" w:themeColor="text1"/>
                <w:sz w:val="22"/>
                <w:szCs w:val="22"/>
              </w:rPr>
              <w:t xml:space="preserve">Влияние на права и обязанности </w:t>
            </w:r>
            <w:r w:rsidRPr="00A1341A">
              <w:rPr>
                <w:rFonts w:ascii="Arial" w:hAnsi="Arial" w:cs="Arial"/>
                <w:b/>
                <w:color w:val="000000" w:themeColor="text1"/>
                <w:sz w:val="22"/>
                <w:szCs w:val="22"/>
              </w:rPr>
              <w:br/>
              <w:t>Участников клиринга</w:t>
            </w:r>
          </w:p>
        </w:tc>
      </w:tr>
      <w:tr w:rsidR="003458ED" w:rsidRPr="00A1341A" w:rsidTr="00093EA9">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Возможность возврата части депозита и пополнения</w:t>
            </w:r>
          </w:p>
          <w:p w:rsidR="00751389" w:rsidRDefault="00751389" w:rsidP="00751389">
            <w:pPr>
              <w:spacing w:before="120" w:after="120"/>
              <w:rPr>
                <w:rFonts w:ascii="Arial" w:hAnsi="Arial" w:cs="Arial"/>
                <w:b/>
                <w:color w:val="000000" w:themeColor="text1"/>
                <w:sz w:val="22"/>
                <w:szCs w:val="22"/>
              </w:rPr>
            </w:pPr>
          </w:p>
          <w:p w:rsidR="00751389" w:rsidRPr="00CD3BA1" w:rsidRDefault="00751389" w:rsidP="00751389">
            <w:pPr>
              <w:spacing w:before="120" w:after="120"/>
              <w:rPr>
                <w:rFonts w:ascii="Arial" w:hAnsi="Arial" w:cs="Arial"/>
                <w:b/>
                <w:color w:val="000000" w:themeColor="text1"/>
                <w:sz w:val="22"/>
                <w:szCs w:val="22"/>
              </w:rPr>
            </w:pPr>
            <w:r w:rsidRPr="00751389">
              <w:rPr>
                <w:rFonts w:ascii="Arial" w:hAnsi="Arial" w:cs="Arial"/>
                <w:b/>
                <w:color w:val="FF0000"/>
                <w:sz w:val="22"/>
                <w:szCs w:val="22"/>
              </w:rPr>
              <w:t xml:space="preserve">(реализация </w:t>
            </w:r>
            <w:r w:rsidR="00CD3BA1">
              <w:rPr>
                <w:rFonts w:ascii="Arial" w:hAnsi="Arial" w:cs="Arial"/>
                <w:b/>
                <w:color w:val="FF0000"/>
                <w:sz w:val="22"/>
                <w:szCs w:val="22"/>
              </w:rPr>
              <w:t xml:space="preserve">планируется </w:t>
            </w:r>
            <w:r w:rsidR="00CA44DC">
              <w:rPr>
                <w:rFonts w:ascii="Arial" w:hAnsi="Arial" w:cs="Arial"/>
                <w:b/>
                <w:color w:val="FF0000"/>
                <w:sz w:val="22"/>
                <w:szCs w:val="22"/>
              </w:rPr>
              <w:t>в течение 2019</w:t>
            </w:r>
            <w:r w:rsidR="00CD3BA1">
              <w:rPr>
                <w:rFonts w:ascii="Arial" w:hAnsi="Arial" w:cs="Arial"/>
                <w:b/>
                <w:color w:val="FF0000"/>
                <w:sz w:val="22"/>
                <w:szCs w:val="22"/>
              </w:rPr>
              <w:t xml:space="preserve"> года)</w:t>
            </w:r>
          </w:p>
        </w:tc>
        <w:tc>
          <w:tcPr>
            <w:tcW w:w="2536"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пункты 22.1, 22.2, 27.15, 34.4, статья 35 Правил клиринга на фондовом рынке.</w:t>
            </w:r>
          </w:p>
        </w:tc>
        <w:tc>
          <w:tcPr>
            <w:tcW w:w="7393" w:type="dxa"/>
          </w:tcPr>
          <w:p w:rsidR="00A1341A" w:rsidRPr="00A1341A" w:rsidRDefault="00F533D7"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 xml:space="preserve">Предусмотрена возможность </w:t>
            </w:r>
            <w:r w:rsidR="00A1341A" w:rsidRPr="00A1341A">
              <w:rPr>
                <w:rFonts w:ascii="Arial" w:hAnsi="Arial" w:cs="Arial"/>
                <w:color w:val="000000" w:themeColor="text1"/>
                <w:sz w:val="22"/>
                <w:szCs w:val="22"/>
              </w:rPr>
              <w:t xml:space="preserve">возврата </w:t>
            </w:r>
            <w:r w:rsidR="00E84EAA">
              <w:rPr>
                <w:rFonts w:ascii="Arial" w:hAnsi="Arial" w:cs="Arial"/>
                <w:color w:val="000000" w:themeColor="text1"/>
                <w:sz w:val="22"/>
                <w:szCs w:val="22"/>
              </w:rPr>
              <w:t xml:space="preserve">Участником клиринга </w:t>
            </w:r>
            <w:r w:rsidR="00A1341A" w:rsidRPr="00A1341A">
              <w:rPr>
                <w:rFonts w:ascii="Arial" w:hAnsi="Arial" w:cs="Arial"/>
                <w:color w:val="000000" w:themeColor="text1"/>
                <w:sz w:val="22"/>
                <w:szCs w:val="22"/>
              </w:rPr>
              <w:t>части депозита до Даты исполнения депозита</w:t>
            </w:r>
            <w:r>
              <w:rPr>
                <w:rFonts w:ascii="Arial" w:hAnsi="Arial" w:cs="Arial"/>
                <w:color w:val="000000" w:themeColor="text1"/>
                <w:sz w:val="22"/>
                <w:szCs w:val="22"/>
              </w:rPr>
              <w:t xml:space="preserve"> на основании </w:t>
            </w:r>
            <w:r w:rsidR="00A1341A" w:rsidRPr="00A1341A">
              <w:rPr>
                <w:rFonts w:ascii="Arial" w:hAnsi="Arial" w:cs="Arial"/>
                <w:color w:val="000000" w:themeColor="text1"/>
                <w:sz w:val="22"/>
                <w:szCs w:val="22"/>
              </w:rPr>
              <w:t>Заявлени</w:t>
            </w:r>
            <w:r>
              <w:rPr>
                <w:rFonts w:ascii="Arial" w:hAnsi="Arial" w:cs="Arial"/>
                <w:color w:val="000000" w:themeColor="text1"/>
                <w:sz w:val="22"/>
                <w:szCs w:val="22"/>
              </w:rPr>
              <w:t>я</w:t>
            </w:r>
            <w:r w:rsidR="00A1341A" w:rsidRPr="00A1341A">
              <w:rPr>
                <w:rFonts w:ascii="Arial" w:hAnsi="Arial" w:cs="Arial"/>
                <w:color w:val="000000" w:themeColor="text1"/>
                <w:sz w:val="22"/>
                <w:szCs w:val="22"/>
              </w:rPr>
              <w:t xml:space="preserve"> на изменение суммы депозита</w:t>
            </w:r>
            <w:r w:rsidR="00E84EAA">
              <w:rPr>
                <w:rFonts w:ascii="Arial" w:hAnsi="Arial" w:cs="Arial"/>
                <w:color w:val="000000" w:themeColor="text1"/>
                <w:sz w:val="22"/>
                <w:szCs w:val="22"/>
              </w:rPr>
              <w:t>,</w:t>
            </w:r>
            <w:r>
              <w:rPr>
                <w:rFonts w:ascii="Arial" w:hAnsi="Arial" w:cs="Arial"/>
                <w:color w:val="000000" w:themeColor="text1"/>
                <w:sz w:val="22"/>
                <w:szCs w:val="22"/>
              </w:rPr>
              <w:t xml:space="preserve"> при условии </w:t>
            </w:r>
            <w:r w:rsidR="00A1341A" w:rsidRPr="00A1341A">
              <w:rPr>
                <w:rFonts w:ascii="Arial" w:hAnsi="Arial" w:cs="Arial"/>
                <w:color w:val="000000" w:themeColor="text1"/>
                <w:sz w:val="22"/>
                <w:szCs w:val="22"/>
              </w:rPr>
              <w:t>достаточност</w:t>
            </w:r>
            <w:r>
              <w:rPr>
                <w:rFonts w:ascii="Arial" w:hAnsi="Arial" w:cs="Arial"/>
                <w:color w:val="000000" w:themeColor="text1"/>
                <w:sz w:val="22"/>
                <w:szCs w:val="22"/>
              </w:rPr>
              <w:t>и</w:t>
            </w:r>
            <w:r w:rsidR="00A1341A" w:rsidRPr="00A1341A">
              <w:rPr>
                <w:rFonts w:ascii="Arial" w:hAnsi="Arial" w:cs="Arial"/>
                <w:color w:val="000000" w:themeColor="text1"/>
                <w:sz w:val="22"/>
                <w:szCs w:val="22"/>
              </w:rPr>
              <w:t xml:space="preserve"> Единого лимита и заключени</w:t>
            </w:r>
            <w:r>
              <w:rPr>
                <w:rFonts w:ascii="Arial" w:hAnsi="Arial" w:cs="Arial"/>
                <w:color w:val="000000" w:themeColor="text1"/>
                <w:sz w:val="22"/>
                <w:szCs w:val="22"/>
              </w:rPr>
              <w:t>я</w:t>
            </w:r>
            <w:r w:rsidR="00A1341A" w:rsidRPr="00A1341A">
              <w:rPr>
                <w:rFonts w:ascii="Arial" w:hAnsi="Arial" w:cs="Arial"/>
                <w:color w:val="000000" w:themeColor="text1"/>
                <w:sz w:val="22"/>
                <w:szCs w:val="22"/>
              </w:rPr>
              <w:t xml:space="preserve"> НКЦ сделки РЕПО с КСУ </w:t>
            </w:r>
            <w:r>
              <w:rPr>
                <w:rFonts w:ascii="Arial" w:hAnsi="Arial" w:cs="Arial"/>
                <w:color w:val="000000" w:themeColor="text1"/>
                <w:sz w:val="22"/>
                <w:szCs w:val="22"/>
              </w:rPr>
              <w:t>для</w:t>
            </w:r>
            <w:r w:rsidRPr="00A1341A">
              <w:rPr>
                <w:rFonts w:ascii="Arial" w:hAnsi="Arial" w:cs="Arial"/>
                <w:color w:val="000000" w:themeColor="text1"/>
                <w:sz w:val="22"/>
                <w:szCs w:val="22"/>
              </w:rPr>
              <w:t xml:space="preserve"> </w:t>
            </w:r>
            <w:r w:rsidR="00A1341A" w:rsidRPr="00A1341A">
              <w:rPr>
                <w:rFonts w:ascii="Arial" w:hAnsi="Arial" w:cs="Arial"/>
                <w:color w:val="000000" w:themeColor="text1"/>
                <w:sz w:val="22"/>
                <w:szCs w:val="22"/>
              </w:rPr>
              <w:t>досрочно</w:t>
            </w:r>
            <w:r>
              <w:rPr>
                <w:rFonts w:ascii="Arial" w:hAnsi="Arial" w:cs="Arial"/>
                <w:color w:val="000000" w:themeColor="text1"/>
                <w:sz w:val="22"/>
                <w:szCs w:val="22"/>
              </w:rPr>
              <w:t>го</w:t>
            </w:r>
            <w:r w:rsidR="00A1341A" w:rsidRPr="00A1341A">
              <w:rPr>
                <w:rFonts w:ascii="Arial" w:hAnsi="Arial" w:cs="Arial"/>
                <w:color w:val="000000" w:themeColor="text1"/>
                <w:sz w:val="22"/>
                <w:szCs w:val="22"/>
              </w:rPr>
              <w:t xml:space="preserve"> возврат</w:t>
            </w:r>
            <w:r>
              <w:rPr>
                <w:rFonts w:ascii="Arial" w:hAnsi="Arial" w:cs="Arial"/>
                <w:color w:val="000000" w:themeColor="text1"/>
                <w:sz w:val="22"/>
                <w:szCs w:val="22"/>
              </w:rPr>
              <w:t>а</w:t>
            </w:r>
            <w:r w:rsidR="00A1341A" w:rsidRPr="00A1341A">
              <w:rPr>
                <w:rFonts w:ascii="Arial" w:hAnsi="Arial" w:cs="Arial"/>
                <w:color w:val="000000" w:themeColor="text1"/>
                <w:sz w:val="22"/>
                <w:szCs w:val="22"/>
              </w:rPr>
              <w:t xml:space="preserve"> депозита.</w:t>
            </w:r>
          </w:p>
          <w:p w:rsidR="00A1341A" w:rsidRPr="00A1341A" w:rsidRDefault="00AD7CB1" w:rsidP="00AD7CB1">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При возврате части депозита по договору депозита меняется процентная ставка</w:t>
            </w:r>
            <w:r w:rsidR="00A1341A" w:rsidRPr="00A1341A">
              <w:rPr>
                <w:rFonts w:ascii="Arial" w:hAnsi="Arial" w:cs="Arial"/>
                <w:color w:val="000000" w:themeColor="text1"/>
                <w:sz w:val="22"/>
                <w:szCs w:val="22"/>
              </w:rPr>
              <w:t xml:space="preserve"> (в % годовых) с учетом суммы и срока изъятия и ставки РЕПО в сделке РЕПО с КСУ, заключенной НКЦ </w:t>
            </w:r>
            <w:r w:rsidR="00E84EAA">
              <w:rPr>
                <w:rFonts w:ascii="Arial" w:hAnsi="Arial" w:cs="Arial"/>
                <w:color w:val="000000" w:themeColor="text1"/>
                <w:sz w:val="22"/>
                <w:szCs w:val="22"/>
              </w:rPr>
              <w:t>для</w:t>
            </w:r>
            <w:r w:rsidR="00A1341A" w:rsidRPr="00A1341A">
              <w:rPr>
                <w:rFonts w:ascii="Arial" w:hAnsi="Arial" w:cs="Arial"/>
                <w:color w:val="000000" w:themeColor="text1"/>
                <w:sz w:val="22"/>
                <w:szCs w:val="22"/>
              </w:rPr>
              <w:t xml:space="preserve"> досрочно</w:t>
            </w:r>
            <w:r w:rsidR="00E84EAA">
              <w:rPr>
                <w:rFonts w:ascii="Arial" w:hAnsi="Arial" w:cs="Arial"/>
                <w:color w:val="000000" w:themeColor="text1"/>
                <w:sz w:val="22"/>
                <w:szCs w:val="22"/>
              </w:rPr>
              <w:t>го</w:t>
            </w:r>
            <w:r w:rsidR="00A1341A" w:rsidRPr="00A1341A">
              <w:rPr>
                <w:rFonts w:ascii="Arial" w:hAnsi="Arial" w:cs="Arial"/>
                <w:color w:val="000000" w:themeColor="text1"/>
                <w:sz w:val="22"/>
                <w:szCs w:val="22"/>
              </w:rPr>
              <w:t xml:space="preserve"> возврат</w:t>
            </w:r>
            <w:r w:rsidR="00E84EAA">
              <w:rPr>
                <w:rFonts w:ascii="Arial" w:hAnsi="Arial" w:cs="Arial"/>
                <w:color w:val="000000" w:themeColor="text1"/>
                <w:sz w:val="22"/>
                <w:szCs w:val="22"/>
              </w:rPr>
              <w:t>а</w:t>
            </w:r>
            <w:r w:rsidR="00A1341A" w:rsidRPr="00A1341A">
              <w:rPr>
                <w:rFonts w:ascii="Arial" w:hAnsi="Arial" w:cs="Arial"/>
                <w:color w:val="000000" w:themeColor="text1"/>
                <w:sz w:val="22"/>
                <w:szCs w:val="22"/>
              </w:rPr>
              <w:t xml:space="preserve"> депозита.</w:t>
            </w:r>
          </w:p>
          <w:p w:rsidR="00A1341A" w:rsidRPr="00A1341A" w:rsidRDefault="00E84EAA"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После</w:t>
            </w:r>
            <w:r w:rsidR="00A1341A" w:rsidRPr="00A1341A">
              <w:rPr>
                <w:rFonts w:ascii="Arial" w:hAnsi="Arial" w:cs="Arial"/>
                <w:color w:val="000000" w:themeColor="text1"/>
                <w:sz w:val="22"/>
                <w:szCs w:val="22"/>
              </w:rPr>
              <w:t xml:space="preserve"> пополнения депозита процентная ставка </w:t>
            </w:r>
            <w:r>
              <w:rPr>
                <w:rFonts w:ascii="Arial" w:hAnsi="Arial" w:cs="Arial"/>
                <w:color w:val="000000" w:themeColor="text1"/>
                <w:sz w:val="22"/>
                <w:szCs w:val="22"/>
              </w:rPr>
              <w:t xml:space="preserve">становится </w:t>
            </w:r>
            <w:r w:rsidR="00A1341A" w:rsidRPr="00A1341A">
              <w:rPr>
                <w:rFonts w:ascii="Arial" w:hAnsi="Arial" w:cs="Arial"/>
                <w:color w:val="000000" w:themeColor="text1"/>
                <w:sz w:val="22"/>
                <w:szCs w:val="22"/>
              </w:rPr>
              <w:t>равн</w:t>
            </w:r>
            <w:r>
              <w:rPr>
                <w:rFonts w:ascii="Arial" w:hAnsi="Arial" w:cs="Arial"/>
                <w:color w:val="000000" w:themeColor="text1"/>
                <w:sz w:val="22"/>
                <w:szCs w:val="22"/>
              </w:rPr>
              <w:t>ой</w:t>
            </w:r>
            <w:r w:rsidR="00A1341A" w:rsidRPr="00A1341A">
              <w:rPr>
                <w:rFonts w:ascii="Arial" w:hAnsi="Arial" w:cs="Arial"/>
                <w:color w:val="000000" w:themeColor="text1"/>
                <w:sz w:val="22"/>
                <w:szCs w:val="22"/>
              </w:rPr>
              <w:t xml:space="preserve"> процентной ставке</w:t>
            </w:r>
            <w:r>
              <w:rPr>
                <w:rFonts w:ascii="Arial" w:hAnsi="Arial" w:cs="Arial"/>
                <w:color w:val="000000" w:themeColor="text1"/>
                <w:sz w:val="22"/>
                <w:szCs w:val="22"/>
              </w:rPr>
              <w:t xml:space="preserve"> до изменения суммы</w:t>
            </w:r>
            <w:r w:rsidR="00A1341A" w:rsidRPr="00A1341A">
              <w:rPr>
                <w:rFonts w:ascii="Arial" w:hAnsi="Arial" w:cs="Arial"/>
                <w:color w:val="000000" w:themeColor="text1"/>
                <w:sz w:val="22"/>
                <w:szCs w:val="22"/>
              </w:rPr>
              <w:t xml:space="preserve"> депозита.</w:t>
            </w:r>
          </w:p>
          <w:p w:rsidR="00E84EA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Участник клиринга </w:t>
            </w:r>
            <w:r w:rsidR="00E84EAA">
              <w:rPr>
                <w:rFonts w:ascii="Arial" w:hAnsi="Arial" w:cs="Arial"/>
                <w:color w:val="000000" w:themeColor="text1"/>
                <w:sz w:val="22"/>
                <w:szCs w:val="22"/>
              </w:rPr>
              <w:t>может</w:t>
            </w:r>
            <w:r w:rsidRPr="00A1341A">
              <w:rPr>
                <w:rFonts w:ascii="Arial" w:hAnsi="Arial" w:cs="Arial"/>
                <w:color w:val="000000" w:themeColor="text1"/>
                <w:sz w:val="22"/>
                <w:szCs w:val="22"/>
              </w:rPr>
              <w:t xml:space="preserve"> пополнить депозит</w:t>
            </w:r>
            <w:r w:rsidR="00E84EAA">
              <w:rPr>
                <w:rFonts w:ascii="Arial" w:hAnsi="Arial" w:cs="Arial"/>
                <w:color w:val="000000" w:themeColor="text1"/>
                <w:sz w:val="22"/>
                <w:szCs w:val="22"/>
              </w:rPr>
              <w:t>:</w:t>
            </w:r>
          </w:p>
          <w:p w:rsidR="00E84EAA" w:rsidRDefault="00E84EAA"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w:t>
            </w:r>
            <w:r w:rsidR="00A1341A" w:rsidRPr="00A1341A">
              <w:rPr>
                <w:rFonts w:ascii="Arial" w:hAnsi="Arial" w:cs="Arial"/>
                <w:color w:val="000000" w:themeColor="text1"/>
                <w:sz w:val="22"/>
                <w:szCs w:val="22"/>
              </w:rPr>
              <w:t xml:space="preserve"> в плановую дату пополнения депозита</w:t>
            </w:r>
            <w:r>
              <w:rPr>
                <w:rFonts w:ascii="Arial" w:hAnsi="Arial" w:cs="Arial"/>
                <w:color w:val="000000" w:themeColor="text1"/>
                <w:sz w:val="22"/>
                <w:szCs w:val="22"/>
              </w:rPr>
              <w:t>;</w:t>
            </w:r>
          </w:p>
          <w:p w:rsidR="00E84EAA" w:rsidRDefault="00E84EAA" w:rsidP="00A1341A">
            <w:pPr>
              <w:spacing w:before="120" w:after="120"/>
              <w:jc w:val="both"/>
              <w:rPr>
                <w:rFonts w:ascii="Arial" w:hAnsi="Arial" w:cs="Arial"/>
                <w:color w:val="000000"/>
                <w:sz w:val="22"/>
                <w:szCs w:val="22"/>
              </w:rPr>
            </w:pPr>
            <w:r>
              <w:rPr>
                <w:rFonts w:ascii="Arial" w:hAnsi="Arial" w:cs="Arial"/>
                <w:color w:val="000000" w:themeColor="text1"/>
                <w:sz w:val="22"/>
                <w:szCs w:val="22"/>
              </w:rPr>
              <w:t xml:space="preserve">- </w:t>
            </w:r>
            <w:r w:rsidR="00A1341A" w:rsidRPr="00A1341A">
              <w:rPr>
                <w:rFonts w:ascii="Arial" w:hAnsi="Arial" w:cs="Arial"/>
                <w:color w:val="000000" w:themeColor="text1"/>
                <w:sz w:val="22"/>
                <w:szCs w:val="22"/>
              </w:rPr>
              <w:t xml:space="preserve">в </w:t>
            </w:r>
            <w:r w:rsidR="00A1341A" w:rsidRPr="00A1341A">
              <w:rPr>
                <w:rFonts w:ascii="Arial" w:hAnsi="Arial" w:cs="Arial"/>
                <w:color w:val="000000"/>
                <w:sz w:val="22"/>
                <w:szCs w:val="22"/>
              </w:rPr>
              <w:t>Расчетный день, следующий за плановой датой пополнения депозита</w:t>
            </w:r>
            <w:r>
              <w:rPr>
                <w:rFonts w:ascii="Arial" w:hAnsi="Arial" w:cs="Arial"/>
                <w:color w:val="000000"/>
                <w:sz w:val="22"/>
                <w:szCs w:val="22"/>
              </w:rPr>
              <w:t xml:space="preserve">, уплатив </w:t>
            </w:r>
            <w:r w:rsidR="00A1341A" w:rsidRPr="00A1341A">
              <w:rPr>
                <w:rFonts w:ascii="Arial" w:hAnsi="Arial" w:cs="Arial"/>
                <w:color w:val="000000"/>
                <w:sz w:val="22"/>
                <w:szCs w:val="22"/>
              </w:rPr>
              <w:t>комиссионное вознаграждение</w:t>
            </w:r>
            <w:r w:rsidR="00AD7CB1">
              <w:rPr>
                <w:rFonts w:ascii="Arial" w:hAnsi="Arial" w:cs="Arial"/>
                <w:color w:val="000000"/>
                <w:sz w:val="22"/>
                <w:szCs w:val="22"/>
              </w:rPr>
              <w:t>.</w:t>
            </w:r>
          </w:p>
          <w:p w:rsidR="00A1341A" w:rsidRPr="00A1341A" w:rsidRDefault="00A1341A" w:rsidP="00A1341A">
            <w:pPr>
              <w:spacing w:before="120" w:after="120"/>
              <w:jc w:val="both"/>
              <w:rPr>
                <w:rFonts w:ascii="Arial" w:hAnsi="Arial" w:cs="Arial"/>
                <w:color w:val="000000"/>
                <w:sz w:val="22"/>
                <w:szCs w:val="22"/>
              </w:rPr>
            </w:pPr>
            <w:r w:rsidRPr="00A1341A">
              <w:rPr>
                <w:rFonts w:ascii="Arial" w:hAnsi="Arial" w:cs="Arial"/>
                <w:color w:val="000000"/>
                <w:sz w:val="22"/>
                <w:szCs w:val="22"/>
              </w:rPr>
              <w:t xml:space="preserve">В случае </w:t>
            </w:r>
            <w:proofErr w:type="spellStart"/>
            <w:r w:rsidRPr="00A1341A">
              <w:rPr>
                <w:rFonts w:ascii="Arial" w:hAnsi="Arial" w:cs="Arial"/>
                <w:color w:val="000000"/>
                <w:sz w:val="22"/>
                <w:szCs w:val="22"/>
              </w:rPr>
              <w:t>непополнения</w:t>
            </w:r>
            <w:proofErr w:type="spellEnd"/>
            <w:r w:rsidRPr="00A1341A">
              <w:rPr>
                <w:rFonts w:ascii="Arial" w:hAnsi="Arial" w:cs="Arial"/>
                <w:color w:val="000000"/>
                <w:sz w:val="22"/>
                <w:szCs w:val="22"/>
              </w:rPr>
              <w:t xml:space="preserve"> депозита в </w:t>
            </w:r>
            <w:r w:rsidR="00AD7CB1">
              <w:rPr>
                <w:rFonts w:ascii="Arial" w:hAnsi="Arial" w:cs="Arial"/>
                <w:color w:val="000000"/>
                <w:sz w:val="22"/>
                <w:szCs w:val="22"/>
              </w:rPr>
              <w:t>указанный срок</w:t>
            </w:r>
            <w:r w:rsidRPr="00A1341A">
              <w:rPr>
                <w:rFonts w:ascii="Arial" w:hAnsi="Arial" w:cs="Arial"/>
                <w:color w:val="000000"/>
                <w:sz w:val="22"/>
                <w:szCs w:val="22"/>
              </w:rPr>
              <w:t>, дата возврата депозита изменяется на дату, являющуюся вторым Расчетным днем, следующим за плановой датой пополнения депозита</w:t>
            </w:r>
            <w:r w:rsidR="00AD7CB1">
              <w:rPr>
                <w:rFonts w:ascii="Arial" w:hAnsi="Arial" w:cs="Arial"/>
                <w:color w:val="000000"/>
                <w:sz w:val="22"/>
                <w:szCs w:val="22"/>
              </w:rPr>
              <w:t xml:space="preserve">, при этом участник клиринга уплачивает комиссионное вознаграждение. </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Участников клиринга появляется новое право –потребовать возврата части депозита до наступления Даты исполнения обязательства по возврату депозита.</w:t>
            </w:r>
          </w:p>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Участник клиринга категории «Б» вправе пополнить депозит в дату, которую он указал при возврате части депозита (плановая дата).</w:t>
            </w:r>
          </w:p>
          <w:p w:rsidR="00A1341A" w:rsidRPr="00A1341A" w:rsidRDefault="00A1341A" w:rsidP="00A1341A">
            <w:pPr>
              <w:spacing w:before="120"/>
              <w:jc w:val="both"/>
              <w:rPr>
                <w:rFonts w:ascii="Arial" w:hAnsi="Arial" w:cs="Arial"/>
                <w:color w:val="000000" w:themeColor="text1"/>
                <w:sz w:val="22"/>
                <w:szCs w:val="22"/>
              </w:rPr>
            </w:pPr>
          </w:p>
        </w:tc>
      </w:tr>
      <w:tr w:rsidR="003458ED" w:rsidRPr="00A1341A" w:rsidTr="00093EA9">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Досрочное исполнение 2-ой части сделок РЕПО с ЦК, заключенных на основании адресных заявок</w:t>
            </w:r>
          </w:p>
          <w:p w:rsidR="00CE1B3D" w:rsidRPr="00CE1B3D" w:rsidRDefault="00CE1B3D" w:rsidP="00CE1B3D">
            <w:pPr>
              <w:spacing w:before="120" w:after="120"/>
              <w:rPr>
                <w:rFonts w:ascii="Arial" w:hAnsi="Arial" w:cs="Arial"/>
                <w:b/>
                <w:color w:val="000000" w:themeColor="text1"/>
                <w:sz w:val="22"/>
                <w:szCs w:val="22"/>
              </w:rPr>
            </w:pPr>
            <w:r w:rsidRPr="00751389">
              <w:rPr>
                <w:rFonts w:ascii="Arial" w:hAnsi="Arial" w:cs="Arial"/>
                <w:b/>
                <w:color w:val="FF0000"/>
                <w:sz w:val="22"/>
                <w:szCs w:val="22"/>
              </w:rPr>
              <w:t xml:space="preserve">(реализация </w:t>
            </w:r>
            <w:r w:rsidR="00CD3BA1">
              <w:rPr>
                <w:rFonts w:ascii="Arial" w:hAnsi="Arial" w:cs="Arial"/>
                <w:b/>
                <w:color w:val="FF0000"/>
                <w:sz w:val="22"/>
                <w:szCs w:val="22"/>
              </w:rPr>
              <w:t xml:space="preserve">планируется </w:t>
            </w:r>
            <w:r w:rsidR="00CA44DC">
              <w:rPr>
                <w:rFonts w:ascii="Arial" w:hAnsi="Arial" w:cs="Arial"/>
                <w:b/>
                <w:color w:val="FF0000"/>
                <w:sz w:val="22"/>
                <w:szCs w:val="22"/>
              </w:rPr>
              <w:t>в течение 2019</w:t>
            </w:r>
            <w:r w:rsidR="00CD3BA1">
              <w:rPr>
                <w:rFonts w:ascii="Arial" w:hAnsi="Arial" w:cs="Arial"/>
                <w:b/>
                <w:color w:val="FF0000"/>
                <w:sz w:val="22"/>
                <w:szCs w:val="22"/>
              </w:rPr>
              <w:t xml:space="preserve"> года</w:t>
            </w:r>
            <w:r w:rsidRPr="00751389">
              <w:rPr>
                <w:rFonts w:ascii="Arial" w:hAnsi="Arial" w:cs="Arial"/>
                <w:b/>
                <w:color w:val="FF0000"/>
                <w:sz w:val="22"/>
                <w:szCs w:val="22"/>
              </w:rPr>
              <w:t>)</w:t>
            </w:r>
          </w:p>
        </w:tc>
        <w:tc>
          <w:tcPr>
            <w:tcW w:w="2536" w:type="dxa"/>
          </w:tcPr>
          <w:p w:rsidR="00A1341A" w:rsidRPr="00A1341A" w:rsidRDefault="00A1341A" w:rsidP="00A1341A">
            <w:pPr>
              <w:spacing w:before="120" w:after="120"/>
              <w:rPr>
                <w:rFonts w:ascii="Arial" w:hAnsi="Arial" w:cs="Arial"/>
                <w:bCs/>
                <w:color w:val="000000" w:themeColor="text1"/>
                <w:sz w:val="22"/>
                <w:szCs w:val="22"/>
              </w:rPr>
            </w:pPr>
            <w:r w:rsidRPr="00A1341A">
              <w:rPr>
                <w:rFonts w:ascii="Arial" w:hAnsi="Arial" w:cs="Arial"/>
                <w:bCs/>
                <w:color w:val="000000" w:themeColor="text1"/>
                <w:sz w:val="22"/>
                <w:szCs w:val="22"/>
              </w:rPr>
              <w:t xml:space="preserve">пункт 27.16, статья 36 </w:t>
            </w:r>
            <w:r w:rsidRPr="00A1341A">
              <w:rPr>
                <w:rFonts w:ascii="Arial" w:hAnsi="Arial" w:cs="Arial"/>
                <w:color w:val="000000" w:themeColor="text1"/>
                <w:sz w:val="22"/>
                <w:szCs w:val="22"/>
              </w:rPr>
              <w:t>Правил клиринга на фондовом рынке.</w:t>
            </w:r>
          </w:p>
        </w:tc>
        <w:tc>
          <w:tcPr>
            <w:tcW w:w="7393" w:type="dxa"/>
          </w:tcPr>
          <w:p w:rsidR="00A1341A" w:rsidRPr="00A1341A" w:rsidRDefault="003458ED" w:rsidP="00A1341A">
            <w:pPr>
              <w:pStyle w:val="af5"/>
              <w:tabs>
                <w:tab w:val="left" w:pos="390"/>
              </w:tabs>
              <w:spacing w:before="120" w:after="120"/>
              <w:ind w:left="0"/>
              <w:jc w:val="both"/>
              <w:rPr>
                <w:rFonts w:ascii="Arial" w:hAnsi="Arial" w:cs="Arial"/>
                <w:color w:val="000000" w:themeColor="text1"/>
                <w:sz w:val="22"/>
                <w:szCs w:val="22"/>
              </w:rPr>
            </w:pPr>
            <w:r>
              <w:rPr>
                <w:rFonts w:ascii="Arial" w:hAnsi="Arial" w:cs="Arial"/>
                <w:color w:val="000000" w:themeColor="text1"/>
                <w:sz w:val="22"/>
                <w:szCs w:val="22"/>
              </w:rPr>
              <w:t xml:space="preserve">Предусмотрена возможность </w:t>
            </w:r>
            <w:r w:rsidR="00A1341A" w:rsidRPr="00A1341A">
              <w:rPr>
                <w:rFonts w:ascii="Arial" w:hAnsi="Arial" w:cs="Arial"/>
                <w:color w:val="000000" w:themeColor="text1"/>
                <w:sz w:val="22"/>
                <w:szCs w:val="22"/>
              </w:rPr>
              <w:t>до Даты исполнения обязательств по второй части сдел</w:t>
            </w:r>
            <w:r w:rsidR="008D1ACF">
              <w:rPr>
                <w:rFonts w:ascii="Arial" w:hAnsi="Arial" w:cs="Arial"/>
                <w:color w:val="000000" w:themeColor="text1"/>
                <w:sz w:val="22"/>
                <w:szCs w:val="22"/>
              </w:rPr>
              <w:t>ки</w:t>
            </w:r>
            <w:r w:rsidR="00A1341A" w:rsidRPr="00A1341A">
              <w:rPr>
                <w:rFonts w:ascii="Arial" w:hAnsi="Arial" w:cs="Arial"/>
                <w:color w:val="000000" w:themeColor="text1"/>
                <w:sz w:val="22"/>
                <w:szCs w:val="22"/>
              </w:rPr>
              <w:t xml:space="preserve"> РЕПО с ЦК, заключенн</w:t>
            </w:r>
            <w:r w:rsidR="008D1ACF">
              <w:rPr>
                <w:rFonts w:ascii="Arial" w:hAnsi="Arial" w:cs="Arial"/>
                <w:color w:val="000000" w:themeColor="text1"/>
                <w:sz w:val="22"/>
                <w:szCs w:val="22"/>
              </w:rPr>
              <w:t>ой</w:t>
            </w:r>
            <w:r w:rsidR="00A1341A" w:rsidRPr="00A1341A">
              <w:rPr>
                <w:rFonts w:ascii="Arial" w:hAnsi="Arial" w:cs="Arial"/>
                <w:color w:val="000000" w:themeColor="text1"/>
                <w:sz w:val="22"/>
                <w:szCs w:val="22"/>
              </w:rPr>
              <w:t xml:space="preserve"> на основании адресн</w:t>
            </w:r>
            <w:r w:rsidR="008D1ACF">
              <w:rPr>
                <w:rFonts w:ascii="Arial" w:hAnsi="Arial" w:cs="Arial"/>
                <w:color w:val="000000" w:themeColor="text1"/>
                <w:sz w:val="22"/>
                <w:szCs w:val="22"/>
              </w:rPr>
              <w:t>ой</w:t>
            </w:r>
            <w:r w:rsidR="00A1341A" w:rsidRPr="00A1341A">
              <w:rPr>
                <w:rFonts w:ascii="Arial" w:hAnsi="Arial" w:cs="Arial"/>
                <w:color w:val="000000" w:themeColor="text1"/>
                <w:sz w:val="22"/>
                <w:szCs w:val="22"/>
              </w:rPr>
              <w:t xml:space="preserve"> заяв</w:t>
            </w:r>
            <w:r w:rsidR="008D1ACF">
              <w:rPr>
                <w:rFonts w:ascii="Arial" w:hAnsi="Arial" w:cs="Arial"/>
                <w:color w:val="000000" w:themeColor="text1"/>
                <w:sz w:val="22"/>
                <w:szCs w:val="22"/>
              </w:rPr>
              <w:t>ки</w:t>
            </w:r>
            <w:r w:rsidR="00A1341A" w:rsidRPr="00A1341A">
              <w:rPr>
                <w:rFonts w:ascii="Arial" w:hAnsi="Arial" w:cs="Arial"/>
                <w:color w:val="000000" w:themeColor="text1"/>
                <w:sz w:val="22"/>
                <w:szCs w:val="22"/>
              </w:rPr>
              <w:t>, изменить Дату исполнения путем подачи в Клиринговую систему Поручения на изменение срока исполнения обязательств по сделке.</w:t>
            </w:r>
          </w:p>
          <w:p w:rsidR="00A1341A" w:rsidRPr="00A1341A" w:rsidRDefault="003458ED" w:rsidP="00A1341A">
            <w:pPr>
              <w:pStyle w:val="af5"/>
              <w:tabs>
                <w:tab w:val="left" w:pos="390"/>
              </w:tabs>
              <w:spacing w:before="120" w:after="120"/>
              <w:ind w:left="0"/>
              <w:jc w:val="both"/>
              <w:rPr>
                <w:rFonts w:ascii="Arial" w:hAnsi="Arial" w:cs="Arial"/>
                <w:color w:val="000000" w:themeColor="text1"/>
                <w:sz w:val="22"/>
                <w:szCs w:val="22"/>
              </w:rPr>
            </w:pPr>
            <w:r>
              <w:rPr>
                <w:rFonts w:ascii="Arial" w:hAnsi="Arial" w:cs="Arial"/>
                <w:color w:val="000000" w:themeColor="text1"/>
                <w:sz w:val="22"/>
                <w:szCs w:val="22"/>
              </w:rPr>
              <w:t>В</w:t>
            </w:r>
            <w:r w:rsidR="00A1341A" w:rsidRPr="00A1341A">
              <w:rPr>
                <w:rFonts w:ascii="Arial" w:hAnsi="Arial" w:cs="Arial"/>
                <w:color w:val="000000" w:themeColor="text1"/>
                <w:sz w:val="22"/>
                <w:szCs w:val="22"/>
              </w:rPr>
              <w:t xml:space="preserve"> случае положительной проверки на Единый лимит</w:t>
            </w:r>
            <w:r>
              <w:rPr>
                <w:rFonts w:ascii="Arial" w:hAnsi="Arial" w:cs="Arial"/>
                <w:color w:val="000000" w:themeColor="text1"/>
                <w:sz w:val="22"/>
                <w:szCs w:val="22"/>
              </w:rPr>
              <w:t xml:space="preserve"> п</w:t>
            </w:r>
            <w:r w:rsidR="00A1341A" w:rsidRPr="00A1341A">
              <w:rPr>
                <w:rFonts w:ascii="Arial" w:hAnsi="Arial" w:cs="Arial"/>
                <w:color w:val="000000" w:themeColor="text1"/>
                <w:sz w:val="22"/>
                <w:szCs w:val="22"/>
              </w:rPr>
              <w:t xml:space="preserve">ри </w:t>
            </w:r>
            <w:r w:rsidR="008D1ACF">
              <w:rPr>
                <w:rFonts w:ascii="Arial" w:hAnsi="Arial" w:cs="Arial"/>
                <w:color w:val="000000" w:themeColor="text1"/>
                <w:sz w:val="22"/>
                <w:szCs w:val="22"/>
              </w:rPr>
              <w:t>исполнении</w:t>
            </w:r>
            <w:r w:rsidR="00A1341A" w:rsidRPr="00A1341A">
              <w:rPr>
                <w:rFonts w:ascii="Arial" w:hAnsi="Arial" w:cs="Arial"/>
                <w:color w:val="000000" w:themeColor="text1"/>
                <w:sz w:val="22"/>
                <w:szCs w:val="22"/>
              </w:rPr>
              <w:t xml:space="preserve"> Поручений на изменение срока исполнения обязательств по сделке, поданных обоими контрагентами по парным сделкам, Дата исполнения обязательств по такой сделке меняется на текущую дату, </w:t>
            </w:r>
            <w:r w:rsidR="00A1341A" w:rsidRPr="00A1341A">
              <w:rPr>
                <w:rFonts w:ascii="Arial" w:hAnsi="Arial" w:cs="Arial"/>
                <w:color w:val="000000" w:themeColor="text1"/>
                <w:sz w:val="22"/>
                <w:szCs w:val="22"/>
              </w:rPr>
              <w:lastRenderedPageBreak/>
              <w:t>при этом размер обязательства по второй части сделки РЕПО рассчитывается исходя из фактического срока сделки РЕПО.</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У Участников клиринга появляется новое право – досрочно исполнить 2-ую часть сделок РЕПО с ЦК и депозитов с ЦК, заключенных на основании адресных заявок.</w:t>
            </w:r>
          </w:p>
        </w:tc>
      </w:tr>
      <w:tr w:rsidR="003458ED" w:rsidRPr="00A1341A" w:rsidTr="00093EA9">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Объединение заявок на заключение депозитного договора</w:t>
            </w:r>
          </w:p>
          <w:p w:rsidR="003458ED" w:rsidRDefault="003458ED" w:rsidP="003458ED">
            <w:pPr>
              <w:pStyle w:val="af5"/>
              <w:spacing w:before="120" w:after="120"/>
              <w:ind w:left="459"/>
              <w:rPr>
                <w:rFonts w:ascii="Arial" w:hAnsi="Arial" w:cs="Arial"/>
                <w:b/>
                <w:color w:val="FF0000"/>
                <w:sz w:val="22"/>
                <w:szCs w:val="22"/>
              </w:rPr>
            </w:pPr>
            <w:r w:rsidRPr="00751389">
              <w:rPr>
                <w:rFonts w:ascii="Arial" w:hAnsi="Arial" w:cs="Arial"/>
                <w:b/>
                <w:color w:val="FF0000"/>
                <w:sz w:val="22"/>
                <w:szCs w:val="22"/>
              </w:rPr>
              <w:t>(</w:t>
            </w:r>
            <w:r>
              <w:rPr>
                <w:rFonts w:ascii="Arial" w:hAnsi="Arial" w:cs="Arial"/>
                <w:b/>
                <w:color w:val="FF0000"/>
                <w:sz w:val="22"/>
                <w:szCs w:val="22"/>
              </w:rPr>
              <w:t>«компрессия депозитов»,</w:t>
            </w:r>
          </w:p>
          <w:p w:rsidR="003458ED" w:rsidRPr="00A1341A" w:rsidRDefault="003458ED" w:rsidP="003458ED">
            <w:pPr>
              <w:pStyle w:val="af5"/>
              <w:spacing w:before="120" w:after="120"/>
              <w:ind w:left="459"/>
              <w:rPr>
                <w:rFonts w:ascii="Arial" w:hAnsi="Arial" w:cs="Arial"/>
                <w:b/>
                <w:color w:val="000000" w:themeColor="text1"/>
                <w:sz w:val="22"/>
                <w:szCs w:val="22"/>
              </w:rPr>
            </w:pPr>
            <w:r w:rsidRPr="00751389">
              <w:rPr>
                <w:rFonts w:ascii="Arial" w:hAnsi="Arial" w:cs="Arial"/>
                <w:b/>
                <w:color w:val="FF0000"/>
                <w:sz w:val="22"/>
                <w:szCs w:val="22"/>
              </w:rPr>
              <w:t xml:space="preserve">реализация </w:t>
            </w:r>
            <w:r w:rsidR="00CD3BA1">
              <w:rPr>
                <w:rFonts w:ascii="Arial" w:hAnsi="Arial" w:cs="Arial"/>
                <w:b/>
                <w:color w:val="FF0000"/>
                <w:sz w:val="22"/>
                <w:szCs w:val="22"/>
              </w:rPr>
              <w:t xml:space="preserve">планируется </w:t>
            </w:r>
            <w:r w:rsidR="00CA44DC">
              <w:rPr>
                <w:rFonts w:ascii="Arial" w:hAnsi="Arial" w:cs="Arial"/>
                <w:b/>
                <w:color w:val="FF0000"/>
                <w:sz w:val="22"/>
                <w:szCs w:val="22"/>
              </w:rPr>
              <w:t>в течение 2019</w:t>
            </w:r>
            <w:r w:rsidR="00CD3BA1">
              <w:rPr>
                <w:rFonts w:ascii="Arial" w:hAnsi="Arial" w:cs="Arial"/>
                <w:b/>
                <w:color w:val="FF0000"/>
                <w:sz w:val="22"/>
                <w:szCs w:val="22"/>
              </w:rPr>
              <w:t xml:space="preserve"> года</w:t>
            </w:r>
            <w:r w:rsidRPr="00751389">
              <w:rPr>
                <w:rFonts w:ascii="Arial" w:hAnsi="Arial" w:cs="Arial"/>
                <w:b/>
                <w:color w:val="FF0000"/>
                <w:sz w:val="22"/>
                <w:szCs w:val="22"/>
              </w:rPr>
              <w:t>)</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34.7, 34.8 Правил клиринга на фондовом рынке.</w:t>
            </w:r>
          </w:p>
        </w:tc>
        <w:tc>
          <w:tcPr>
            <w:tcW w:w="7393" w:type="dxa"/>
          </w:tcPr>
          <w:p w:rsidR="00A1341A" w:rsidRPr="00A1341A" w:rsidRDefault="007F1418"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Предусмотрена возможность</w:t>
            </w:r>
            <w:r w:rsidR="00A1341A" w:rsidRPr="00A1341A">
              <w:rPr>
                <w:rFonts w:ascii="Arial" w:hAnsi="Arial" w:cs="Arial"/>
                <w:color w:val="000000" w:themeColor="text1"/>
                <w:sz w:val="22"/>
                <w:szCs w:val="22"/>
              </w:rPr>
              <w:t xml:space="preserve"> предоставления Участником клиринга Заявления об объединении заявок на заключение депозитного договора</w:t>
            </w:r>
            <w:r>
              <w:rPr>
                <w:rFonts w:ascii="Arial" w:hAnsi="Arial" w:cs="Arial"/>
                <w:color w:val="000000" w:themeColor="text1"/>
                <w:sz w:val="22"/>
                <w:szCs w:val="22"/>
              </w:rPr>
              <w:t>.</w:t>
            </w:r>
            <w:r w:rsidR="00A1341A" w:rsidRPr="00A1341A">
              <w:rPr>
                <w:rFonts w:ascii="Arial" w:hAnsi="Arial" w:cs="Arial"/>
                <w:color w:val="000000" w:themeColor="text1"/>
                <w:sz w:val="22"/>
                <w:szCs w:val="22"/>
              </w:rPr>
              <w:t xml:space="preserve"> </w:t>
            </w:r>
            <w:r>
              <w:rPr>
                <w:rFonts w:ascii="Arial" w:hAnsi="Arial" w:cs="Arial"/>
                <w:color w:val="000000" w:themeColor="text1"/>
                <w:sz w:val="22"/>
                <w:szCs w:val="22"/>
              </w:rPr>
              <w:t>П</w:t>
            </w:r>
            <w:r w:rsidR="00A1341A" w:rsidRPr="00A1341A">
              <w:rPr>
                <w:rFonts w:ascii="Arial" w:hAnsi="Arial" w:cs="Arial"/>
                <w:color w:val="000000" w:themeColor="text1"/>
                <w:sz w:val="22"/>
                <w:szCs w:val="22"/>
              </w:rPr>
              <w:t>ри наличии в реестре предложений безадресных заявок на заключение депозитных договоров, имеющих следующие одинаковые условия:</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Торгово-клиринговый счет;</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валюта депозита;</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наименование и код ценной бумаги, заявка на заключение сделки РЕПО с которой может быть признана допустимой встречной;</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краткий код клиента (если был указан в заявке);</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плановая дата заключения депозитного договора или Расчетный день, следующий за указанной датой,</w:t>
            </w:r>
          </w:p>
          <w:p w:rsidR="00A1341A" w:rsidRPr="00A1341A" w:rsidRDefault="00CE33FA" w:rsidP="00A1341A">
            <w:pPr>
              <w:pStyle w:val="af5"/>
              <w:spacing w:before="120" w:after="120"/>
              <w:ind w:left="0"/>
              <w:jc w:val="both"/>
              <w:rPr>
                <w:rFonts w:ascii="Arial" w:hAnsi="Arial" w:cs="Arial"/>
                <w:color w:val="000000" w:themeColor="text1"/>
                <w:sz w:val="22"/>
                <w:szCs w:val="22"/>
              </w:rPr>
            </w:pPr>
            <w:r>
              <w:rPr>
                <w:rFonts w:ascii="Arial" w:hAnsi="Arial" w:cs="Arial"/>
                <w:color w:val="000000" w:themeColor="text1"/>
                <w:sz w:val="22"/>
                <w:szCs w:val="22"/>
              </w:rPr>
              <w:t>С</w:t>
            </w:r>
            <w:r w:rsidR="00A1341A" w:rsidRPr="00A1341A">
              <w:rPr>
                <w:rFonts w:ascii="Arial" w:hAnsi="Arial" w:cs="Arial"/>
                <w:color w:val="000000" w:themeColor="text1"/>
                <w:sz w:val="22"/>
                <w:szCs w:val="22"/>
              </w:rPr>
              <w:t>тавка депозита рассчитывается исходя из общей суммы депозита и общей суммы возврата по депозиту и округляется по правилам математического округления с точностью до 7 знаков после запятой.</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Участника клиринга появляется новое право – объединить поданные заявки на заключение депозитного договора и заключить один депозитный договор на основании нескольких заявок на одну общую сумму.</w:t>
            </w:r>
          </w:p>
        </w:tc>
      </w:tr>
      <w:tr w:rsidR="003458ED" w:rsidRPr="00A1341A" w:rsidTr="00093EA9">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Клиринг внебиржевых сделок на фондовом и валютном рынках</w:t>
            </w:r>
          </w:p>
          <w:p w:rsidR="00EB0255" w:rsidRPr="00A1341A" w:rsidRDefault="00EB0255" w:rsidP="00EB0255">
            <w:pPr>
              <w:pStyle w:val="af5"/>
              <w:spacing w:before="120" w:after="120"/>
              <w:ind w:left="459"/>
              <w:rPr>
                <w:rFonts w:ascii="Arial" w:hAnsi="Arial" w:cs="Arial"/>
                <w:b/>
                <w:color w:val="000000" w:themeColor="text1"/>
                <w:sz w:val="22"/>
                <w:szCs w:val="22"/>
              </w:rPr>
            </w:pPr>
            <w:r>
              <w:rPr>
                <w:rFonts w:ascii="Arial" w:hAnsi="Arial" w:cs="Arial"/>
                <w:b/>
                <w:color w:val="FF0000"/>
                <w:sz w:val="22"/>
                <w:szCs w:val="22"/>
              </w:rPr>
              <w:t>(</w:t>
            </w:r>
            <w:r w:rsidRPr="00751389">
              <w:rPr>
                <w:rFonts w:ascii="Arial" w:hAnsi="Arial" w:cs="Arial"/>
                <w:b/>
                <w:color w:val="FF0000"/>
                <w:sz w:val="22"/>
                <w:szCs w:val="22"/>
              </w:rPr>
              <w:t xml:space="preserve">реализация </w:t>
            </w:r>
            <w:r w:rsidR="00AD74D6">
              <w:rPr>
                <w:rFonts w:ascii="Arial" w:hAnsi="Arial" w:cs="Arial"/>
                <w:b/>
                <w:color w:val="FF0000"/>
                <w:sz w:val="22"/>
                <w:szCs w:val="22"/>
              </w:rPr>
              <w:t xml:space="preserve">для фондового рынка </w:t>
            </w:r>
            <w:r w:rsidR="00CD3BA1">
              <w:rPr>
                <w:rFonts w:ascii="Arial" w:hAnsi="Arial" w:cs="Arial"/>
                <w:b/>
                <w:color w:val="FF0000"/>
                <w:sz w:val="22"/>
                <w:szCs w:val="22"/>
              </w:rPr>
              <w:t xml:space="preserve">планируется </w:t>
            </w:r>
            <w:r w:rsidR="00CA44DC">
              <w:rPr>
                <w:rFonts w:ascii="Arial" w:hAnsi="Arial" w:cs="Arial"/>
                <w:b/>
                <w:color w:val="FF0000"/>
                <w:sz w:val="22"/>
                <w:szCs w:val="22"/>
              </w:rPr>
              <w:t>в мае 2019</w:t>
            </w:r>
            <w:r w:rsidR="00CD3BA1">
              <w:rPr>
                <w:rFonts w:ascii="Arial" w:hAnsi="Arial" w:cs="Arial"/>
                <w:b/>
                <w:color w:val="FF0000"/>
                <w:sz w:val="22"/>
                <w:szCs w:val="22"/>
              </w:rPr>
              <w:t xml:space="preserve"> года</w:t>
            </w:r>
            <w:r w:rsidR="00CA44DC">
              <w:rPr>
                <w:rFonts w:ascii="Arial" w:hAnsi="Arial" w:cs="Arial"/>
                <w:b/>
                <w:color w:val="FF0000"/>
                <w:sz w:val="22"/>
                <w:szCs w:val="22"/>
              </w:rPr>
              <w:t xml:space="preserve">, на валютном рынке - </w:t>
            </w:r>
            <w:r w:rsidR="00CA44DC">
              <w:rPr>
                <w:rFonts w:ascii="Arial" w:hAnsi="Arial" w:cs="Arial"/>
                <w:b/>
                <w:color w:val="FF0000"/>
                <w:sz w:val="22"/>
                <w:szCs w:val="22"/>
              </w:rPr>
              <w:t>в течение 2019 года</w:t>
            </w:r>
            <w:r w:rsidRPr="00751389">
              <w:rPr>
                <w:rFonts w:ascii="Arial" w:hAnsi="Arial" w:cs="Arial"/>
                <w:b/>
                <w:color w:val="FF0000"/>
                <w:sz w:val="22"/>
                <w:szCs w:val="22"/>
              </w:rPr>
              <w:t>)</w:t>
            </w:r>
          </w:p>
        </w:tc>
        <w:tc>
          <w:tcPr>
            <w:tcW w:w="2536" w:type="dxa"/>
            <w:shd w:val="clear" w:color="auto" w:fill="FFFFFF" w:themeFill="background1"/>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подпункты 11.5.1, 11.6.1, 35.1.1, пункт 35.2 Общей части Правил клиринга;</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пункт 1.1 определение «Внебиржевая сделка с ценными бумагами / внебиржевая сделка», пункты 2.1, 8.5, статьи 17 и 18, исключена статья 21, пункты 28.2, 46.2, статья 48 Правил клиринга на фондовом рынке, пункт 4 приложение 2 к </w:t>
            </w:r>
            <w:r w:rsidRPr="00A1341A">
              <w:rPr>
                <w:rFonts w:ascii="Arial" w:hAnsi="Arial" w:cs="Arial"/>
                <w:color w:val="000000" w:themeColor="text1"/>
                <w:sz w:val="22"/>
                <w:szCs w:val="22"/>
              </w:rPr>
              <w:lastRenderedPageBreak/>
              <w:t>Правилам клиринга на фондовом рынке;</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пункт 10.4, статьи 11 и 12 Правил клиринга на валютном рынке, пункт 3 приложения 1 к Правилам клиринга на валютном рынке.</w:t>
            </w:r>
          </w:p>
        </w:tc>
        <w:tc>
          <w:tcPr>
            <w:tcW w:w="7393" w:type="dxa"/>
          </w:tcPr>
          <w:p w:rsidR="00A1341A" w:rsidRPr="00A1341A"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Определен порядок заключения внебиржевых сделок с ЦК с ценными бумагами и иностранной валютой.</w:t>
            </w:r>
          </w:p>
          <w:p w:rsidR="005C4235"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К заключению Внебиржевых сделок допускаются Участники клиринга, допущенные к клиринговому обслуживанию на соответствующем рынке.</w:t>
            </w:r>
          </w:p>
          <w:p w:rsidR="00A1341A" w:rsidRPr="00A1341A"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Участник клиринга подает в Клиринговую систему Предложение, являющееся офертой на заключение Внебиржевой сделки с ценными бумагами / иностранной валютой. Предложение Участника клиринга адресовано </w:t>
            </w:r>
            <w:r w:rsidR="005C4235">
              <w:rPr>
                <w:rFonts w:ascii="Arial" w:hAnsi="Arial" w:cs="Arial"/>
                <w:color w:val="000000" w:themeColor="text1"/>
                <w:sz w:val="22"/>
                <w:szCs w:val="22"/>
              </w:rPr>
              <w:t>НКЦ</w:t>
            </w:r>
            <w:r w:rsidRPr="00A1341A">
              <w:rPr>
                <w:rFonts w:ascii="Arial" w:hAnsi="Arial" w:cs="Arial"/>
                <w:color w:val="000000" w:themeColor="text1"/>
                <w:sz w:val="22"/>
                <w:szCs w:val="22"/>
              </w:rPr>
              <w:t>.</w:t>
            </w:r>
          </w:p>
          <w:p w:rsidR="00A1341A" w:rsidRPr="00A1341A"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Предложения подаются с использованием ОТС-системы, в ОТС-системе происходит </w:t>
            </w:r>
            <w:proofErr w:type="spellStart"/>
            <w:r w:rsidRPr="00A1341A">
              <w:rPr>
                <w:rFonts w:ascii="Arial" w:hAnsi="Arial" w:cs="Arial"/>
                <w:color w:val="000000" w:themeColor="text1"/>
                <w:sz w:val="22"/>
                <w:szCs w:val="22"/>
              </w:rPr>
              <w:t>мэтчинг</w:t>
            </w:r>
            <w:proofErr w:type="spellEnd"/>
            <w:r w:rsidRPr="00A1341A">
              <w:rPr>
                <w:rFonts w:ascii="Arial" w:hAnsi="Arial" w:cs="Arial"/>
                <w:color w:val="000000" w:themeColor="text1"/>
                <w:sz w:val="22"/>
                <w:szCs w:val="22"/>
              </w:rPr>
              <w:t xml:space="preserve"> Предложений.</w:t>
            </w:r>
          </w:p>
          <w:p w:rsidR="00A1341A" w:rsidRPr="00A1341A"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Момент отображения в Клиринговой системе ответного Предложения </w:t>
            </w:r>
            <w:r w:rsidR="005C4235">
              <w:rPr>
                <w:rFonts w:ascii="Arial" w:hAnsi="Arial" w:cs="Arial"/>
                <w:color w:val="000000" w:themeColor="text1"/>
                <w:sz w:val="22"/>
                <w:szCs w:val="22"/>
              </w:rPr>
              <w:t>НКЦ</w:t>
            </w:r>
            <w:r w:rsidRPr="00A1341A">
              <w:rPr>
                <w:rFonts w:ascii="Arial" w:hAnsi="Arial" w:cs="Arial"/>
                <w:color w:val="000000" w:themeColor="text1"/>
                <w:sz w:val="22"/>
                <w:szCs w:val="22"/>
              </w:rPr>
              <w:t xml:space="preserve"> (акцепта) считается моментом получения согласия </w:t>
            </w:r>
            <w:r w:rsidR="005C4235">
              <w:rPr>
                <w:rFonts w:ascii="Arial" w:hAnsi="Arial" w:cs="Arial"/>
                <w:color w:val="000000" w:themeColor="text1"/>
                <w:sz w:val="22"/>
                <w:szCs w:val="22"/>
              </w:rPr>
              <w:t>НКЦ</w:t>
            </w:r>
            <w:r w:rsidRPr="00A1341A">
              <w:rPr>
                <w:rFonts w:ascii="Arial" w:hAnsi="Arial" w:cs="Arial"/>
                <w:color w:val="000000" w:themeColor="text1"/>
                <w:sz w:val="22"/>
                <w:szCs w:val="22"/>
              </w:rPr>
              <w:t xml:space="preserve"> на </w:t>
            </w:r>
            <w:r w:rsidRPr="00A1341A">
              <w:rPr>
                <w:rFonts w:ascii="Arial" w:hAnsi="Arial" w:cs="Arial"/>
                <w:color w:val="000000" w:themeColor="text1"/>
                <w:sz w:val="22"/>
                <w:szCs w:val="22"/>
              </w:rPr>
              <w:lastRenderedPageBreak/>
              <w:t xml:space="preserve">заключение Внебиржевой сделки и является моментом заключения Внебиржевой сделки между Участником клиринга и </w:t>
            </w:r>
            <w:r w:rsidR="005C4235">
              <w:rPr>
                <w:rFonts w:ascii="Arial" w:hAnsi="Arial" w:cs="Arial"/>
                <w:color w:val="000000" w:themeColor="text1"/>
                <w:sz w:val="22"/>
                <w:szCs w:val="22"/>
              </w:rPr>
              <w:t>НКЦ</w:t>
            </w:r>
            <w:r w:rsidRPr="00A1341A">
              <w:rPr>
                <w:rFonts w:ascii="Arial" w:hAnsi="Arial" w:cs="Arial"/>
                <w:color w:val="000000" w:themeColor="text1"/>
                <w:sz w:val="22"/>
                <w:szCs w:val="22"/>
              </w:rPr>
              <w:t>.</w:t>
            </w:r>
          </w:p>
          <w:p w:rsidR="00A1341A" w:rsidRPr="00A1341A" w:rsidRDefault="00A1341A" w:rsidP="00A1341A">
            <w:pPr>
              <w:tabs>
                <w:tab w:val="left" w:pos="248"/>
              </w:tabs>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По заключенным Внебиржевым сделкам НКЦ осуществляет клиринг в соответствии с действующим порядком.</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У Участников клиринга появляется право заключать внебиржевые сделки с ЦК с ценными бумагами и иностранной валютой.</w:t>
            </w:r>
          </w:p>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По указанным сделкам НКЦ осуществляет клиринг.</w:t>
            </w:r>
          </w:p>
        </w:tc>
      </w:tr>
      <w:tr w:rsidR="003458ED" w:rsidRPr="00A1341A" w:rsidTr="00093EA9">
        <w:tc>
          <w:tcPr>
            <w:tcW w:w="3254" w:type="dxa"/>
            <w:shd w:val="clear" w:color="auto" w:fill="F2DBDB" w:themeFill="accent2" w:themeFillTint="33"/>
          </w:tcPr>
          <w:p w:rsidR="00CD3BA1"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Включение рынка СПФИ в Единый пул обеспечения</w:t>
            </w:r>
          </w:p>
          <w:p w:rsidR="00CD3BA1" w:rsidRDefault="00CD3BA1" w:rsidP="00CD3BA1"/>
          <w:p w:rsidR="00A1341A" w:rsidRPr="00CD3BA1" w:rsidRDefault="00CD3BA1" w:rsidP="00CD3BA1">
            <w:r>
              <w:rPr>
                <w:rFonts w:ascii="Arial" w:hAnsi="Arial" w:cs="Arial"/>
                <w:b/>
                <w:color w:val="FF0000"/>
                <w:sz w:val="22"/>
                <w:szCs w:val="22"/>
              </w:rPr>
              <w:t>(</w:t>
            </w:r>
            <w:r w:rsidRPr="00751389">
              <w:rPr>
                <w:rFonts w:ascii="Arial" w:hAnsi="Arial" w:cs="Arial"/>
                <w:b/>
                <w:color w:val="FF0000"/>
                <w:sz w:val="22"/>
                <w:szCs w:val="22"/>
              </w:rPr>
              <w:t xml:space="preserve">реализация </w:t>
            </w:r>
            <w:r>
              <w:rPr>
                <w:rFonts w:ascii="Arial" w:hAnsi="Arial" w:cs="Arial"/>
                <w:b/>
                <w:color w:val="FF0000"/>
                <w:sz w:val="22"/>
                <w:szCs w:val="22"/>
              </w:rPr>
              <w:t xml:space="preserve">планируется </w:t>
            </w:r>
            <w:r>
              <w:rPr>
                <w:rFonts w:ascii="Arial" w:hAnsi="Arial" w:cs="Arial"/>
                <w:b/>
                <w:color w:val="FF0000"/>
                <w:sz w:val="22"/>
                <w:szCs w:val="22"/>
              </w:rPr>
              <w:t xml:space="preserve">в </w:t>
            </w:r>
            <w:r w:rsidR="00CA44DC">
              <w:rPr>
                <w:rFonts w:ascii="Arial" w:hAnsi="Arial" w:cs="Arial"/>
                <w:b/>
                <w:color w:val="FF0000"/>
                <w:sz w:val="22"/>
                <w:szCs w:val="22"/>
              </w:rPr>
              <w:t>мае</w:t>
            </w:r>
            <w:r>
              <w:rPr>
                <w:rFonts w:ascii="Arial" w:hAnsi="Arial" w:cs="Arial"/>
                <w:b/>
                <w:color w:val="FF0000"/>
                <w:sz w:val="22"/>
                <w:szCs w:val="22"/>
              </w:rPr>
              <w:t xml:space="preserve"> 2019</w:t>
            </w:r>
            <w:r w:rsidR="00CA44DC">
              <w:rPr>
                <w:rFonts w:ascii="Arial" w:hAnsi="Arial" w:cs="Arial"/>
                <w:b/>
                <w:color w:val="FF0000"/>
                <w:sz w:val="22"/>
                <w:szCs w:val="22"/>
              </w:rPr>
              <w:t xml:space="preserve"> года</w:t>
            </w:r>
            <w:r w:rsidRPr="00751389">
              <w:rPr>
                <w:rFonts w:ascii="Arial" w:hAnsi="Arial" w:cs="Arial"/>
                <w:b/>
                <w:color w:val="FF0000"/>
                <w:sz w:val="22"/>
                <w:szCs w:val="22"/>
              </w:rPr>
              <w:t>)</w:t>
            </w:r>
          </w:p>
        </w:tc>
        <w:tc>
          <w:tcPr>
            <w:tcW w:w="2536" w:type="dxa"/>
            <w:shd w:val="clear" w:color="auto" w:fill="FFFFFF" w:themeFill="background1"/>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пункт 19.1, подпункт 19.4.2, пункт 19.6, подпункт 23.4.1, пункт 23.5, подпункт 23.3.5 подпункты 28.7.1, 28.7.2, 28.12.4, пункты 31.11, 31.12, подпункт 31.14.3, пункты 40.1, 40.2 Общей части Правил клиринга;</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пункты 20.1.6, 29.2, 29.4 Правил клиринга на фондовом рынке;</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пункты 2.4, 2.7, 10.3- 10.6, 13.14, 16.4, 16.8, 16.9, 17.3, 17.7-17.9, 18.5, статьи 20, 23, пункты 26.7, 27.1, подпункт 27.2.1, пункт 31.6 Правил клиринга на рынке Стандартизированных ПФИ, пункты 2–5 приложения 1 к Правилам клиринга на рынке СПФИ.</w:t>
            </w:r>
          </w:p>
        </w:tc>
        <w:tc>
          <w:tcPr>
            <w:tcW w:w="7393" w:type="dxa"/>
          </w:tcPr>
          <w:p w:rsidR="00A1341A" w:rsidRPr="00A1341A" w:rsidRDefault="00A1341A" w:rsidP="00A1341A">
            <w:pPr>
              <w:spacing w:before="120" w:after="120"/>
              <w:ind w:left="11"/>
              <w:jc w:val="both"/>
              <w:rPr>
                <w:rFonts w:ascii="Arial" w:hAnsi="Arial" w:cs="Arial"/>
                <w:color w:val="000000" w:themeColor="text1"/>
                <w:sz w:val="22"/>
                <w:szCs w:val="22"/>
              </w:rPr>
            </w:pPr>
            <w:r w:rsidRPr="00A1341A">
              <w:rPr>
                <w:rFonts w:ascii="Arial" w:hAnsi="Arial" w:cs="Arial"/>
                <w:color w:val="000000" w:themeColor="text1"/>
                <w:sz w:val="22"/>
                <w:szCs w:val="22"/>
              </w:rPr>
              <w:t>В целях включения рынка СПФИ в контур проекта «Единый пул обеспечения» в Правила клиринга внесены следующие изменения:</w:t>
            </w:r>
          </w:p>
          <w:p w:rsidR="00A1341A" w:rsidRPr="00A1341A" w:rsidRDefault="00A1341A" w:rsidP="00A1341A">
            <w:pPr>
              <w:pStyle w:val="af5"/>
              <w:numPr>
                <w:ilvl w:val="0"/>
                <w:numId w:val="36"/>
              </w:numPr>
              <w:spacing w:before="120" w:after="120"/>
              <w:ind w:left="400" w:hanging="400"/>
              <w:jc w:val="both"/>
              <w:rPr>
                <w:rFonts w:ascii="Arial" w:hAnsi="Arial" w:cs="Arial"/>
                <w:color w:val="000000" w:themeColor="text1"/>
                <w:sz w:val="22"/>
                <w:szCs w:val="22"/>
              </w:rPr>
            </w:pPr>
            <w:r w:rsidRPr="00A1341A">
              <w:rPr>
                <w:rFonts w:ascii="Arial" w:hAnsi="Arial" w:cs="Arial"/>
                <w:color w:val="000000" w:themeColor="text1"/>
                <w:sz w:val="22"/>
                <w:szCs w:val="22"/>
              </w:rPr>
              <w:t>Порядок учета и передачи профилей активов дополнен порядком передачи профилей денежных средств в российских рублях и иностранной валюте между Торгово-клиринговыми системами фондового и рынка СПФИ</w:t>
            </w:r>
          </w:p>
          <w:p w:rsidR="00A1341A" w:rsidRPr="00A1341A" w:rsidRDefault="00A1341A" w:rsidP="00A1341A">
            <w:pPr>
              <w:pStyle w:val="af5"/>
              <w:numPr>
                <w:ilvl w:val="0"/>
                <w:numId w:val="36"/>
              </w:numPr>
              <w:spacing w:before="120" w:after="120"/>
              <w:ind w:left="400" w:hanging="400"/>
              <w:jc w:val="both"/>
              <w:rPr>
                <w:rFonts w:ascii="Arial" w:hAnsi="Arial" w:cs="Arial"/>
                <w:color w:val="000000" w:themeColor="text1"/>
                <w:sz w:val="22"/>
                <w:szCs w:val="22"/>
              </w:rPr>
            </w:pPr>
            <w:r w:rsidRPr="00A1341A">
              <w:rPr>
                <w:rFonts w:ascii="Arial" w:hAnsi="Arial" w:cs="Arial"/>
                <w:color w:val="000000" w:themeColor="text1"/>
                <w:sz w:val="22"/>
                <w:szCs w:val="22"/>
              </w:rPr>
              <w:t>При расчете оценки Обеспечения на рынке СПФИ по Расчетному коду Единого пула учитываются профили активов по денежным средствам в российских рублях и иностранной валюте.</w:t>
            </w:r>
          </w:p>
          <w:p w:rsidR="00A1341A" w:rsidRPr="00A1341A" w:rsidRDefault="00A1341A" w:rsidP="00A1341A">
            <w:pPr>
              <w:pStyle w:val="af5"/>
              <w:numPr>
                <w:ilvl w:val="0"/>
                <w:numId w:val="36"/>
              </w:numPr>
              <w:spacing w:before="120" w:after="120"/>
              <w:ind w:left="400" w:hanging="40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Обязательства, определенные на рынке СПФИ и учитываемые по Расчетному коду </w:t>
            </w:r>
            <w:proofErr w:type="gramStart"/>
            <w:r w:rsidRPr="00A1341A">
              <w:rPr>
                <w:rFonts w:ascii="Arial" w:hAnsi="Arial" w:cs="Arial"/>
                <w:color w:val="000000" w:themeColor="text1"/>
                <w:sz w:val="22"/>
                <w:szCs w:val="22"/>
              </w:rPr>
              <w:t>Единого пула</w:t>
            </w:r>
            <w:proofErr w:type="gramEnd"/>
            <w:r w:rsidRPr="00A1341A">
              <w:rPr>
                <w:rFonts w:ascii="Arial" w:hAnsi="Arial" w:cs="Arial"/>
                <w:color w:val="000000" w:themeColor="text1"/>
                <w:sz w:val="22"/>
                <w:szCs w:val="22"/>
              </w:rPr>
              <w:t xml:space="preserve"> включаются в состав Единого клирингового пула и исполняются в порядке, определенном общей частью Правил клиринга.</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Участников клиринга появляется право распространить область действия Расчетного кода Единого пула на рынок СПФИ.</w:t>
            </w:r>
          </w:p>
        </w:tc>
      </w:tr>
      <w:tr w:rsidR="003458ED" w:rsidRPr="00A1341A" w:rsidTr="00093EA9">
        <w:tc>
          <w:tcPr>
            <w:tcW w:w="3254" w:type="dxa"/>
            <w:shd w:val="clear" w:color="auto" w:fill="F2DBDB" w:themeFill="accent2" w:themeFillTint="33"/>
          </w:tcPr>
          <w:p w:rsidR="00CD3BA1"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lastRenderedPageBreak/>
              <w:t>Унификация порядка возврата Обеспечения на рынке СПФИ с другими рынками</w:t>
            </w:r>
          </w:p>
          <w:p w:rsidR="00A1341A" w:rsidRPr="00CD3BA1" w:rsidRDefault="00CD3BA1" w:rsidP="00CD3BA1">
            <w:r>
              <w:rPr>
                <w:rFonts w:ascii="Arial" w:hAnsi="Arial" w:cs="Arial"/>
                <w:b/>
                <w:color w:val="FF0000"/>
                <w:sz w:val="22"/>
                <w:szCs w:val="22"/>
              </w:rPr>
              <w:t>(</w:t>
            </w:r>
            <w:r w:rsidRPr="00751389">
              <w:rPr>
                <w:rFonts w:ascii="Arial" w:hAnsi="Arial" w:cs="Arial"/>
                <w:b/>
                <w:color w:val="FF0000"/>
                <w:sz w:val="22"/>
                <w:szCs w:val="22"/>
              </w:rPr>
              <w:t xml:space="preserve">реализация </w:t>
            </w:r>
            <w:r>
              <w:rPr>
                <w:rFonts w:ascii="Arial" w:hAnsi="Arial" w:cs="Arial"/>
                <w:b/>
                <w:color w:val="FF0000"/>
                <w:sz w:val="22"/>
                <w:szCs w:val="22"/>
              </w:rPr>
              <w:t xml:space="preserve">планируется в </w:t>
            </w:r>
            <w:r>
              <w:rPr>
                <w:rFonts w:ascii="Arial" w:hAnsi="Arial" w:cs="Arial"/>
                <w:b/>
                <w:color w:val="FF0000"/>
                <w:sz w:val="22"/>
                <w:szCs w:val="22"/>
              </w:rPr>
              <w:t>мае</w:t>
            </w:r>
            <w:r>
              <w:rPr>
                <w:rFonts w:ascii="Arial" w:hAnsi="Arial" w:cs="Arial"/>
                <w:b/>
                <w:color w:val="FF0000"/>
                <w:sz w:val="22"/>
                <w:szCs w:val="22"/>
              </w:rPr>
              <w:t xml:space="preserve"> 2019</w:t>
            </w:r>
            <w:r w:rsidR="00CA44DC">
              <w:rPr>
                <w:rFonts w:ascii="Arial" w:hAnsi="Arial" w:cs="Arial"/>
                <w:b/>
                <w:color w:val="FF0000"/>
                <w:sz w:val="22"/>
                <w:szCs w:val="22"/>
              </w:rPr>
              <w:t xml:space="preserve"> года</w:t>
            </w:r>
            <w:r w:rsidRPr="00751389">
              <w:rPr>
                <w:rFonts w:ascii="Arial" w:hAnsi="Arial" w:cs="Arial"/>
                <w:b/>
                <w:color w:val="FF0000"/>
                <w:sz w:val="22"/>
                <w:szCs w:val="22"/>
              </w:rPr>
              <w:t>)</w:t>
            </w:r>
          </w:p>
        </w:tc>
        <w:tc>
          <w:tcPr>
            <w:tcW w:w="2536" w:type="dxa"/>
            <w:shd w:val="clear" w:color="auto" w:fill="FFFFFF" w:themeFill="background1"/>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статья 19 Правил клиринга на рынке Стандартизированных ПФИ.</w:t>
            </w:r>
          </w:p>
        </w:tc>
        <w:tc>
          <w:tcPr>
            <w:tcW w:w="7393" w:type="dxa"/>
          </w:tcPr>
          <w:p w:rsidR="00A1341A" w:rsidRPr="00A1341A" w:rsidRDefault="00A1341A" w:rsidP="00A1341A">
            <w:pPr>
              <w:spacing w:before="120" w:after="120"/>
              <w:ind w:left="11"/>
              <w:jc w:val="both"/>
              <w:rPr>
                <w:rFonts w:ascii="Arial" w:hAnsi="Arial" w:cs="Arial"/>
                <w:color w:val="000000" w:themeColor="text1"/>
                <w:sz w:val="22"/>
                <w:szCs w:val="22"/>
              </w:rPr>
            </w:pPr>
            <w:r w:rsidRPr="00A1341A">
              <w:rPr>
                <w:rFonts w:ascii="Arial" w:hAnsi="Arial" w:cs="Arial"/>
                <w:color w:val="000000" w:themeColor="text1"/>
                <w:sz w:val="22"/>
                <w:szCs w:val="22"/>
              </w:rPr>
              <w:t>Внесение и возврат Обеспечения, учитываемого по Расчетному коду Единого пула, осуществляется в порядке и сроки, определенные общей частью Правил клиринга.</w:t>
            </w:r>
          </w:p>
          <w:p w:rsidR="00A1341A" w:rsidRPr="00A1341A" w:rsidRDefault="00A1341A" w:rsidP="00A1341A">
            <w:pPr>
              <w:pStyle w:val="af5"/>
              <w:tabs>
                <w:tab w:val="left" w:pos="258"/>
              </w:tabs>
              <w:spacing w:before="120" w:after="120"/>
              <w:ind w:left="0"/>
              <w:jc w:val="both"/>
              <w:rPr>
                <w:rFonts w:ascii="Arial" w:hAnsi="Arial" w:cs="Arial"/>
                <w:color w:val="000000" w:themeColor="text1"/>
                <w:sz w:val="22"/>
                <w:szCs w:val="22"/>
              </w:rPr>
            </w:pP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Участников клиринга рынка СПФИ появляется право использовать все сервисы, связанные с возвратом Обеспечения, используемые в настоящее время на фондовом, валютном и срочном рынках.</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Изменение временного регламента обращения НКЦ к системе подбора ценных бумаг НРД для исполнения Маржинальных требований</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34.8, 36.4, 36.9 Общей части Правил клиринга;</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 26.9 Правил клиринга на фондовом рынке.</w:t>
            </w:r>
          </w:p>
        </w:tc>
        <w:tc>
          <w:tcPr>
            <w:tcW w:w="7393" w:type="dxa"/>
          </w:tcPr>
          <w:p w:rsidR="00A1341A" w:rsidRPr="00A1341A" w:rsidRDefault="005E10EC"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НКЦ</w:t>
            </w:r>
            <w:r w:rsidR="00A1341A" w:rsidRPr="00A1341A">
              <w:rPr>
                <w:rFonts w:ascii="Arial" w:hAnsi="Arial" w:cs="Arial"/>
                <w:color w:val="000000" w:themeColor="text1"/>
                <w:sz w:val="22"/>
                <w:szCs w:val="22"/>
              </w:rPr>
              <w:t xml:space="preserve"> вправе направить </w:t>
            </w:r>
            <w:r>
              <w:rPr>
                <w:rFonts w:ascii="Arial" w:hAnsi="Arial" w:cs="Arial"/>
                <w:color w:val="000000" w:themeColor="text1"/>
                <w:sz w:val="22"/>
                <w:szCs w:val="22"/>
              </w:rPr>
              <w:t>в НРД</w:t>
            </w:r>
            <w:r w:rsidR="00A1341A" w:rsidRPr="00A1341A">
              <w:rPr>
                <w:rFonts w:ascii="Arial" w:hAnsi="Arial" w:cs="Arial"/>
                <w:color w:val="000000" w:themeColor="text1"/>
                <w:sz w:val="22"/>
                <w:szCs w:val="22"/>
              </w:rPr>
              <w:t xml:space="preserve"> Запрос на подбор ценных бумаг с целью исполнения Маржинальных требований (только для Участников клиринга,</w:t>
            </w:r>
            <w:r>
              <w:rPr>
                <w:rFonts w:ascii="Arial" w:hAnsi="Arial" w:cs="Arial"/>
                <w:color w:val="000000" w:themeColor="text1"/>
                <w:sz w:val="22"/>
                <w:szCs w:val="22"/>
              </w:rPr>
              <w:t xml:space="preserve"> использующих сервис подбора бумаг в НРД</w:t>
            </w:r>
            <w:r w:rsidR="00A1341A" w:rsidRPr="00A1341A">
              <w:rPr>
                <w:rFonts w:ascii="Arial" w:hAnsi="Arial" w:cs="Arial"/>
                <w:color w:val="000000" w:themeColor="text1"/>
                <w:sz w:val="22"/>
                <w:szCs w:val="22"/>
              </w:rPr>
              <w:t>).</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Запрос на подбор ценных бумаг направляется с указанием суммы Маржинального требования и Разделов Т+, входящих в состав Торгово-клиринговых счетов совместно с Расчетным кодом, по которому учитывается Маржинальное требование.</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Запрос на подбор ценных бумаг направляется сразу после определения Маржинальных требований, а также за 1 час до момента времени, до которого Участники клиринга обязаны исполнить Маржинальные требования.</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Расширяются возможности НКЦ по использованию сервисов по подбору обеспечения НРД. Вследствие этого снижается вероятность принудительного закрытия позиций Участников клиринга, подключившихся к сервису подбора обеспечения НРД, по причине неисполнения Маржинальных требований.</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Уточнение порядка расчета дохода по сделкам РЕПО с Банком России</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 21.4.3 Правил клиринга на фондовом рынке.</w:t>
            </w:r>
          </w:p>
        </w:tc>
        <w:tc>
          <w:tcPr>
            <w:tcW w:w="7393" w:type="dxa"/>
          </w:tcPr>
          <w:p w:rsidR="00A1341A" w:rsidRPr="00A1341A" w:rsidRDefault="00A1341A" w:rsidP="00A1341A">
            <w:pPr>
              <w:pStyle w:val="af5"/>
              <w:spacing w:before="120" w:after="120"/>
              <w:ind w:left="-23"/>
              <w:jc w:val="both"/>
              <w:rPr>
                <w:rFonts w:ascii="Arial" w:hAnsi="Arial" w:cs="Arial"/>
                <w:color w:val="000000" w:themeColor="text1"/>
                <w:sz w:val="22"/>
                <w:szCs w:val="22"/>
              </w:rPr>
            </w:pPr>
            <w:r w:rsidRPr="00A1341A">
              <w:rPr>
                <w:rFonts w:ascii="Arial" w:hAnsi="Arial" w:cs="Arial"/>
                <w:color w:val="000000" w:themeColor="text1"/>
                <w:sz w:val="22"/>
                <w:szCs w:val="22"/>
              </w:rPr>
              <w:t xml:space="preserve">Для сделок РЕПО, заключенных в Режимах торгов «РЕПО с Банком России: Аукцион РЕПО» и «РЕПО с Банком России: </w:t>
            </w:r>
            <w:proofErr w:type="spellStart"/>
            <w:r w:rsidRPr="00A1341A">
              <w:rPr>
                <w:rFonts w:ascii="Arial" w:hAnsi="Arial" w:cs="Arial"/>
                <w:color w:val="000000" w:themeColor="text1"/>
                <w:sz w:val="22"/>
                <w:szCs w:val="22"/>
              </w:rPr>
              <w:t>фикс.ставка</w:t>
            </w:r>
            <w:proofErr w:type="spellEnd"/>
            <w:r w:rsidRPr="00A1341A">
              <w:rPr>
                <w:rFonts w:ascii="Arial" w:hAnsi="Arial" w:cs="Arial"/>
                <w:color w:val="000000" w:themeColor="text1"/>
                <w:sz w:val="22"/>
                <w:szCs w:val="22"/>
              </w:rPr>
              <w:t xml:space="preserve">», с </w:t>
            </w:r>
            <w:r w:rsidR="00A5720D">
              <w:rPr>
                <w:rFonts w:ascii="Arial" w:hAnsi="Arial" w:cs="Arial"/>
                <w:color w:val="000000" w:themeColor="text1"/>
                <w:sz w:val="22"/>
                <w:szCs w:val="22"/>
              </w:rPr>
              <w:t>«надлежащей»</w:t>
            </w:r>
            <w:r w:rsidR="001F099F">
              <w:rPr>
                <w:rFonts w:ascii="Arial" w:hAnsi="Arial" w:cs="Arial"/>
                <w:color w:val="000000" w:themeColor="text1"/>
                <w:sz w:val="22"/>
                <w:szCs w:val="22"/>
              </w:rPr>
              <w:t xml:space="preserve"> </w:t>
            </w:r>
            <w:r w:rsidRPr="00A1341A">
              <w:rPr>
                <w:rFonts w:ascii="Arial" w:hAnsi="Arial" w:cs="Arial"/>
                <w:color w:val="000000" w:themeColor="text1"/>
                <w:sz w:val="22"/>
                <w:szCs w:val="22"/>
              </w:rPr>
              <w:t>Даты исполнения обязательств по второй части этой сделки РЕПО до фактической даты исполнения обязательств по второй части этой сделки РЕПО или до Даты прекращения исполнения этой сделки РЕПО доход по сделке РЕПО не рассчитывается.</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Уточнение порядка расчета дохода по сделкам РЕПО без ЦК в части учета дат </w:t>
            </w:r>
            <w:r w:rsidRPr="00A1341A">
              <w:rPr>
                <w:rFonts w:ascii="Arial" w:hAnsi="Arial" w:cs="Arial"/>
                <w:b/>
                <w:color w:val="000000" w:themeColor="text1"/>
                <w:sz w:val="22"/>
                <w:szCs w:val="22"/>
              </w:rPr>
              <w:lastRenderedPageBreak/>
              <w:t>исполнения первой и второй части сделок РЕПО</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подпункт 21.4.3, пункт 21.9 Правил клиринга на фондовом рынке.</w:t>
            </w:r>
          </w:p>
        </w:tc>
        <w:tc>
          <w:tcPr>
            <w:tcW w:w="7393" w:type="dxa"/>
          </w:tcPr>
          <w:p w:rsidR="00A1341A" w:rsidRPr="00A1341A" w:rsidRDefault="00A1341A" w:rsidP="006324E3">
            <w:pPr>
              <w:pStyle w:val="af5"/>
              <w:spacing w:before="120" w:after="120"/>
              <w:ind w:left="-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Расчет дохода по сделке РЕПО и стоимости обратного выкупа в Клиринговой системе осуществляется начиная с фактической даты исполнения обязательств по первой части сделки РЕПО (не включая эту дату) до фактической даты исполнения обязательств по второй </w:t>
            </w:r>
            <w:r w:rsidRPr="00A1341A">
              <w:rPr>
                <w:rFonts w:ascii="Arial" w:hAnsi="Arial" w:cs="Arial"/>
                <w:color w:val="000000" w:themeColor="text1"/>
                <w:sz w:val="22"/>
                <w:szCs w:val="22"/>
              </w:rPr>
              <w:lastRenderedPageBreak/>
              <w:t>части этой сделки РЕПО или до Даты прекращения исполнения этой сделки РЕПО (включая эту дату).</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Не влияет на права и обязанности Участников клиринга.</w:t>
            </w:r>
          </w:p>
        </w:tc>
      </w:tr>
      <w:tr w:rsidR="003458ED" w:rsidRPr="00A1341A" w:rsidTr="00093EA9">
        <w:tc>
          <w:tcPr>
            <w:tcW w:w="3254" w:type="dxa"/>
            <w:shd w:val="clear" w:color="auto" w:fill="F2DBDB" w:themeFill="accent2" w:themeFillTint="33"/>
          </w:tcPr>
          <w:p w:rsidR="00CA44DC" w:rsidRPr="00093EA9" w:rsidRDefault="00A1341A" w:rsidP="00093EA9">
            <w:pPr>
              <w:pStyle w:val="af5"/>
              <w:numPr>
                <w:ilvl w:val="0"/>
                <w:numId w:val="24"/>
              </w:numPr>
              <w:spacing w:before="120" w:after="120"/>
              <w:ind w:left="459" w:hanging="426"/>
              <w:rPr>
                <w:rFonts w:ascii="Arial" w:hAnsi="Arial" w:cs="Arial"/>
                <w:b/>
                <w:color w:val="000000" w:themeColor="text1"/>
                <w:sz w:val="22"/>
                <w:szCs w:val="22"/>
              </w:rPr>
            </w:pPr>
            <w:r w:rsidRPr="00A8684B">
              <w:rPr>
                <w:rFonts w:ascii="Arial" w:hAnsi="Arial" w:cs="Arial"/>
                <w:b/>
                <w:color w:val="000000" w:themeColor="text1"/>
                <w:sz w:val="22"/>
                <w:szCs w:val="22"/>
              </w:rPr>
              <w:t>Клиринг по средневзвешенным сделкам (сделкам по средневзвешенному курсу, определенному на 11:30)</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4.2, 13.6, 13.7 Правил клиринга на валютном рынке.</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Предусмотрена возможность осуществления клиринга по средневзвешенным сделкам.</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Сторонами по средневзвешенным сделкам могут являться Участники клиринга категории «А», «К», «Б» или «О».</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Участников клиринга категории «А», «К», «Б» или «О» появляется право становится сторонами по средневзвешенным сделкам.</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Проверка Единого лимита добавлена в качестве необходимого условия для закрытия </w:t>
            </w:r>
            <w:r w:rsidR="006A679E">
              <w:rPr>
                <w:rFonts w:ascii="Arial" w:hAnsi="Arial" w:cs="Arial"/>
                <w:b/>
                <w:color w:val="000000" w:themeColor="text1"/>
                <w:sz w:val="22"/>
                <w:szCs w:val="22"/>
              </w:rPr>
              <w:t>ТКС</w:t>
            </w:r>
            <w:r w:rsidRPr="00A1341A">
              <w:rPr>
                <w:rFonts w:ascii="Arial" w:hAnsi="Arial" w:cs="Arial"/>
                <w:b/>
                <w:color w:val="000000" w:themeColor="text1"/>
                <w:sz w:val="22"/>
                <w:szCs w:val="22"/>
              </w:rPr>
              <w:t xml:space="preserve"> или замене торгового раздела в составе </w:t>
            </w:r>
            <w:r w:rsidR="006A679E">
              <w:rPr>
                <w:rFonts w:ascii="Arial" w:hAnsi="Arial" w:cs="Arial"/>
                <w:b/>
                <w:color w:val="000000" w:themeColor="text1"/>
                <w:sz w:val="22"/>
                <w:szCs w:val="22"/>
              </w:rPr>
              <w:t>ТКС</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 11.8.1., пункт 11.9 Правил клиринга на фондовом рынке.</w:t>
            </w:r>
          </w:p>
          <w:p w:rsidR="00A1341A" w:rsidRPr="00A1341A" w:rsidRDefault="00A1341A" w:rsidP="00A1341A">
            <w:pPr>
              <w:spacing w:before="120" w:after="120"/>
              <w:rPr>
                <w:rFonts w:ascii="Arial" w:hAnsi="Arial" w:cs="Arial"/>
                <w:color w:val="000000" w:themeColor="text1"/>
                <w:sz w:val="22"/>
                <w:szCs w:val="22"/>
              </w:rPr>
            </w:pPr>
          </w:p>
        </w:tc>
        <w:tc>
          <w:tcPr>
            <w:tcW w:w="7393" w:type="dxa"/>
          </w:tcPr>
          <w:p w:rsidR="00A1341A" w:rsidRPr="00A1341A" w:rsidRDefault="00A1341A" w:rsidP="00A1341A">
            <w:pPr>
              <w:pStyle w:val="a3"/>
              <w:numPr>
                <w:ilvl w:val="0"/>
                <w:numId w:val="0"/>
              </w:numPr>
              <w:tabs>
                <w:tab w:val="clear" w:pos="709"/>
              </w:tabs>
              <w:overflowPunct w:val="0"/>
              <w:spacing w:before="120" w:after="120"/>
              <w:textAlignment w:val="baseline"/>
              <w:outlineLvl w:val="0"/>
              <w:rPr>
                <w:color w:val="000000" w:themeColor="text1"/>
                <w:sz w:val="22"/>
                <w:szCs w:val="22"/>
              </w:rPr>
            </w:pPr>
            <w:r w:rsidRPr="00A1341A">
              <w:rPr>
                <w:color w:val="000000" w:themeColor="text1"/>
                <w:sz w:val="22"/>
                <w:szCs w:val="22"/>
              </w:rPr>
              <w:t>Проверка достаточности Единого лимита добавлена как дополнительное условие, соблюдение которого необходимо для закрытия Торгово-клирингового счета Участника клиринга или замены торгового раздела торгового счета депо в составе Торгово-клирингового счета</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Ограничивает право Участников клиринга на закрытие </w:t>
            </w:r>
            <w:r w:rsidR="006A679E">
              <w:rPr>
                <w:rFonts w:ascii="Arial" w:hAnsi="Arial" w:cs="Arial"/>
                <w:color w:val="000000" w:themeColor="text1"/>
                <w:sz w:val="22"/>
                <w:szCs w:val="22"/>
              </w:rPr>
              <w:t>ТКС</w:t>
            </w:r>
            <w:r w:rsidRPr="00A1341A">
              <w:rPr>
                <w:rFonts w:ascii="Arial" w:hAnsi="Arial" w:cs="Arial"/>
                <w:color w:val="000000" w:themeColor="text1"/>
                <w:sz w:val="22"/>
                <w:szCs w:val="22"/>
              </w:rPr>
              <w:t xml:space="preserve"> или замену торгового раздела в составе </w:t>
            </w:r>
            <w:r w:rsidR="006A679E">
              <w:rPr>
                <w:rFonts w:ascii="Arial" w:hAnsi="Arial" w:cs="Arial"/>
                <w:color w:val="000000" w:themeColor="text1"/>
                <w:sz w:val="22"/>
                <w:szCs w:val="22"/>
              </w:rPr>
              <w:t>ТКС</w:t>
            </w:r>
            <w:r w:rsidRPr="00A1341A">
              <w:rPr>
                <w:rFonts w:ascii="Arial" w:hAnsi="Arial" w:cs="Arial"/>
                <w:color w:val="000000" w:themeColor="text1"/>
                <w:sz w:val="22"/>
                <w:szCs w:val="22"/>
              </w:rPr>
              <w:t xml:space="preserve"> в случае несоблюдения условия достаточности Единого лимита.</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Право </w:t>
            </w:r>
            <w:r w:rsidR="006A679E">
              <w:rPr>
                <w:rFonts w:ascii="Arial" w:hAnsi="Arial" w:cs="Arial"/>
                <w:b/>
                <w:color w:val="000000" w:themeColor="text1"/>
                <w:sz w:val="22"/>
                <w:szCs w:val="22"/>
              </w:rPr>
              <w:t>НКЦ</w:t>
            </w:r>
            <w:r w:rsidRPr="00A1341A">
              <w:rPr>
                <w:rFonts w:ascii="Arial" w:hAnsi="Arial" w:cs="Arial"/>
                <w:b/>
                <w:color w:val="000000" w:themeColor="text1"/>
                <w:sz w:val="22"/>
                <w:szCs w:val="22"/>
              </w:rPr>
              <w:t xml:space="preserve"> вносить изменения в решение о формировании имущественного пула, в который принимаются ценные бумаги, не принимаемые </w:t>
            </w:r>
            <w:r w:rsidR="006A679E">
              <w:rPr>
                <w:rFonts w:ascii="Arial" w:hAnsi="Arial" w:cs="Arial"/>
                <w:b/>
                <w:color w:val="000000" w:themeColor="text1"/>
                <w:sz w:val="22"/>
                <w:szCs w:val="22"/>
              </w:rPr>
              <w:t>НКЦ</w:t>
            </w:r>
            <w:r w:rsidRPr="00A1341A">
              <w:rPr>
                <w:rFonts w:ascii="Arial" w:hAnsi="Arial" w:cs="Arial"/>
                <w:b/>
                <w:color w:val="000000" w:themeColor="text1"/>
                <w:sz w:val="22"/>
                <w:szCs w:val="22"/>
              </w:rPr>
              <w:t xml:space="preserve"> в </w:t>
            </w:r>
            <w:r w:rsidR="006A679E">
              <w:rPr>
                <w:rFonts w:ascii="Arial" w:hAnsi="Arial" w:cs="Arial"/>
                <w:b/>
                <w:color w:val="000000" w:themeColor="text1"/>
                <w:sz w:val="22"/>
                <w:szCs w:val="22"/>
              </w:rPr>
              <w:t>О</w:t>
            </w:r>
            <w:r w:rsidRPr="00A1341A">
              <w:rPr>
                <w:rFonts w:ascii="Arial" w:hAnsi="Arial" w:cs="Arial"/>
                <w:b/>
                <w:color w:val="000000" w:themeColor="text1"/>
                <w:sz w:val="22"/>
                <w:szCs w:val="22"/>
              </w:rPr>
              <w:t>беспечение</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 4.3 Правил клиринга на фондовом рынке</w:t>
            </w:r>
          </w:p>
        </w:tc>
        <w:tc>
          <w:tcPr>
            <w:tcW w:w="7393" w:type="dxa"/>
          </w:tcPr>
          <w:p w:rsidR="00A1341A" w:rsidRPr="00A1341A" w:rsidRDefault="006A679E" w:rsidP="00A1341A">
            <w:pPr>
              <w:spacing w:before="120" w:after="120"/>
              <w:jc w:val="both"/>
              <w:rPr>
                <w:rFonts w:ascii="Arial" w:hAnsi="Arial" w:cs="Arial"/>
                <w:color w:val="000000" w:themeColor="text1"/>
                <w:sz w:val="22"/>
                <w:szCs w:val="22"/>
              </w:rPr>
            </w:pPr>
            <w:r>
              <w:rPr>
                <w:rFonts w:ascii="Arial" w:hAnsi="Arial" w:cs="Arial"/>
                <w:sz w:val="22"/>
                <w:szCs w:val="22"/>
              </w:rPr>
              <w:t>НКЦ</w:t>
            </w:r>
            <w:r w:rsidR="00A1341A" w:rsidRPr="00A1341A">
              <w:rPr>
                <w:rFonts w:ascii="Arial" w:hAnsi="Arial" w:cs="Arial"/>
                <w:sz w:val="22"/>
                <w:szCs w:val="22"/>
              </w:rPr>
              <w:t xml:space="preserve"> вправе вносить изменения в решение о формировании имущественных пулов, в которые принимаются ценные бумаги, не принимаемые в качестве обеспечения исполнения обязательств по Сделкам с частичным обеспечением (планируется использовать для имущественного пула КСУ </w:t>
            </w:r>
            <w:r w:rsidR="00A1341A" w:rsidRPr="00A1341A">
              <w:rPr>
                <w:rFonts w:ascii="Arial" w:hAnsi="Arial" w:cs="Arial"/>
                <w:sz w:val="22"/>
                <w:szCs w:val="22"/>
                <w:lang w:val="en-US"/>
              </w:rPr>
              <w:t>G</w:t>
            </w:r>
            <w:r w:rsidR="00A1341A" w:rsidRPr="00A1341A">
              <w:rPr>
                <w:rFonts w:ascii="Arial" w:hAnsi="Arial" w:cs="Arial"/>
                <w:sz w:val="22"/>
                <w:szCs w:val="22"/>
              </w:rPr>
              <w:t xml:space="preserve">С </w:t>
            </w:r>
            <w:r w:rsidR="00A1341A" w:rsidRPr="00A1341A">
              <w:rPr>
                <w:rFonts w:ascii="Arial" w:hAnsi="Arial" w:cs="Arial"/>
                <w:sz w:val="22"/>
                <w:szCs w:val="22"/>
                <w:lang w:val="en-US"/>
              </w:rPr>
              <w:t>Expended</w:t>
            </w:r>
            <w:r w:rsidR="00A1341A" w:rsidRPr="00A1341A">
              <w:rPr>
                <w:rFonts w:ascii="Arial" w:hAnsi="Arial" w:cs="Arial"/>
                <w:sz w:val="22"/>
                <w:szCs w:val="22"/>
              </w:rPr>
              <w:t>, расширив состав пула за счет акций)</w:t>
            </w:r>
            <w:bookmarkStart w:id="0" w:name="_GoBack"/>
            <w:bookmarkEnd w:id="0"/>
          </w:p>
        </w:tc>
        <w:tc>
          <w:tcPr>
            <w:tcW w:w="2977" w:type="dxa"/>
          </w:tcPr>
          <w:p w:rsidR="00A1341A" w:rsidRPr="00A1341A" w:rsidRDefault="008D4F89"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Н</w:t>
            </w:r>
            <w:r w:rsidR="00A1341A" w:rsidRPr="00A1341A">
              <w:rPr>
                <w:rFonts w:ascii="Arial" w:hAnsi="Arial" w:cs="Arial"/>
                <w:color w:val="000000" w:themeColor="text1"/>
                <w:sz w:val="22"/>
                <w:szCs w:val="22"/>
              </w:rPr>
              <w:t>е влияет на права и обязанности Участников клиринга.</w:t>
            </w:r>
          </w:p>
          <w:p w:rsidR="00A1341A" w:rsidRPr="00A1341A" w:rsidRDefault="008D4F89" w:rsidP="00A1341A">
            <w:pPr>
              <w:spacing w:before="120" w:after="120"/>
              <w:jc w:val="both"/>
              <w:rPr>
                <w:rFonts w:ascii="Arial" w:hAnsi="Arial" w:cs="Arial"/>
                <w:color w:val="000000" w:themeColor="text1"/>
                <w:sz w:val="22"/>
                <w:szCs w:val="22"/>
              </w:rPr>
            </w:pPr>
            <w:r>
              <w:rPr>
                <w:rFonts w:ascii="Arial" w:hAnsi="Arial" w:cs="Arial"/>
                <w:color w:val="000000" w:themeColor="text1"/>
                <w:sz w:val="22"/>
                <w:szCs w:val="22"/>
              </w:rPr>
              <w:t>П</w:t>
            </w:r>
            <w:r w:rsidR="00A1341A" w:rsidRPr="00A1341A">
              <w:rPr>
                <w:rFonts w:ascii="Arial" w:hAnsi="Arial" w:cs="Arial"/>
                <w:color w:val="000000" w:themeColor="text1"/>
                <w:sz w:val="22"/>
                <w:szCs w:val="22"/>
              </w:rPr>
              <w:t>озволит Участникам клиринга вносить в этот пул акции.</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Изменение требований для допуска к клиринговому обслуживанию с категорией «Б» Участников клиринга, резидентов и нерезидентов, не </w:t>
            </w:r>
            <w:r w:rsidRPr="00A1341A">
              <w:rPr>
                <w:rFonts w:ascii="Arial" w:hAnsi="Arial" w:cs="Arial"/>
                <w:b/>
                <w:color w:val="000000" w:themeColor="text1"/>
                <w:sz w:val="22"/>
                <w:szCs w:val="22"/>
              </w:rPr>
              <w:lastRenderedPageBreak/>
              <w:t>являющихся профессиональными участниками рынка ценных бумаг или лицами, осуществляющими иную лицензируемую деятельность на финансовых рынках</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пункт 8.4.2. Правил клиринга на фондовом рынке.</w:t>
            </w:r>
          </w:p>
        </w:tc>
        <w:tc>
          <w:tcPr>
            <w:tcW w:w="7393" w:type="dxa"/>
          </w:tcPr>
          <w:p w:rsidR="007437A6" w:rsidRDefault="007437A6" w:rsidP="007437A6">
            <w:pPr>
              <w:spacing w:before="120" w:after="120"/>
              <w:jc w:val="both"/>
              <w:rPr>
                <w:rFonts w:ascii="Arial" w:hAnsi="Arial" w:cs="Arial"/>
                <w:sz w:val="22"/>
                <w:szCs w:val="22"/>
              </w:rPr>
            </w:pPr>
            <w:r>
              <w:rPr>
                <w:rFonts w:ascii="Arial" w:hAnsi="Arial" w:cs="Arial"/>
                <w:sz w:val="22"/>
                <w:szCs w:val="22"/>
              </w:rPr>
              <w:t>И</w:t>
            </w:r>
            <w:r w:rsidRPr="00A1341A">
              <w:rPr>
                <w:rFonts w:ascii="Arial" w:hAnsi="Arial" w:cs="Arial"/>
                <w:sz w:val="22"/>
                <w:szCs w:val="22"/>
              </w:rPr>
              <w:t>сключено требование иметь валюту баланса не менее, чем 50 000 000 000 (пятьдесят миллиардов) российских рублей</w:t>
            </w:r>
            <w:r>
              <w:rPr>
                <w:rFonts w:ascii="Arial" w:hAnsi="Arial" w:cs="Arial"/>
                <w:sz w:val="22"/>
                <w:szCs w:val="22"/>
              </w:rPr>
              <w:t xml:space="preserve"> для </w:t>
            </w:r>
            <w:r w:rsidR="00A1341A" w:rsidRPr="00A1341A">
              <w:rPr>
                <w:rFonts w:ascii="Arial" w:hAnsi="Arial" w:cs="Arial"/>
                <w:sz w:val="22"/>
                <w:szCs w:val="22"/>
              </w:rPr>
              <w:t>допуска к клиринговому обслуживанию с категорией «Б»</w:t>
            </w:r>
            <w:r>
              <w:rPr>
                <w:rFonts w:ascii="Arial" w:hAnsi="Arial" w:cs="Arial"/>
                <w:sz w:val="22"/>
                <w:szCs w:val="22"/>
              </w:rPr>
              <w:t>:</w:t>
            </w:r>
          </w:p>
          <w:p w:rsidR="007437A6" w:rsidRPr="007437A6" w:rsidRDefault="00A1341A" w:rsidP="007437A6">
            <w:pPr>
              <w:pStyle w:val="af5"/>
              <w:numPr>
                <w:ilvl w:val="0"/>
                <w:numId w:val="45"/>
              </w:numPr>
              <w:spacing w:before="120" w:after="120"/>
              <w:jc w:val="both"/>
              <w:rPr>
                <w:rFonts w:ascii="Arial" w:hAnsi="Arial" w:cs="Arial"/>
                <w:color w:val="000000" w:themeColor="text1"/>
                <w:sz w:val="22"/>
                <w:szCs w:val="22"/>
              </w:rPr>
            </w:pPr>
            <w:r w:rsidRPr="007437A6">
              <w:rPr>
                <w:rFonts w:ascii="Arial" w:hAnsi="Arial" w:cs="Arial"/>
                <w:sz w:val="22"/>
                <w:szCs w:val="22"/>
              </w:rPr>
              <w:t>Участника клиринга-</w:t>
            </w:r>
            <w:proofErr w:type="spellStart"/>
            <w:r w:rsidRPr="007437A6">
              <w:rPr>
                <w:rFonts w:ascii="Arial" w:hAnsi="Arial" w:cs="Arial"/>
                <w:sz w:val="22"/>
                <w:szCs w:val="22"/>
              </w:rPr>
              <w:t>Некредитной</w:t>
            </w:r>
            <w:proofErr w:type="spellEnd"/>
            <w:r w:rsidRPr="007437A6">
              <w:rPr>
                <w:rFonts w:ascii="Arial" w:hAnsi="Arial" w:cs="Arial"/>
                <w:sz w:val="22"/>
                <w:szCs w:val="22"/>
              </w:rPr>
              <w:t xml:space="preserve"> организации, не являющегося профессиональным участником рынка ценных бумаг или лицом, осуществляющим иную лицензируемую деятельность на финансовом рынке</w:t>
            </w:r>
            <w:r w:rsidR="007437A6">
              <w:rPr>
                <w:rFonts w:ascii="Arial" w:hAnsi="Arial" w:cs="Arial"/>
                <w:sz w:val="22"/>
                <w:szCs w:val="22"/>
              </w:rPr>
              <w:t>;</w:t>
            </w:r>
          </w:p>
          <w:p w:rsidR="00A1341A" w:rsidRPr="007437A6" w:rsidRDefault="00A1341A" w:rsidP="007437A6">
            <w:pPr>
              <w:pStyle w:val="af5"/>
              <w:numPr>
                <w:ilvl w:val="0"/>
                <w:numId w:val="45"/>
              </w:numPr>
              <w:spacing w:before="120" w:after="120"/>
              <w:jc w:val="both"/>
              <w:rPr>
                <w:rFonts w:ascii="Arial" w:hAnsi="Arial" w:cs="Arial"/>
                <w:color w:val="000000" w:themeColor="text1"/>
                <w:sz w:val="22"/>
                <w:szCs w:val="22"/>
              </w:rPr>
            </w:pPr>
            <w:r w:rsidRPr="007437A6">
              <w:rPr>
                <w:rFonts w:ascii="Arial" w:hAnsi="Arial" w:cs="Arial"/>
                <w:sz w:val="22"/>
                <w:szCs w:val="22"/>
              </w:rPr>
              <w:lastRenderedPageBreak/>
              <w:t xml:space="preserve">Участника клиринга, являющегося </w:t>
            </w:r>
            <w:proofErr w:type="spellStart"/>
            <w:r w:rsidRPr="007437A6">
              <w:rPr>
                <w:rFonts w:ascii="Arial" w:hAnsi="Arial" w:cs="Arial"/>
                <w:sz w:val="22"/>
                <w:szCs w:val="22"/>
              </w:rPr>
              <w:t>Некредитной</w:t>
            </w:r>
            <w:proofErr w:type="spellEnd"/>
            <w:r w:rsidRPr="007437A6">
              <w:rPr>
                <w:rFonts w:ascii="Arial" w:hAnsi="Arial" w:cs="Arial"/>
                <w:sz w:val="22"/>
                <w:szCs w:val="22"/>
              </w:rPr>
              <w:t xml:space="preserve"> организацией</w:t>
            </w:r>
            <w:r w:rsidR="007437A6">
              <w:rPr>
                <w:rFonts w:ascii="Arial" w:hAnsi="Arial" w:cs="Arial"/>
                <w:sz w:val="22"/>
                <w:szCs w:val="22"/>
              </w:rPr>
              <w:t xml:space="preserve"> -</w:t>
            </w:r>
            <w:r w:rsidRPr="007437A6">
              <w:rPr>
                <w:rFonts w:ascii="Arial" w:hAnsi="Arial" w:cs="Arial"/>
                <w:sz w:val="22"/>
                <w:szCs w:val="22"/>
              </w:rPr>
              <w:t xml:space="preserve"> Нерезидентом и не имеющего действующего специального разрешения на осуществление операций на финансовых рынках, выданного компетентным органом государства учреждения Участника клиринга: </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 xml:space="preserve">Снижены требования для допуска </w:t>
            </w:r>
            <w:r w:rsidRPr="00A1341A">
              <w:rPr>
                <w:rFonts w:ascii="Arial" w:hAnsi="Arial" w:cs="Arial"/>
                <w:sz w:val="22"/>
                <w:szCs w:val="22"/>
              </w:rPr>
              <w:t>к клиринговому обслуживанию с категорией «Б» Участников клиринга указанных категорий.</w:t>
            </w:r>
          </w:p>
        </w:tc>
      </w:tr>
      <w:tr w:rsidR="003458ED" w:rsidRPr="00A1341A" w:rsidTr="00093EA9">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Исключение из Правил клиринга на фондовом рынке и рынке депозитов очередности списания комиссионных вознаграждений по Счетам обеспечения Т0</w:t>
            </w:r>
          </w:p>
        </w:tc>
        <w:tc>
          <w:tcPr>
            <w:tcW w:w="2536" w:type="dxa"/>
          </w:tcPr>
          <w:p w:rsidR="00A1341A" w:rsidRPr="00A1341A" w:rsidRDefault="00A1341A" w:rsidP="00A1341A">
            <w:pPr>
              <w:pStyle w:val="af5"/>
              <w:tabs>
                <w:tab w:val="left" w:pos="128"/>
              </w:tabs>
              <w:spacing w:before="120" w:after="120"/>
              <w:ind w:left="0"/>
              <w:rPr>
                <w:rFonts w:ascii="Arial" w:hAnsi="Arial" w:cs="Arial"/>
                <w:color w:val="000000" w:themeColor="text1"/>
                <w:sz w:val="22"/>
                <w:szCs w:val="22"/>
              </w:rPr>
            </w:pPr>
            <w:r w:rsidRPr="00A1341A">
              <w:rPr>
                <w:rFonts w:ascii="Arial" w:hAnsi="Arial" w:cs="Arial"/>
                <w:color w:val="000000" w:themeColor="text1"/>
                <w:sz w:val="22"/>
                <w:szCs w:val="22"/>
              </w:rPr>
              <w:t>пункт 42.15 Правил клиринга на фондовом рынке.</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Из Правил клиринга на фондовом рынке и рынке депозитов исключены положения, описывающие очередность списания комиссионных вознаграждений по Счетам обеспечения Т0, в связи с невозможностью возникновения Задолженности по уплате комиссионных вознаграждений по Счетам обеспечения Т0, т.к. Счета обеспечения Т0 теперь не могут быть выбраны в качестве основного счета для списания комиссионных вознаграждений (с которого списываются комиссионные вознаграждения, под которое не берется предварительное обеспечение).</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Дополнение Правил клиринга срочного рынка новым ограничением на открытие позиций, установленным </w:t>
            </w:r>
            <w:r w:rsidR="004336EE">
              <w:rPr>
                <w:rFonts w:ascii="Arial" w:hAnsi="Arial" w:cs="Arial"/>
                <w:b/>
                <w:color w:val="000000" w:themeColor="text1"/>
                <w:sz w:val="22"/>
                <w:szCs w:val="22"/>
              </w:rPr>
              <w:t>НКЦ</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17.15 и 17.6 Правил клиринга на срочном рынке.</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Ограничение на открытие позиций введено в целях недопущения возникновения недостаточности обеспечения в следующей ситуации:</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при постановке заявки на закрытие позиции потенциальный отрицательный финансовый результат перекрывается </w:t>
            </w:r>
            <w:proofErr w:type="spellStart"/>
            <w:r w:rsidRPr="00A1341A">
              <w:rPr>
                <w:rFonts w:ascii="Arial" w:hAnsi="Arial" w:cs="Arial"/>
                <w:color w:val="000000" w:themeColor="text1"/>
                <w:sz w:val="22"/>
                <w:szCs w:val="22"/>
              </w:rPr>
              <w:t>бОльшим</w:t>
            </w:r>
            <w:proofErr w:type="spellEnd"/>
            <w:r w:rsidRPr="00A1341A">
              <w:rPr>
                <w:rFonts w:ascii="Arial" w:hAnsi="Arial" w:cs="Arial"/>
                <w:color w:val="000000" w:themeColor="text1"/>
                <w:sz w:val="22"/>
                <w:szCs w:val="22"/>
              </w:rPr>
              <w:t xml:space="preserve"> ГО по «большой ноге» (позиции в </w:t>
            </w:r>
            <w:proofErr w:type="spellStart"/>
            <w:r w:rsidRPr="00A1341A">
              <w:rPr>
                <w:rFonts w:ascii="Arial" w:hAnsi="Arial" w:cs="Arial"/>
                <w:color w:val="000000" w:themeColor="text1"/>
                <w:sz w:val="22"/>
                <w:szCs w:val="22"/>
              </w:rPr>
              <w:t>межмесячном</w:t>
            </w:r>
            <w:proofErr w:type="spellEnd"/>
            <w:r w:rsidRPr="00A1341A">
              <w:rPr>
                <w:rFonts w:ascii="Arial" w:hAnsi="Arial" w:cs="Arial"/>
                <w:color w:val="000000" w:themeColor="text1"/>
                <w:sz w:val="22"/>
                <w:szCs w:val="22"/>
              </w:rPr>
              <w:t xml:space="preserve"> спреде при применении правила </w:t>
            </w:r>
            <w:proofErr w:type="spellStart"/>
            <w:r w:rsidRPr="00A1341A">
              <w:rPr>
                <w:rFonts w:ascii="Arial" w:hAnsi="Arial" w:cs="Arial"/>
                <w:color w:val="000000" w:themeColor="text1"/>
                <w:sz w:val="22"/>
                <w:szCs w:val="22"/>
              </w:rPr>
              <w:t>маржирования</w:t>
            </w:r>
            <w:proofErr w:type="spellEnd"/>
            <w:r w:rsidRPr="00A1341A">
              <w:rPr>
                <w:rFonts w:ascii="Arial" w:hAnsi="Arial" w:cs="Arial"/>
                <w:color w:val="000000" w:themeColor="text1"/>
                <w:sz w:val="22"/>
                <w:szCs w:val="22"/>
              </w:rPr>
              <w:t xml:space="preserve"> «</w:t>
            </w:r>
            <w:proofErr w:type="spellStart"/>
            <w:r w:rsidRPr="00A1341A">
              <w:rPr>
                <w:rFonts w:ascii="Arial" w:hAnsi="Arial" w:cs="Arial"/>
                <w:color w:val="000000" w:themeColor="text1"/>
                <w:sz w:val="22"/>
                <w:szCs w:val="22"/>
              </w:rPr>
              <w:t>полунетто</w:t>
            </w:r>
            <w:proofErr w:type="spellEnd"/>
            <w:r w:rsidRPr="00A1341A">
              <w:rPr>
                <w:rFonts w:ascii="Arial" w:hAnsi="Arial" w:cs="Arial"/>
                <w:color w:val="000000" w:themeColor="text1"/>
                <w:sz w:val="22"/>
                <w:szCs w:val="22"/>
              </w:rPr>
              <w:t xml:space="preserve">» или в </w:t>
            </w:r>
            <w:proofErr w:type="spellStart"/>
            <w:r w:rsidRPr="00A1341A">
              <w:rPr>
                <w:rFonts w:ascii="Arial" w:hAnsi="Arial" w:cs="Arial"/>
                <w:color w:val="000000" w:themeColor="text1"/>
                <w:sz w:val="22"/>
                <w:szCs w:val="22"/>
              </w:rPr>
              <w:t>межконтрактном</w:t>
            </w:r>
            <w:proofErr w:type="spellEnd"/>
            <w:r w:rsidRPr="00A1341A">
              <w:rPr>
                <w:rFonts w:ascii="Arial" w:hAnsi="Arial" w:cs="Arial"/>
                <w:color w:val="000000" w:themeColor="text1"/>
                <w:sz w:val="22"/>
                <w:szCs w:val="22"/>
              </w:rPr>
              <w:t xml:space="preserve"> спреде). В этом случае при постановке заявки ГО не изменяется, при совершении сделки ГО также не изменяется, но отрицательный </w:t>
            </w:r>
            <w:proofErr w:type="spellStart"/>
            <w:r w:rsidRPr="00A1341A">
              <w:rPr>
                <w:rFonts w:ascii="Arial" w:hAnsi="Arial" w:cs="Arial"/>
                <w:color w:val="000000" w:themeColor="text1"/>
                <w:sz w:val="22"/>
                <w:szCs w:val="22"/>
              </w:rPr>
              <w:t>финрезультат</w:t>
            </w:r>
            <w:proofErr w:type="spellEnd"/>
            <w:r w:rsidRPr="00A1341A">
              <w:rPr>
                <w:rFonts w:ascii="Arial" w:hAnsi="Arial" w:cs="Arial"/>
                <w:color w:val="000000" w:themeColor="text1"/>
                <w:sz w:val="22"/>
                <w:szCs w:val="22"/>
              </w:rPr>
              <w:t xml:space="preserve"> уменьшает количество свободных денег.</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Ограничивает право Участника клиринга на открытие позиций в случае применения данного ограничения.</w:t>
            </w:r>
          </w:p>
        </w:tc>
      </w:tr>
      <w:tr w:rsidR="003458ED" w:rsidRPr="00A1341A" w:rsidTr="00093EA9">
        <w:trPr>
          <w:trHeight w:val="70"/>
        </w:trPr>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Уточнение порядка проведения проверок при возврате и переводе Обеспечения по Торгово-клиринговым счетам и Расчетным кодам 2-го </w:t>
            </w:r>
            <w:r w:rsidRPr="00A1341A">
              <w:rPr>
                <w:rFonts w:ascii="Arial" w:hAnsi="Arial" w:cs="Arial"/>
                <w:b/>
                <w:color w:val="000000" w:themeColor="text1"/>
                <w:sz w:val="22"/>
                <w:szCs w:val="22"/>
              </w:rPr>
              <w:lastRenderedPageBreak/>
              <w:t>и 3-го уровня, а также другие уточнения, связанные с реализацией проектов по разделению статусов Участников торгов и Участников клиринга</w:t>
            </w:r>
          </w:p>
          <w:p w:rsidR="003544C1" w:rsidRPr="00A1341A" w:rsidRDefault="003544C1" w:rsidP="003544C1">
            <w:pPr>
              <w:pStyle w:val="af5"/>
              <w:spacing w:before="120" w:after="120"/>
              <w:ind w:left="459"/>
              <w:rPr>
                <w:rFonts w:ascii="Arial" w:hAnsi="Arial" w:cs="Arial"/>
                <w:b/>
                <w:color w:val="000000" w:themeColor="text1"/>
                <w:sz w:val="22"/>
                <w:szCs w:val="22"/>
              </w:rPr>
            </w:pPr>
            <w:r>
              <w:rPr>
                <w:rFonts w:ascii="Arial" w:hAnsi="Arial" w:cs="Arial"/>
                <w:b/>
                <w:color w:val="FF0000"/>
                <w:sz w:val="22"/>
                <w:szCs w:val="22"/>
              </w:rPr>
              <w:t>(</w:t>
            </w:r>
            <w:r w:rsidRPr="00751389">
              <w:rPr>
                <w:rFonts w:ascii="Arial" w:hAnsi="Arial" w:cs="Arial"/>
                <w:b/>
                <w:color w:val="FF0000"/>
                <w:sz w:val="22"/>
                <w:szCs w:val="22"/>
              </w:rPr>
              <w:t xml:space="preserve">реализация </w:t>
            </w:r>
            <w:r>
              <w:rPr>
                <w:rFonts w:ascii="Arial" w:hAnsi="Arial" w:cs="Arial"/>
                <w:b/>
                <w:color w:val="FF0000"/>
                <w:sz w:val="22"/>
                <w:szCs w:val="22"/>
              </w:rPr>
              <w:t xml:space="preserve">планируется в </w:t>
            </w:r>
            <w:r>
              <w:rPr>
                <w:rFonts w:ascii="Arial" w:hAnsi="Arial" w:cs="Arial"/>
                <w:b/>
                <w:color w:val="FF0000"/>
                <w:sz w:val="22"/>
                <w:szCs w:val="22"/>
              </w:rPr>
              <w:t>ию</w:t>
            </w:r>
            <w:r w:rsidR="00CA44DC">
              <w:rPr>
                <w:rFonts w:ascii="Arial" w:hAnsi="Arial" w:cs="Arial"/>
                <w:b/>
                <w:color w:val="FF0000"/>
                <w:sz w:val="22"/>
                <w:szCs w:val="22"/>
              </w:rPr>
              <w:t>л</w:t>
            </w:r>
            <w:r>
              <w:rPr>
                <w:rFonts w:ascii="Arial" w:hAnsi="Arial" w:cs="Arial"/>
                <w:b/>
                <w:color w:val="FF0000"/>
                <w:sz w:val="22"/>
                <w:szCs w:val="22"/>
              </w:rPr>
              <w:t>е</w:t>
            </w:r>
            <w:r>
              <w:rPr>
                <w:rFonts w:ascii="Arial" w:hAnsi="Arial" w:cs="Arial"/>
                <w:b/>
                <w:color w:val="FF0000"/>
                <w:sz w:val="22"/>
                <w:szCs w:val="22"/>
              </w:rPr>
              <w:t xml:space="preserve"> 2019</w:t>
            </w:r>
            <w:r w:rsidR="00CA44DC">
              <w:rPr>
                <w:rFonts w:ascii="Arial" w:hAnsi="Arial" w:cs="Arial"/>
                <w:b/>
                <w:color w:val="FF0000"/>
                <w:sz w:val="22"/>
                <w:szCs w:val="22"/>
              </w:rPr>
              <w:t xml:space="preserve"> года</w:t>
            </w:r>
            <w:r w:rsidRPr="00751389">
              <w:rPr>
                <w:rFonts w:ascii="Arial" w:hAnsi="Arial" w:cs="Arial"/>
                <w:b/>
                <w:color w:val="FF0000"/>
                <w:sz w:val="22"/>
                <w:szCs w:val="22"/>
              </w:rPr>
              <w:t>)</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подпункты 16.3.1- 16.3.3, 28.14.2, пункт 28.15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Участникам клиринга / Участникам торгов предоставляются следующие новые опции:</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 xml:space="preserve">В случае если услуги по ведению клиринговых регистров 3-го уровня оказываются Участнику торгов, </w:t>
            </w:r>
            <w:r w:rsidR="007437A6">
              <w:rPr>
                <w:rFonts w:ascii="Arial" w:hAnsi="Arial" w:cs="Arial"/>
                <w:color w:val="000000" w:themeColor="text1"/>
                <w:sz w:val="22"/>
                <w:szCs w:val="22"/>
              </w:rPr>
              <w:t xml:space="preserve">то </w:t>
            </w:r>
            <w:r w:rsidRPr="00A1341A">
              <w:rPr>
                <w:rFonts w:ascii="Arial" w:hAnsi="Arial" w:cs="Arial"/>
                <w:color w:val="000000" w:themeColor="text1"/>
                <w:sz w:val="22"/>
                <w:szCs w:val="22"/>
              </w:rPr>
              <w:t xml:space="preserve">Участнику клиринга (по умолчанию) не доступна информация, учитываемая по клиринговым регистрам 3-го уровня. Участник торгов вправе направить </w:t>
            </w:r>
            <w:r w:rsidR="004336EE">
              <w:rPr>
                <w:rFonts w:ascii="Arial" w:hAnsi="Arial" w:cs="Arial"/>
                <w:color w:val="000000" w:themeColor="text1"/>
                <w:sz w:val="22"/>
                <w:szCs w:val="22"/>
              </w:rPr>
              <w:t>НКЦ</w:t>
            </w:r>
            <w:r w:rsidRPr="00A1341A">
              <w:rPr>
                <w:rFonts w:ascii="Arial" w:hAnsi="Arial" w:cs="Arial"/>
                <w:color w:val="000000" w:themeColor="text1"/>
                <w:sz w:val="22"/>
                <w:szCs w:val="22"/>
              </w:rPr>
              <w:t xml:space="preserve"> запрос о предоставлении Участнику клиринга </w:t>
            </w:r>
            <w:r w:rsidRPr="00A1341A">
              <w:rPr>
                <w:rFonts w:ascii="Arial" w:hAnsi="Arial" w:cs="Arial"/>
                <w:color w:val="000000" w:themeColor="text1"/>
                <w:sz w:val="22"/>
                <w:szCs w:val="22"/>
              </w:rPr>
              <w:lastRenderedPageBreak/>
              <w:t>доступа к информации о кодах и идентификационных данных клиентов Участника торгов.</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 xml:space="preserve">Участник клиринга вправе предоставить </w:t>
            </w:r>
            <w:r w:rsidR="004336EE">
              <w:rPr>
                <w:rFonts w:ascii="Arial" w:hAnsi="Arial" w:cs="Arial"/>
                <w:color w:val="000000" w:themeColor="text1"/>
                <w:sz w:val="22"/>
                <w:szCs w:val="22"/>
              </w:rPr>
              <w:t>НКЦ</w:t>
            </w:r>
            <w:r w:rsidRPr="00A1341A">
              <w:rPr>
                <w:rFonts w:ascii="Arial" w:hAnsi="Arial" w:cs="Arial"/>
                <w:color w:val="000000" w:themeColor="text1"/>
                <w:sz w:val="22"/>
                <w:szCs w:val="22"/>
              </w:rPr>
              <w:t xml:space="preserve"> информацию о клиентах (об идентификационных данных клиентов), за счет которых Участники торгов не вправе заключать сделки, стороной по которым должен стать Участник клиринга (далее – список запрещенных клиентов). Участник клиринга вправе вносить изменения в список запрещенных клиентов.</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Если по Расчетному коду 2-го / 3-го уровня установлен признак, указывающий на необходимость контроля Единого лимита по Расчетному коду 2-го / 3-го уровня, при изменении с использованием Клиринговой системы информации об Обеспечении, учитываемой по Расчетному коду 2-го / 3-го уровня, осуществляется контроль Единого лимита по Расчетному коду 2-го / 3-го уровня. Участник клиринга вправе с использованием Клиринговой системы указать, что изменение информации об Обеспечении, учитываемой по Расчетному коду 2-го / 3-го уровня, должно быть выполнено безусловно.</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 xml:space="preserve">У Участников клиринга и Участников торгов появляется право использовать новые опции при разделении статусов Участников торгов и Участников клиринга на </w:t>
            </w:r>
            <w:r w:rsidRPr="00A1341A">
              <w:rPr>
                <w:rFonts w:ascii="Arial" w:hAnsi="Arial" w:cs="Arial"/>
                <w:color w:val="000000" w:themeColor="text1"/>
                <w:sz w:val="22"/>
                <w:szCs w:val="22"/>
              </w:rPr>
              <w:lastRenderedPageBreak/>
              <w:t>фондовом, валютном и срочном рынках.</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lastRenderedPageBreak/>
              <w:t>Возможность установления Запрета коротких продаж по активу на период</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 22.2.5, пункты 31.11 и 31.12 Общей части Правил клиринга.</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24.7 и 29.4 Правил клиринга на фондовом рынке.</w:t>
            </w:r>
          </w:p>
        </w:tc>
        <w:tc>
          <w:tcPr>
            <w:tcW w:w="7393" w:type="dxa"/>
          </w:tcPr>
          <w:p w:rsidR="00A1341A" w:rsidRPr="00A1341A" w:rsidRDefault="00354518" w:rsidP="00A1341A">
            <w:pPr>
              <w:pStyle w:val="af8"/>
              <w:overflowPunct w:val="0"/>
              <w:autoSpaceDE w:val="0"/>
              <w:autoSpaceDN w:val="0"/>
              <w:adjustRightInd w:val="0"/>
              <w:spacing w:before="120"/>
              <w:ind w:left="0" w:firstLine="0"/>
              <w:textAlignment w:val="baseline"/>
              <w:rPr>
                <w:rFonts w:ascii="Arial" w:hAnsi="Arial" w:cs="Arial"/>
                <w:sz w:val="22"/>
                <w:szCs w:val="22"/>
              </w:rPr>
            </w:pPr>
            <w:r>
              <w:rPr>
                <w:rFonts w:ascii="Arial" w:hAnsi="Arial" w:cs="Arial"/>
                <w:sz w:val="22"/>
                <w:szCs w:val="22"/>
              </w:rPr>
              <w:t>НКЦ</w:t>
            </w:r>
            <w:r w:rsidR="00A1341A" w:rsidRPr="00A1341A">
              <w:rPr>
                <w:rFonts w:ascii="Arial" w:hAnsi="Arial" w:cs="Arial"/>
                <w:sz w:val="22"/>
                <w:szCs w:val="22"/>
              </w:rPr>
              <w:t xml:space="preserve"> вправе установить признак «запрет коротких продаж и необеспеченных покупок» по иностранной валюте / драгоценному металлу / ценной бумаге на период. </w:t>
            </w:r>
          </w:p>
          <w:p w:rsidR="00A1341A" w:rsidRPr="00A1341A" w:rsidRDefault="00A1341A" w:rsidP="00A1341A">
            <w:pPr>
              <w:pStyle w:val="Texttab"/>
              <w:spacing w:after="120"/>
              <w:ind w:left="0"/>
              <w:rPr>
                <w:rFonts w:ascii="Arial" w:hAnsi="Arial" w:cs="Arial"/>
                <w:sz w:val="22"/>
                <w:szCs w:val="22"/>
              </w:rPr>
            </w:pPr>
            <w:r w:rsidRPr="00A1341A">
              <w:rPr>
                <w:rFonts w:ascii="Arial" w:hAnsi="Arial" w:cs="Arial"/>
                <w:sz w:val="22"/>
                <w:szCs w:val="22"/>
              </w:rPr>
              <w:t>В случае установ</w:t>
            </w:r>
            <w:r w:rsidRPr="00A1341A">
              <w:rPr>
                <w:rFonts w:ascii="Arial" w:hAnsi="Arial" w:cs="Arial"/>
                <w:sz w:val="22"/>
                <w:szCs w:val="22"/>
                <w:lang w:val="ru-RU"/>
              </w:rPr>
              <w:t>ления</w:t>
            </w:r>
            <w:r w:rsidRPr="00A1341A">
              <w:rPr>
                <w:rFonts w:ascii="Arial" w:hAnsi="Arial" w:cs="Arial"/>
                <w:sz w:val="22"/>
                <w:szCs w:val="22"/>
              </w:rPr>
              <w:t xml:space="preserve"> </w:t>
            </w:r>
            <w:r w:rsidRPr="00A1341A">
              <w:rPr>
                <w:rFonts w:ascii="Arial" w:hAnsi="Arial" w:cs="Arial"/>
                <w:color w:val="000000"/>
                <w:sz w:val="22"/>
                <w:szCs w:val="22"/>
              </w:rPr>
              <w:t>признак</w:t>
            </w:r>
            <w:r w:rsidRPr="00A1341A">
              <w:rPr>
                <w:rFonts w:ascii="Arial" w:hAnsi="Arial" w:cs="Arial"/>
                <w:sz w:val="22"/>
                <w:szCs w:val="22"/>
              </w:rPr>
              <w:t>а</w:t>
            </w:r>
            <w:r w:rsidRPr="00A1341A">
              <w:rPr>
                <w:rFonts w:ascii="Arial" w:hAnsi="Arial" w:cs="Arial"/>
                <w:color w:val="000000"/>
                <w:sz w:val="22"/>
                <w:szCs w:val="22"/>
              </w:rPr>
              <w:t xml:space="preserve"> «запрет коротких продаж и необеспеченных покупок» по иностранной валюте / драгоценному металлу / ценной бумаге</w:t>
            </w:r>
            <w:r w:rsidRPr="00A1341A">
              <w:rPr>
                <w:rFonts w:ascii="Arial" w:hAnsi="Arial" w:cs="Arial"/>
                <w:sz w:val="22"/>
                <w:szCs w:val="22"/>
              </w:rPr>
              <w:t xml:space="preserve"> на период, с даты начала периода (включительно) до даты окончания периода (включительно) по </w:t>
            </w:r>
            <w:r w:rsidRPr="00A1341A">
              <w:rPr>
                <w:rFonts w:ascii="Arial" w:hAnsi="Arial" w:cs="Arial"/>
                <w:sz w:val="22"/>
                <w:szCs w:val="22"/>
                <w:lang w:val="ru-RU"/>
              </w:rPr>
              <w:t xml:space="preserve">Сделкам с </w:t>
            </w:r>
            <w:r w:rsidRPr="00A1341A">
              <w:rPr>
                <w:rFonts w:ascii="Arial" w:hAnsi="Arial" w:cs="Arial"/>
                <w:sz w:val="22"/>
                <w:szCs w:val="22"/>
              </w:rPr>
              <w:t>такой иностранной валют</w:t>
            </w:r>
            <w:r w:rsidRPr="00A1341A">
              <w:rPr>
                <w:rFonts w:ascii="Arial" w:hAnsi="Arial" w:cs="Arial"/>
                <w:sz w:val="22"/>
                <w:szCs w:val="22"/>
                <w:lang w:val="ru-RU"/>
              </w:rPr>
              <w:t>ой</w:t>
            </w:r>
            <w:r w:rsidRPr="00A1341A">
              <w:rPr>
                <w:rFonts w:ascii="Arial" w:hAnsi="Arial" w:cs="Arial"/>
                <w:sz w:val="22"/>
                <w:szCs w:val="22"/>
              </w:rPr>
              <w:t xml:space="preserve"> / драгоценн</w:t>
            </w:r>
            <w:r w:rsidRPr="00A1341A">
              <w:rPr>
                <w:rFonts w:ascii="Arial" w:hAnsi="Arial" w:cs="Arial"/>
                <w:sz w:val="22"/>
                <w:szCs w:val="22"/>
                <w:lang w:val="ru-RU"/>
              </w:rPr>
              <w:t>ы</w:t>
            </w:r>
            <w:r w:rsidRPr="00A1341A">
              <w:rPr>
                <w:rFonts w:ascii="Arial" w:hAnsi="Arial" w:cs="Arial"/>
                <w:sz w:val="22"/>
                <w:szCs w:val="22"/>
              </w:rPr>
              <w:t>м металл</w:t>
            </w:r>
            <w:r w:rsidRPr="00A1341A">
              <w:rPr>
                <w:rFonts w:ascii="Arial" w:hAnsi="Arial" w:cs="Arial"/>
                <w:sz w:val="22"/>
                <w:szCs w:val="22"/>
                <w:lang w:val="ru-RU"/>
              </w:rPr>
              <w:t>ом</w:t>
            </w:r>
            <w:r w:rsidRPr="00A1341A">
              <w:rPr>
                <w:rFonts w:ascii="Arial" w:hAnsi="Arial" w:cs="Arial"/>
                <w:sz w:val="22"/>
                <w:szCs w:val="22"/>
              </w:rPr>
              <w:t xml:space="preserve"> / ценной бумаг</w:t>
            </w:r>
            <w:r w:rsidRPr="00A1341A">
              <w:rPr>
                <w:rFonts w:ascii="Arial" w:hAnsi="Arial" w:cs="Arial"/>
                <w:sz w:val="22"/>
                <w:szCs w:val="22"/>
                <w:lang w:val="ru-RU"/>
              </w:rPr>
              <w:t>ой</w:t>
            </w:r>
            <w:r w:rsidRPr="00A1341A">
              <w:rPr>
                <w:rFonts w:ascii="Arial" w:hAnsi="Arial" w:cs="Arial"/>
                <w:sz w:val="22"/>
                <w:szCs w:val="22"/>
              </w:rPr>
              <w:t xml:space="preserve"> и по сделкам с расчетами в такой иностранной валюте осуществляется клиринг с полным обеспечением</w:t>
            </w:r>
            <w:r w:rsidRPr="00A1341A">
              <w:rPr>
                <w:rFonts w:ascii="Arial" w:hAnsi="Arial" w:cs="Arial"/>
                <w:sz w:val="22"/>
                <w:szCs w:val="22"/>
                <w:lang w:val="ru-RU"/>
              </w:rPr>
              <w:t xml:space="preserve"> по такой </w:t>
            </w:r>
            <w:r w:rsidRPr="00A1341A">
              <w:rPr>
                <w:rFonts w:ascii="Arial" w:hAnsi="Arial" w:cs="Arial"/>
                <w:sz w:val="22"/>
                <w:szCs w:val="22"/>
              </w:rPr>
              <w:t>иностранной валюте / драгоценному металлу</w:t>
            </w:r>
            <w:r w:rsidRPr="00A1341A">
              <w:rPr>
                <w:rFonts w:ascii="Arial" w:hAnsi="Arial" w:cs="Arial"/>
                <w:sz w:val="22"/>
                <w:szCs w:val="22"/>
                <w:lang w:val="ru-RU"/>
              </w:rPr>
              <w:t xml:space="preserve"> / ценной бумаге;</w:t>
            </w:r>
            <w:r w:rsidRPr="00A1341A">
              <w:rPr>
                <w:rFonts w:ascii="Arial" w:hAnsi="Arial" w:cs="Arial"/>
                <w:sz w:val="22"/>
                <w:szCs w:val="22"/>
              </w:rPr>
              <w:t xml:space="preserve"> </w:t>
            </w:r>
            <w:r w:rsidRPr="00A1341A">
              <w:rPr>
                <w:rFonts w:ascii="Arial" w:hAnsi="Arial" w:cs="Arial"/>
                <w:sz w:val="22"/>
                <w:szCs w:val="22"/>
                <w:lang w:val="ru-RU"/>
              </w:rPr>
              <w:t xml:space="preserve">дополнительная </w:t>
            </w:r>
            <w:r w:rsidRPr="00A1341A">
              <w:rPr>
                <w:rFonts w:ascii="Arial" w:hAnsi="Arial" w:cs="Arial"/>
                <w:sz w:val="22"/>
                <w:szCs w:val="22"/>
              </w:rPr>
              <w:t>проверк</w:t>
            </w:r>
            <w:r w:rsidRPr="00A1341A">
              <w:rPr>
                <w:rFonts w:ascii="Arial" w:hAnsi="Arial" w:cs="Arial"/>
                <w:sz w:val="22"/>
                <w:szCs w:val="22"/>
                <w:lang w:val="ru-RU"/>
              </w:rPr>
              <w:t>а</w:t>
            </w:r>
            <w:r w:rsidRPr="00A1341A">
              <w:rPr>
                <w:rFonts w:ascii="Arial" w:hAnsi="Arial" w:cs="Arial"/>
                <w:sz w:val="22"/>
                <w:szCs w:val="22"/>
              </w:rPr>
              <w:t xml:space="preserve"> </w:t>
            </w:r>
            <w:r w:rsidRPr="00A1341A">
              <w:rPr>
                <w:rFonts w:ascii="Arial" w:hAnsi="Arial" w:cs="Arial"/>
                <w:color w:val="000000"/>
                <w:sz w:val="22"/>
                <w:szCs w:val="22"/>
              </w:rPr>
              <w:t xml:space="preserve">возможности исполнения </w:t>
            </w:r>
            <w:r w:rsidRPr="00A1341A">
              <w:rPr>
                <w:rFonts w:ascii="Arial" w:hAnsi="Arial" w:cs="Arial"/>
                <w:color w:val="000000"/>
                <w:sz w:val="22"/>
                <w:szCs w:val="22"/>
                <w:lang w:val="ru-RU"/>
              </w:rPr>
              <w:t xml:space="preserve">иных </w:t>
            </w:r>
            <w:r w:rsidRPr="00A1341A">
              <w:rPr>
                <w:rFonts w:ascii="Arial" w:hAnsi="Arial" w:cs="Arial"/>
                <w:color w:val="000000"/>
                <w:sz w:val="22"/>
                <w:szCs w:val="22"/>
              </w:rPr>
              <w:t>операци</w:t>
            </w:r>
            <w:r w:rsidRPr="00A1341A">
              <w:rPr>
                <w:rFonts w:ascii="Arial" w:hAnsi="Arial" w:cs="Arial"/>
                <w:color w:val="000000"/>
                <w:sz w:val="22"/>
                <w:szCs w:val="22"/>
                <w:lang w:val="ru-RU"/>
              </w:rPr>
              <w:t>й</w:t>
            </w:r>
            <w:r w:rsidRPr="00A1341A">
              <w:rPr>
                <w:rFonts w:ascii="Arial" w:hAnsi="Arial" w:cs="Arial"/>
                <w:color w:val="000000"/>
                <w:sz w:val="22"/>
                <w:szCs w:val="22"/>
              </w:rPr>
              <w:t xml:space="preserve">, </w:t>
            </w:r>
            <w:r w:rsidRPr="00A1341A">
              <w:rPr>
                <w:rFonts w:ascii="Arial" w:hAnsi="Arial" w:cs="Arial"/>
                <w:color w:val="000000"/>
                <w:sz w:val="22"/>
                <w:szCs w:val="22"/>
                <w:lang w:val="ru-RU"/>
              </w:rPr>
              <w:t xml:space="preserve">проводимая при наличии признака </w:t>
            </w:r>
            <w:r w:rsidRPr="00A1341A">
              <w:rPr>
                <w:rFonts w:ascii="Arial" w:hAnsi="Arial" w:cs="Arial"/>
                <w:color w:val="000000"/>
                <w:sz w:val="22"/>
                <w:szCs w:val="22"/>
              </w:rPr>
              <w:t xml:space="preserve">«запрет коротких продаж и необеспеченных покупок» по </w:t>
            </w:r>
            <w:r w:rsidRPr="00A1341A">
              <w:rPr>
                <w:rFonts w:ascii="Arial" w:hAnsi="Arial" w:cs="Arial"/>
                <w:sz w:val="22"/>
                <w:szCs w:val="22"/>
              </w:rPr>
              <w:t>такой иностранной валюте / драгоценному металлу / ценной бумаге</w:t>
            </w:r>
            <w:r w:rsidRPr="00A1341A">
              <w:rPr>
                <w:rFonts w:ascii="Arial" w:hAnsi="Arial" w:cs="Arial"/>
                <w:sz w:val="22"/>
                <w:szCs w:val="22"/>
                <w:lang w:val="ru-RU"/>
              </w:rPr>
              <w:t xml:space="preserve">, проводится только для Дат исполнения, приходящихся на указанный период, </w:t>
            </w:r>
            <w:r w:rsidRPr="00A1341A">
              <w:rPr>
                <w:rFonts w:ascii="Arial" w:hAnsi="Arial" w:cs="Arial"/>
                <w:sz w:val="22"/>
                <w:szCs w:val="22"/>
              </w:rPr>
              <w:t>с даты начала периода (включительно) до даты окончания периода (включительно)</w:t>
            </w:r>
            <w:r w:rsidRPr="00A1341A">
              <w:rPr>
                <w:rFonts w:ascii="Arial" w:hAnsi="Arial" w:cs="Arial"/>
                <w:sz w:val="22"/>
                <w:szCs w:val="22"/>
                <w:lang w:val="ru-RU"/>
              </w:rPr>
              <w:t>.</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Возможность установить </w:t>
            </w:r>
            <w:r w:rsidRPr="00A1341A">
              <w:rPr>
                <w:rFonts w:ascii="Arial" w:hAnsi="Arial" w:cs="Arial"/>
                <w:sz w:val="22"/>
                <w:szCs w:val="22"/>
              </w:rPr>
              <w:t>признак «запрет коротких продаж и необеспеченных покупок» на период ограничивает срок действия такого запрета, сейчас срок действия такого запрета не ограничен.</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lastRenderedPageBreak/>
              <w:t>Изменение в список документов, представляемых при заключении договора об оказании клиринговых услуг</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10.5, 10.6, подпункт 14.13.1. Общей части Правил клиринга, приложение 4 к Общей части Правил клиринга;</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 10.5 Правил клиринга на фондовом рынке, раздел 1 приложения 1 к Правилам клиринга на фондовом рынке.</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Сокращен список документов, представляемых юридическим лицом – Резидентом при заключении договора об оказании клиринговых услуг;</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уточнен порядок предоставления документов юридическим лицом</w:t>
            </w:r>
            <w:r w:rsidR="003544C1">
              <w:rPr>
                <w:rFonts w:ascii="Arial" w:hAnsi="Arial" w:cs="Arial"/>
                <w:color w:val="000000" w:themeColor="text1"/>
                <w:sz w:val="22"/>
                <w:szCs w:val="22"/>
              </w:rPr>
              <w:t>-</w:t>
            </w:r>
            <w:r w:rsidRPr="00A1341A">
              <w:rPr>
                <w:rFonts w:ascii="Arial" w:hAnsi="Arial" w:cs="Arial"/>
                <w:color w:val="000000" w:themeColor="text1"/>
                <w:sz w:val="22"/>
                <w:szCs w:val="22"/>
              </w:rPr>
              <w:t>нерезидентом: требование о предоставлении документов, необходимых для регистрации Счета для возврата обеспечения третьего лица, Участником клиринга в форме электронного документа (вместо документов в бумажной форме);</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вместо копии миграционной карты и документа, подтверждающего право иностранного гражданина (лица без гражданства) на пребывание (проживание) в Российской Федерации, возможно предоставить письмо юридического лица в произвольной форме, содержащее необходимые сведения;</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в случае отсутствия изменений Участник клиринга вместо ежегодного предоставления Анкеты Участника клиринга (клиента) (Анкеты юридического лица) в форме электронного документа предоставляет НКЦ письмо, подтверждающее отсутствие изменений в ранее представленных сведениях и документах.</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Для Участников клиринга упрощается порядок заключения договора об оказании клиринговых услуг и порядок ежегодного обновления сведений и документов.</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Уточнение в порядок действий </w:t>
            </w:r>
            <w:r w:rsidR="00354518">
              <w:rPr>
                <w:rFonts w:ascii="Arial" w:hAnsi="Arial" w:cs="Arial"/>
                <w:b/>
                <w:color w:val="000000" w:themeColor="text1"/>
                <w:sz w:val="22"/>
                <w:szCs w:val="22"/>
              </w:rPr>
              <w:t>НКЦ</w:t>
            </w:r>
            <w:r w:rsidRPr="00A1341A">
              <w:rPr>
                <w:rFonts w:ascii="Arial" w:hAnsi="Arial" w:cs="Arial"/>
                <w:b/>
                <w:color w:val="000000" w:themeColor="text1"/>
                <w:sz w:val="22"/>
                <w:szCs w:val="22"/>
              </w:rPr>
              <w:t xml:space="preserve"> при обращении взыскания или наложении ареста на имущество Участника клиринга</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 50.5.2, пункт 51.1, подпункт 52.12.2 Общей части Правил клиринга.</w:t>
            </w:r>
          </w:p>
        </w:tc>
        <w:tc>
          <w:tcPr>
            <w:tcW w:w="7393" w:type="dxa"/>
          </w:tcPr>
          <w:p w:rsidR="00A1341A" w:rsidRPr="00A1341A" w:rsidRDefault="00A1341A" w:rsidP="00A1341A">
            <w:pPr>
              <w:numPr>
                <w:ilvl w:val="4"/>
                <w:numId w:val="0"/>
              </w:numPr>
              <w:tabs>
                <w:tab w:val="left" w:pos="0"/>
              </w:tabs>
              <w:overflowPunct w:val="0"/>
              <w:autoSpaceDE w:val="0"/>
              <w:autoSpaceDN w:val="0"/>
              <w:adjustRightInd w:val="0"/>
              <w:spacing w:before="120"/>
              <w:jc w:val="both"/>
              <w:textAlignment w:val="baseline"/>
              <w:rPr>
                <w:rFonts w:ascii="Arial" w:hAnsi="Arial" w:cs="Arial"/>
                <w:color w:val="000000"/>
                <w:sz w:val="22"/>
                <w:szCs w:val="22"/>
              </w:rPr>
            </w:pPr>
            <w:r w:rsidRPr="00A1341A">
              <w:rPr>
                <w:rFonts w:ascii="Arial" w:hAnsi="Arial" w:cs="Arial"/>
                <w:color w:val="000000" w:themeColor="text1"/>
                <w:sz w:val="22"/>
                <w:szCs w:val="22"/>
              </w:rPr>
              <w:t>В случае обращения взыскания или наложения ареста на имущество Участника клиринга, находящееся на торговом или клиринговом счете, ограничение на списание и иное использование активов устанавливается в отношении каждого торгового счета / каждого собственного Расчетного кода в сумме ареста / взыскания.</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Изменение порядка определения размера неустойки за неисполнение Участником клиринга сделки в Режиме торгов «Размещение: Аукцион» при размещении (доразмещении) облигаций, </w:t>
            </w:r>
            <w:r w:rsidRPr="00A1341A">
              <w:rPr>
                <w:rFonts w:ascii="Arial" w:hAnsi="Arial" w:cs="Arial"/>
                <w:b/>
                <w:color w:val="000000" w:themeColor="text1"/>
                <w:sz w:val="22"/>
                <w:szCs w:val="22"/>
              </w:rPr>
              <w:lastRenderedPageBreak/>
              <w:t>Генеральным агентом эмитента по обслуживанию которых является Банк России</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пункт 38.4.1 Правил клиринга на фондовом рынке.</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bookmarkStart w:id="1" w:name="_Ref478564974"/>
            <w:r w:rsidRPr="00A1341A">
              <w:rPr>
                <w:rFonts w:ascii="Arial" w:hAnsi="Arial" w:cs="Arial"/>
                <w:bCs/>
                <w:color w:val="000000"/>
                <w:sz w:val="22"/>
                <w:szCs w:val="22"/>
              </w:rPr>
              <w:t xml:space="preserve">Определено, что размер неустойки определяется </w:t>
            </w:r>
            <w:bookmarkEnd w:id="1"/>
            <w:r w:rsidRPr="00A1341A">
              <w:rPr>
                <w:rFonts w:ascii="Arial" w:hAnsi="Arial" w:cs="Arial"/>
                <w:color w:val="000000"/>
                <w:sz w:val="22"/>
                <w:szCs w:val="22"/>
              </w:rPr>
              <w:t>эмитентом / заявителем (вместо фиксированного процента в действующей редакции).</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Уточнение условий перевода ценных бумаг средствами Клиринговой системы в целях запрета перевода ценных бумаг со сменой владельца</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подпункты 28.10.2, 28.10.3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Определены следующие случаи исполнения Распоряжения на перевод ценных бумаг:</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Разделы, входящие в состав Торгово-клиринговых счетов, указанных в распоряжении на перевод ценных бумаг, открыты одному Участнику клиринга на одном счете депо / эмиссионном счете / счете брокера, или</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Разделы, входящие в состав Торгово-клиринговых счетов, указанных в распоряжении на перевод ценных бумаг, открыты на торговых счетах депо владельца / счетах депо владельца одного Участника клиринга.</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В иных случаях распоряжение на перевод ценных бумаг не исполняется.</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Ограничивает право Участников клиринга переводить ценные бумаги средствами Клиринговой системы, если в результате такого перевода происходит смена владельца ценных бумаг.</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Определение порядка действий для случая аннулирования регистрации клиента, за счет которого заключается депозитный договор, в день, следующий за плановой датой заключения депозитного договора</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подпункты 34.10.2, 34.10.3 Правил клиринга на фондовом рынке и рынке депозитов.</w:t>
            </w:r>
          </w:p>
        </w:tc>
        <w:tc>
          <w:tcPr>
            <w:tcW w:w="7393" w:type="dxa"/>
          </w:tcPr>
          <w:p w:rsidR="00956C42"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Определен порядок действий для случая подачи Участником клиринга заявки на заключение депозитного договора сроком более, чем 1 день, не заключения депозитного договора в плановую дату и аннулирования регистрации клиента, за счет которого заключается депозитный договор, в день, следующий за плановой датой. </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В этом случае Участник клиринга обязан уплатить </w:t>
            </w:r>
            <w:r w:rsidR="00354518">
              <w:rPr>
                <w:rFonts w:ascii="Arial" w:hAnsi="Arial" w:cs="Arial"/>
                <w:color w:val="000000" w:themeColor="text1"/>
                <w:sz w:val="22"/>
                <w:szCs w:val="22"/>
              </w:rPr>
              <w:t>НКЦ</w:t>
            </w:r>
            <w:r w:rsidRPr="00A1341A">
              <w:rPr>
                <w:rFonts w:ascii="Arial" w:hAnsi="Arial" w:cs="Arial"/>
                <w:color w:val="000000" w:themeColor="text1"/>
                <w:sz w:val="22"/>
                <w:szCs w:val="22"/>
              </w:rPr>
              <w:t xml:space="preserve"> отступное, сумма которого рассчитывается в том же порядке, что и в случае отсутствия у Участника клиринга Обеспечения в сумме, необходимой для заключения депозитного договора.</w:t>
            </w:r>
          </w:p>
          <w:p w:rsidR="00A1341A" w:rsidRPr="00A1341A" w:rsidRDefault="00A1341A" w:rsidP="00A1341A">
            <w:pPr>
              <w:spacing w:before="120" w:after="120"/>
              <w:jc w:val="both"/>
              <w:rPr>
                <w:rFonts w:ascii="Arial" w:hAnsi="Arial" w:cs="Arial"/>
                <w:color w:val="000000" w:themeColor="text1"/>
                <w:sz w:val="22"/>
                <w:szCs w:val="22"/>
              </w:rPr>
            </w:pP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У Участников клиринга возникает обязанность по уплате отступного в пользу </w:t>
            </w:r>
            <w:r w:rsidR="00354518">
              <w:rPr>
                <w:rFonts w:ascii="Arial" w:hAnsi="Arial" w:cs="Arial"/>
                <w:color w:val="000000" w:themeColor="text1"/>
                <w:sz w:val="22"/>
                <w:szCs w:val="22"/>
              </w:rPr>
              <w:t>НКЦ</w:t>
            </w:r>
            <w:r w:rsidRPr="00A1341A">
              <w:rPr>
                <w:rFonts w:ascii="Arial" w:hAnsi="Arial" w:cs="Arial"/>
                <w:color w:val="000000" w:themeColor="text1"/>
                <w:sz w:val="22"/>
                <w:szCs w:val="22"/>
              </w:rPr>
              <w:t xml:space="preserve"> </w:t>
            </w:r>
          </w:p>
        </w:tc>
      </w:tr>
      <w:tr w:rsidR="003458ED" w:rsidRPr="00A1341A" w:rsidTr="00093EA9">
        <w:trPr>
          <w:trHeight w:val="70"/>
        </w:trPr>
        <w:tc>
          <w:tcPr>
            <w:tcW w:w="3254" w:type="dxa"/>
            <w:shd w:val="clear" w:color="auto" w:fill="F2DBDB" w:themeFill="accent2" w:themeFillTint="33"/>
          </w:tcPr>
          <w:p w:rsid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Обеспечение в иностранной валюте на рынке СПФИ по Расчетным кодам, не являющихся </w:t>
            </w:r>
            <w:r w:rsidRPr="00A1341A">
              <w:rPr>
                <w:rFonts w:ascii="Arial" w:hAnsi="Arial" w:cs="Arial"/>
                <w:b/>
                <w:color w:val="000000" w:themeColor="text1"/>
                <w:sz w:val="22"/>
                <w:szCs w:val="22"/>
              </w:rPr>
              <w:lastRenderedPageBreak/>
              <w:t>Расчетными кодами Единого пула, является иным обеспечением с даты, установленной решением Клирингового центра</w:t>
            </w:r>
          </w:p>
          <w:p w:rsidR="00CA44DC" w:rsidRPr="00CA44DC" w:rsidRDefault="00CA44DC" w:rsidP="00CA44DC">
            <w:pPr>
              <w:pStyle w:val="af5"/>
              <w:spacing w:before="120" w:after="120"/>
              <w:ind w:left="459"/>
              <w:rPr>
                <w:rFonts w:ascii="Arial" w:hAnsi="Arial" w:cs="Arial"/>
                <w:b/>
                <w:color w:val="FF0000"/>
                <w:sz w:val="22"/>
                <w:szCs w:val="22"/>
              </w:rPr>
            </w:pPr>
            <w:r>
              <w:rPr>
                <w:rFonts w:ascii="Arial" w:hAnsi="Arial" w:cs="Arial"/>
                <w:b/>
                <w:color w:val="FF0000"/>
                <w:sz w:val="22"/>
                <w:szCs w:val="22"/>
              </w:rPr>
              <w:t xml:space="preserve">(с даты </w:t>
            </w:r>
            <w:r w:rsidR="00520F57">
              <w:rPr>
                <w:rFonts w:ascii="Arial" w:hAnsi="Arial" w:cs="Arial"/>
                <w:b/>
                <w:color w:val="FF0000"/>
                <w:sz w:val="22"/>
                <w:szCs w:val="22"/>
              </w:rPr>
              <w:t>в</w:t>
            </w:r>
            <w:r w:rsidR="00520F57" w:rsidRPr="00520F57">
              <w:rPr>
                <w:rFonts w:ascii="Arial" w:hAnsi="Arial" w:cs="Arial"/>
                <w:b/>
                <w:color w:val="FF0000"/>
                <w:sz w:val="22"/>
                <w:szCs w:val="22"/>
              </w:rPr>
              <w:t>ключение рынка СПФИ в Единый пул</w:t>
            </w:r>
            <w:r w:rsidR="00520F57">
              <w:rPr>
                <w:rFonts w:ascii="Arial" w:hAnsi="Arial" w:cs="Arial"/>
                <w:b/>
                <w:color w:val="FF0000"/>
                <w:sz w:val="22"/>
                <w:szCs w:val="22"/>
              </w:rPr>
              <w:t xml:space="preserve"> (</w:t>
            </w:r>
            <w:r>
              <w:rPr>
                <w:rFonts w:ascii="Arial" w:hAnsi="Arial" w:cs="Arial"/>
                <w:b/>
                <w:color w:val="FF0000"/>
                <w:sz w:val="22"/>
                <w:szCs w:val="22"/>
              </w:rPr>
              <w:t>п.5</w:t>
            </w:r>
            <w:r w:rsidR="00520F57">
              <w:rPr>
                <w:rFonts w:ascii="Arial" w:hAnsi="Arial" w:cs="Arial"/>
                <w:b/>
                <w:color w:val="FF0000"/>
                <w:sz w:val="22"/>
                <w:szCs w:val="22"/>
              </w:rPr>
              <w:t>))</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пункт 2.3 Правил клиринга на рынке СПФИ.</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подпункт 28.2.1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520F57">
              <w:rPr>
                <w:rFonts w:ascii="Arial" w:hAnsi="Arial" w:cs="Arial"/>
                <w:color w:val="000000" w:themeColor="text1"/>
                <w:sz w:val="22"/>
                <w:szCs w:val="22"/>
              </w:rPr>
              <w:lastRenderedPageBreak/>
              <w:t>Определено, что с даты, установленной решением Клирингового центра, Обеспечение в иностранной валюте, учитываемое по Расчетным кодам, не являющимся Расчетными кодами Единого пула, является иным обеспечением.</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Дополнение Правил клиринга недостающими сроками определения сумм комиссионных вознаграждений и порядком их учета</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11.6, 26.3- 26.5. Правил клиринга на рынке СПФИ;</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45.9-45.11 Правил клиринга на фондовом рынке;</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36.6, 36.9-36.11, 36.12, 36.13 Правил клиринга на срочном рынке;</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18.7-18.8 Правил клиринга на валютном рынке.</w:t>
            </w:r>
          </w:p>
        </w:tc>
        <w:tc>
          <w:tcPr>
            <w:tcW w:w="7393" w:type="dxa"/>
          </w:tcPr>
          <w:p w:rsidR="00A1341A" w:rsidRPr="00A1341A" w:rsidRDefault="00120FB1"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Сроки определения и порядок учета перечисленных </w:t>
            </w:r>
            <w:r>
              <w:rPr>
                <w:rFonts w:ascii="Arial" w:hAnsi="Arial" w:cs="Arial"/>
                <w:color w:val="000000" w:themeColor="text1"/>
                <w:sz w:val="22"/>
                <w:szCs w:val="22"/>
              </w:rPr>
              <w:t>ниже</w:t>
            </w:r>
            <w:r w:rsidRPr="00A1341A">
              <w:rPr>
                <w:rFonts w:ascii="Arial" w:hAnsi="Arial" w:cs="Arial"/>
                <w:color w:val="000000" w:themeColor="text1"/>
                <w:sz w:val="22"/>
                <w:szCs w:val="22"/>
              </w:rPr>
              <w:t xml:space="preserve"> комиссионных вознаграждений </w:t>
            </w:r>
            <w:r w:rsidRPr="00B9486C">
              <w:rPr>
                <w:rFonts w:ascii="Arial" w:hAnsi="Arial" w:cs="Arial"/>
                <w:color w:val="000000" w:themeColor="text1"/>
                <w:sz w:val="22"/>
                <w:szCs w:val="22"/>
              </w:rPr>
              <w:t>перенесены из</w:t>
            </w:r>
            <w:r>
              <w:rPr>
                <w:rFonts w:ascii="Arial" w:hAnsi="Arial" w:cs="Arial"/>
                <w:color w:val="000000" w:themeColor="text1"/>
                <w:sz w:val="22"/>
                <w:szCs w:val="22"/>
              </w:rPr>
              <w:t xml:space="preserve"> </w:t>
            </w:r>
            <w:r w:rsidRPr="00A1341A">
              <w:rPr>
                <w:rFonts w:ascii="Arial" w:hAnsi="Arial" w:cs="Arial"/>
                <w:color w:val="000000" w:themeColor="text1"/>
                <w:sz w:val="22"/>
                <w:szCs w:val="22"/>
              </w:rPr>
              <w:t xml:space="preserve">Тарифов </w:t>
            </w:r>
            <w:r>
              <w:rPr>
                <w:rFonts w:ascii="Arial" w:hAnsi="Arial" w:cs="Arial"/>
                <w:color w:val="000000" w:themeColor="text1"/>
                <w:sz w:val="22"/>
                <w:szCs w:val="22"/>
              </w:rPr>
              <w:t>в</w:t>
            </w:r>
            <w:r w:rsidRPr="00A1341A">
              <w:rPr>
                <w:rFonts w:ascii="Arial" w:hAnsi="Arial" w:cs="Arial"/>
                <w:color w:val="000000" w:themeColor="text1"/>
                <w:sz w:val="22"/>
                <w:szCs w:val="22"/>
              </w:rPr>
              <w:t xml:space="preserve"> </w:t>
            </w:r>
            <w:r w:rsidR="00A1341A" w:rsidRPr="00A1341A">
              <w:rPr>
                <w:rFonts w:ascii="Arial" w:hAnsi="Arial" w:cs="Arial"/>
                <w:color w:val="000000" w:themeColor="text1"/>
                <w:sz w:val="22"/>
                <w:szCs w:val="22"/>
              </w:rPr>
              <w:t>Правила клиринга:</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оборотной части комиссионного вознаграждения за клиринг по депозитным договорам;</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формирование отчетов по итогам клиринга по основному разделу Брокерской фирмы, открытому на основании Заявления на открытие Брокерской фирмы / Заявления на открытие ОБФ, а также по разделу клиринговых регистров на основании Заявления на формирование отчетов по разделу клиринговых регистров;</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клиринговые услуги при проведении процедуры принудительного закрытия позиций на срочном рынке;</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клиринговые услуги при исполнении Поручения на перевод позиций на срочном рынке;</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клиринговые услуги, связанные с досрочным прекращением Договора СПФИ / изменением условий Договора СПФИ;</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клиринговые услуги, связанные с изменением учета Договоров СПФИ;</w:t>
            </w:r>
          </w:p>
          <w:p w:rsidR="00A1341A" w:rsidRPr="00C56CD5" w:rsidRDefault="00A1341A" w:rsidP="00C56CD5">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за клиринговые услуги, связанные с исполнением Договоров СПФИ.</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 xml:space="preserve">Дополнительные ограничения, действующие по </w:t>
            </w:r>
            <w:r w:rsidRPr="00A1341A">
              <w:rPr>
                <w:rFonts w:ascii="Arial" w:hAnsi="Arial" w:cs="Arial"/>
                <w:b/>
                <w:color w:val="000000" w:themeColor="text1"/>
                <w:sz w:val="22"/>
                <w:szCs w:val="22"/>
              </w:rPr>
              <w:lastRenderedPageBreak/>
              <w:t>Расчетному коду / Торгово-клиринговому счету, для которого установлен Режим урегулирования</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lastRenderedPageBreak/>
              <w:t xml:space="preserve">подпункты 35.1.3 – 35.1.7, пункт 35.2, подпункт 34.9.2. </w:t>
            </w:r>
            <w:r w:rsidRPr="00A1341A">
              <w:rPr>
                <w:rFonts w:ascii="Arial" w:hAnsi="Arial" w:cs="Arial"/>
                <w:color w:val="000000" w:themeColor="text1"/>
                <w:sz w:val="22"/>
                <w:szCs w:val="22"/>
              </w:rPr>
              <w:lastRenderedPageBreak/>
              <w:t>(четвертый, пятый, шестой абзацы) Общей части Правил клиринга.</w:t>
            </w:r>
          </w:p>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 13.7 Правил клиринга на рынке СПФИ;</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Определены дополнительные ограничения, действующие для Расчетного кода / Торгово-клирингового счета, для которого установлен Режим урегулирования:</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не осуществляется перевод Обеспечения с данного Расчетного кода / Торгово-клирингового счета на другие Расчетные коды / Торгово-клиринговые счета на основании распоряжений Участника клиринга;</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не осуществляется перевод Профилей активов на основании распоряжений Участника клиринга;</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не принимаются от Участников клиринга и не исполняются Поручения на управление риском;</w:t>
            </w:r>
          </w:p>
          <w:p w:rsidR="00A1341A" w:rsidRPr="00A1341A" w:rsidRDefault="00A1341A" w:rsidP="00A1341A">
            <w:pPr>
              <w:pStyle w:val="af5"/>
              <w:numPr>
                <w:ilvl w:val="0"/>
                <w:numId w:val="39"/>
              </w:numPr>
              <w:spacing w:before="60" w:after="60"/>
              <w:ind w:left="397" w:hanging="397"/>
              <w:jc w:val="both"/>
              <w:rPr>
                <w:rFonts w:ascii="Arial" w:hAnsi="Arial" w:cs="Arial"/>
                <w:color w:val="000000" w:themeColor="text1"/>
                <w:sz w:val="22"/>
                <w:szCs w:val="22"/>
              </w:rPr>
            </w:pPr>
            <w:r w:rsidRPr="00A1341A">
              <w:rPr>
                <w:rFonts w:ascii="Arial" w:hAnsi="Arial" w:cs="Arial"/>
                <w:color w:val="000000" w:themeColor="text1"/>
                <w:sz w:val="22"/>
                <w:szCs w:val="22"/>
              </w:rPr>
              <w:t>не осуществляется установление и изменение индивидуальных риск-параметров по таким Расчетным кодам / Торгово-клиринговым счетам Участником клиринга.</w:t>
            </w:r>
          </w:p>
          <w:p w:rsidR="00A1341A" w:rsidRPr="00A1341A" w:rsidRDefault="00A1341A" w:rsidP="00A1341A">
            <w:pPr>
              <w:pStyle w:val="af5"/>
              <w:spacing w:before="120" w:after="120"/>
              <w:ind w:left="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При установлении Режима урегулирования для Расчетного кода / Торгово-клирингового счета </w:t>
            </w:r>
            <w:r w:rsidR="003403D1">
              <w:rPr>
                <w:rFonts w:ascii="Arial" w:hAnsi="Arial" w:cs="Arial"/>
                <w:color w:val="000000" w:themeColor="text1"/>
                <w:sz w:val="22"/>
                <w:szCs w:val="22"/>
              </w:rPr>
              <w:t>НКЦ</w:t>
            </w:r>
            <w:r w:rsidRPr="00A1341A">
              <w:rPr>
                <w:rFonts w:ascii="Arial" w:hAnsi="Arial" w:cs="Arial"/>
                <w:color w:val="000000" w:themeColor="text1"/>
                <w:sz w:val="22"/>
                <w:szCs w:val="22"/>
              </w:rPr>
              <w:t xml:space="preserve"> удаляет из Клиринговой системы все Предложения, поданные с указанием клиринговых регистров / разделов клиринговых регистров, соответствующих такому Расчетному коду / Торгово-клиринговому счету.</w:t>
            </w:r>
          </w:p>
        </w:tc>
        <w:tc>
          <w:tcPr>
            <w:tcW w:w="2977" w:type="dxa"/>
          </w:tcPr>
          <w:p w:rsidR="00A1341A" w:rsidRPr="00A1341A" w:rsidRDefault="00A1341A" w:rsidP="00A1341A">
            <w:pPr>
              <w:spacing w:before="120"/>
              <w:jc w:val="both"/>
              <w:rPr>
                <w:rFonts w:ascii="Arial" w:hAnsi="Arial" w:cs="Arial"/>
                <w:color w:val="000000" w:themeColor="text1"/>
                <w:sz w:val="22"/>
                <w:szCs w:val="22"/>
              </w:rPr>
            </w:pPr>
            <w:r w:rsidRPr="00A1341A">
              <w:rPr>
                <w:rFonts w:ascii="Arial" w:hAnsi="Arial" w:cs="Arial"/>
                <w:color w:val="000000" w:themeColor="text1"/>
                <w:sz w:val="22"/>
                <w:szCs w:val="22"/>
              </w:rPr>
              <w:lastRenderedPageBreak/>
              <w:t xml:space="preserve">Ограничивает Участника клиринга в проведении операций с </w:t>
            </w:r>
            <w:r w:rsidRPr="00A1341A">
              <w:rPr>
                <w:rFonts w:ascii="Arial" w:hAnsi="Arial" w:cs="Arial"/>
                <w:color w:val="000000" w:themeColor="text1"/>
                <w:sz w:val="22"/>
                <w:szCs w:val="22"/>
              </w:rPr>
              <w:lastRenderedPageBreak/>
              <w:t>использованием Расчетного кода / Торгово-клирингового счета, для которого установлен Режим урегулирования.</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lastRenderedPageBreak/>
              <w:t xml:space="preserve">Использование курса фиксинга Московской Биржи при расчете нетто-обязательств / нетто-требований в ходе ликвидационного </w:t>
            </w:r>
            <w:proofErr w:type="spellStart"/>
            <w:r w:rsidRPr="00A1341A">
              <w:rPr>
                <w:rFonts w:ascii="Arial" w:hAnsi="Arial" w:cs="Arial"/>
                <w:b/>
                <w:color w:val="000000" w:themeColor="text1"/>
                <w:sz w:val="22"/>
                <w:szCs w:val="22"/>
              </w:rPr>
              <w:t>неттинга</w:t>
            </w:r>
            <w:proofErr w:type="spellEnd"/>
            <w:r w:rsidRPr="00A1341A">
              <w:rPr>
                <w:rFonts w:ascii="Arial" w:hAnsi="Arial" w:cs="Arial"/>
                <w:b/>
                <w:color w:val="000000" w:themeColor="text1"/>
                <w:sz w:val="22"/>
                <w:szCs w:val="22"/>
              </w:rPr>
              <w:t xml:space="preserve"> по сделкам без ЦК</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подпункты 57.12.1, 58.6.1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Внесены изменения в порядок определения суммы нетто-обязательств / нетто-требований Участника клиринга </w:t>
            </w:r>
            <w:r w:rsidR="003403D1">
              <w:rPr>
                <w:rFonts w:ascii="Arial" w:hAnsi="Arial" w:cs="Arial"/>
                <w:color w:val="000000" w:themeColor="text1"/>
                <w:sz w:val="22"/>
                <w:szCs w:val="22"/>
              </w:rPr>
              <w:t xml:space="preserve">- </w:t>
            </w:r>
            <w:proofErr w:type="spellStart"/>
            <w:r w:rsidRPr="00A1341A">
              <w:rPr>
                <w:rFonts w:ascii="Arial" w:hAnsi="Arial" w:cs="Arial"/>
                <w:color w:val="000000" w:themeColor="text1"/>
                <w:sz w:val="22"/>
                <w:szCs w:val="22"/>
              </w:rPr>
              <w:t>ликвиданта</w:t>
            </w:r>
            <w:proofErr w:type="spellEnd"/>
            <w:r w:rsidRPr="00A1341A">
              <w:rPr>
                <w:rFonts w:ascii="Arial" w:hAnsi="Arial" w:cs="Arial"/>
                <w:color w:val="000000" w:themeColor="text1"/>
                <w:sz w:val="22"/>
                <w:szCs w:val="22"/>
              </w:rPr>
              <w:t xml:space="preserve"> в отношении других Участников клиринга – его контрагентов по Сделкам без центрального контрагента.</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В текущей редакции Правил клиринга указанная сумма в российских рублях рассчитывается с учетом курса иностранной валюты, установленного Банком России на дату прекращения обязательств по Сделкам. </w:t>
            </w:r>
          </w:p>
          <w:p w:rsidR="003403D1" w:rsidRDefault="00A1341A" w:rsidP="003403D1">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В новой редакции Правил клиринга вместо курса Банка России используется курс фиксинга Московской Биржи, определенный в дату прекращения обязательств по Сделкам</w:t>
            </w:r>
            <w:r w:rsidR="003403D1">
              <w:rPr>
                <w:rFonts w:ascii="Arial" w:hAnsi="Arial" w:cs="Arial"/>
                <w:color w:val="000000" w:themeColor="text1"/>
                <w:sz w:val="22"/>
                <w:szCs w:val="22"/>
              </w:rPr>
              <w:t xml:space="preserve"> </w:t>
            </w:r>
            <w:r w:rsidRPr="00A1341A">
              <w:rPr>
                <w:rFonts w:ascii="Arial" w:hAnsi="Arial" w:cs="Arial"/>
                <w:color w:val="000000" w:themeColor="text1"/>
                <w:sz w:val="22"/>
                <w:szCs w:val="22"/>
              </w:rPr>
              <w:t xml:space="preserve">для всех сделок, кроме сделок РЕПО с Банком России. </w:t>
            </w:r>
          </w:p>
          <w:p w:rsidR="00A1341A" w:rsidRPr="00A1341A" w:rsidRDefault="00A1341A" w:rsidP="003403D1">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Банку России направлено официальное письмо с предложением об использовании курса фиксинга Московской Биржи, после получения положительного ответа аналогичное изменение будут сделано и для сделок РЕПО с Банком России.</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Нетто-обязательства / нетто-требования Участников клиринга в ходе ликвидационного неттинга по сделкам без ЦК рассчитываются по более </w:t>
            </w:r>
            <w:r w:rsidRPr="00A1341A">
              <w:rPr>
                <w:rFonts w:ascii="Arial" w:hAnsi="Arial" w:cs="Arial"/>
                <w:color w:val="000000" w:themeColor="text1"/>
                <w:sz w:val="22"/>
                <w:szCs w:val="22"/>
                <w:u w:val="words"/>
              </w:rPr>
              <w:t>актуальному</w:t>
            </w:r>
            <w:r w:rsidRPr="00A1341A">
              <w:rPr>
                <w:rFonts w:ascii="Arial" w:hAnsi="Arial" w:cs="Arial"/>
                <w:color w:val="000000" w:themeColor="text1"/>
                <w:sz w:val="22"/>
                <w:szCs w:val="22"/>
              </w:rPr>
              <w:t xml:space="preserve"> курсу, т.к. курс фиксинга Московской Биржи имеет более актуальное значение по сравнению с курсом Банка России, который устанавливается по итогам предыдущего дня.</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lastRenderedPageBreak/>
              <w:t>Уточнен порядок проведения ликвидационного неттинга в отношении клиента Участника клиринга</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пункты 58.1-  58.5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Необходимым условием проведения ликвидационного неттинга по клиенту Участника клиринга по требованию Участника клиринга является предварительное открытие Участником клиринга для такого клиента </w:t>
            </w:r>
            <w:r w:rsidRPr="00D62A41">
              <w:rPr>
                <w:rFonts w:ascii="Arial" w:hAnsi="Arial" w:cs="Arial"/>
                <w:color w:val="000000" w:themeColor="text1"/>
                <w:sz w:val="22"/>
                <w:szCs w:val="22"/>
              </w:rPr>
              <w:t>отдельного Расчетного кода и других клиринговых регистров, а также предоставление Участником клиринга НКЦ доверенности на заключение сделок и совершение иных действий</w:t>
            </w:r>
            <w:r w:rsidRPr="00A1341A">
              <w:rPr>
                <w:rFonts w:ascii="Arial" w:hAnsi="Arial" w:cs="Arial"/>
                <w:color w:val="000000" w:themeColor="text1"/>
                <w:sz w:val="22"/>
                <w:szCs w:val="22"/>
              </w:rPr>
              <w:t>.</w:t>
            </w:r>
            <w:r w:rsidR="00D13C7E">
              <w:rPr>
                <w:rFonts w:ascii="Arial" w:hAnsi="Arial" w:cs="Arial"/>
                <w:color w:val="000000" w:themeColor="text1"/>
                <w:sz w:val="22"/>
                <w:szCs w:val="22"/>
              </w:rPr>
              <w:t xml:space="preserve"> Доверенность </w:t>
            </w:r>
            <w:r w:rsidR="00D13C7E" w:rsidRPr="00D13C7E">
              <w:rPr>
                <w:rFonts w:ascii="Arial" w:hAnsi="Arial" w:cs="Arial"/>
                <w:color w:val="000000" w:themeColor="text1"/>
                <w:sz w:val="22"/>
                <w:szCs w:val="22"/>
              </w:rPr>
              <w:t>действует в течение 10 (десяти) ле</w:t>
            </w:r>
            <w:r w:rsidR="00D13C7E">
              <w:rPr>
                <w:rFonts w:ascii="Arial" w:hAnsi="Arial" w:cs="Arial"/>
                <w:color w:val="000000" w:themeColor="text1"/>
                <w:sz w:val="22"/>
                <w:szCs w:val="22"/>
              </w:rPr>
              <w:t>т с даты вступления данной редакции Правил клиринга и содержится в п.58.3 Общей части.</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Ограничивает возможности Участников клиринга по проведению ликвидационного неттинга по клиенту, но упрощает процедуру такого ликвидационного неттинга на стороне Участника клиринга и НКЦ.</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Увеличен размер выделенного капитала центрального контрагента на рынке СПФИ</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подпункты 24.3.4, 24.3.5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Размер выделенного капитала центрального контрагента на рынке Стандартизированных ПФИ увеличен с 400 млн. руб. до 1 млрд. руб. В соответствии с законом о клиринге, клиринговой деятельности и центральном контрагенте данные изменения вступят в силу </w:t>
            </w:r>
            <w:r w:rsidR="00A16BB2">
              <w:rPr>
                <w:rFonts w:ascii="Arial" w:hAnsi="Arial" w:cs="Arial"/>
                <w:color w:val="000000" w:themeColor="text1"/>
                <w:sz w:val="22"/>
                <w:szCs w:val="22"/>
              </w:rPr>
              <w:t>с 2</w:t>
            </w:r>
            <w:r w:rsidR="00D62A41">
              <w:rPr>
                <w:rFonts w:ascii="Arial" w:hAnsi="Arial" w:cs="Arial"/>
                <w:color w:val="000000" w:themeColor="text1"/>
                <w:sz w:val="22"/>
                <w:szCs w:val="22"/>
              </w:rPr>
              <w:t>2</w:t>
            </w:r>
            <w:r w:rsidR="00A16BB2">
              <w:rPr>
                <w:rFonts w:ascii="Arial" w:hAnsi="Arial" w:cs="Arial"/>
                <w:color w:val="000000" w:themeColor="text1"/>
                <w:sz w:val="22"/>
                <w:szCs w:val="22"/>
              </w:rPr>
              <w:t>.07.2019 (</w:t>
            </w:r>
            <w:r w:rsidRPr="00A1341A">
              <w:rPr>
                <w:rFonts w:ascii="Arial" w:hAnsi="Arial" w:cs="Arial"/>
                <w:color w:val="000000" w:themeColor="text1"/>
                <w:sz w:val="22"/>
                <w:szCs w:val="22"/>
              </w:rPr>
              <w:t xml:space="preserve">не ранее, чем через 3 месяца после опубликования на сайте НКЦ </w:t>
            </w:r>
            <w:r w:rsidR="0052675C">
              <w:rPr>
                <w:rFonts w:ascii="Arial" w:hAnsi="Arial" w:cs="Arial"/>
                <w:color w:val="000000" w:themeColor="text1"/>
                <w:sz w:val="22"/>
                <w:szCs w:val="22"/>
              </w:rPr>
              <w:t xml:space="preserve">данной </w:t>
            </w:r>
            <w:r w:rsidRPr="00A1341A">
              <w:rPr>
                <w:rFonts w:ascii="Arial" w:hAnsi="Arial" w:cs="Arial"/>
                <w:color w:val="000000" w:themeColor="text1"/>
                <w:sz w:val="22"/>
                <w:szCs w:val="22"/>
              </w:rPr>
              <w:t>редакции Правил клиринга</w:t>
            </w:r>
            <w:r w:rsidR="00A16BB2">
              <w:rPr>
                <w:rFonts w:ascii="Arial" w:hAnsi="Arial" w:cs="Arial"/>
                <w:color w:val="000000" w:themeColor="text1"/>
                <w:sz w:val="22"/>
                <w:szCs w:val="22"/>
              </w:rPr>
              <w:t>)</w:t>
            </w:r>
            <w:r w:rsidRPr="00A1341A">
              <w:rPr>
                <w:rFonts w:ascii="Arial" w:hAnsi="Arial" w:cs="Arial"/>
                <w:color w:val="000000" w:themeColor="text1"/>
                <w:sz w:val="22"/>
                <w:szCs w:val="22"/>
              </w:rPr>
              <w:t>.</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Не влияет на права и обязанности Участников клиринга.</w:t>
            </w:r>
          </w:p>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Снижает вероятность использования взносов Добросовестных участников клиринга в Гарантийные фонды товарного рынка и рынка СПФИ.</w:t>
            </w:r>
          </w:p>
        </w:tc>
      </w:tr>
      <w:tr w:rsidR="003458ED" w:rsidRPr="00A1341A"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Изменение отчетности, предоставляемой Участниками клиринга Клиринговому центру</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приложение 5 к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Перечень отчетности, предоставляемой Участниками клиринга Клиринговому центру, скорректирован в соответствии с новыми требованиями Банка России</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У Участников клиринга возникает обязанность предоставлять отчетность в соответствии с измененными требованиями.</w:t>
            </w:r>
          </w:p>
        </w:tc>
      </w:tr>
      <w:tr w:rsidR="003458ED" w:rsidRPr="00641A84" w:rsidTr="00093EA9">
        <w:trPr>
          <w:trHeight w:val="70"/>
        </w:trPr>
        <w:tc>
          <w:tcPr>
            <w:tcW w:w="3254" w:type="dxa"/>
            <w:shd w:val="clear" w:color="auto" w:fill="F2DBDB" w:themeFill="accent2" w:themeFillTint="33"/>
          </w:tcPr>
          <w:p w:rsidR="00A1341A" w:rsidRPr="00A1341A" w:rsidRDefault="00A1341A" w:rsidP="00A1341A">
            <w:pPr>
              <w:pStyle w:val="af5"/>
              <w:numPr>
                <w:ilvl w:val="0"/>
                <w:numId w:val="24"/>
              </w:numPr>
              <w:spacing w:before="120" w:after="120"/>
              <w:ind w:left="459" w:hanging="426"/>
              <w:rPr>
                <w:rFonts w:ascii="Arial" w:hAnsi="Arial" w:cs="Arial"/>
                <w:b/>
                <w:color w:val="000000" w:themeColor="text1"/>
                <w:sz w:val="22"/>
                <w:szCs w:val="22"/>
              </w:rPr>
            </w:pPr>
            <w:r w:rsidRPr="00A1341A">
              <w:rPr>
                <w:rFonts w:ascii="Arial" w:hAnsi="Arial" w:cs="Arial"/>
                <w:b/>
                <w:color w:val="000000" w:themeColor="text1"/>
                <w:sz w:val="22"/>
                <w:szCs w:val="22"/>
              </w:rPr>
              <w:t>Дополнен список документов, предоставляемых Участниками клиринга при заключении Договора об оказании клиринговых услуг</w:t>
            </w:r>
          </w:p>
        </w:tc>
        <w:tc>
          <w:tcPr>
            <w:tcW w:w="2536" w:type="dxa"/>
          </w:tcPr>
          <w:p w:rsidR="00A1341A" w:rsidRPr="00A1341A" w:rsidRDefault="00A1341A" w:rsidP="00A1341A">
            <w:pPr>
              <w:spacing w:before="120" w:after="120"/>
              <w:rPr>
                <w:rFonts w:ascii="Arial" w:hAnsi="Arial" w:cs="Arial"/>
                <w:color w:val="000000" w:themeColor="text1"/>
                <w:sz w:val="22"/>
                <w:szCs w:val="22"/>
              </w:rPr>
            </w:pPr>
            <w:r w:rsidRPr="00A1341A">
              <w:rPr>
                <w:rFonts w:ascii="Arial" w:hAnsi="Arial" w:cs="Arial"/>
                <w:color w:val="000000" w:themeColor="text1"/>
                <w:sz w:val="22"/>
                <w:szCs w:val="22"/>
              </w:rPr>
              <w:t>приложение 4 к общей части Правил клиринга</w:t>
            </w:r>
          </w:p>
        </w:tc>
        <w:tc>
          <w:tcPr>
            <w:tcW w:w="7393"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Список документов, предоставляемых Участниками клиринга, являющимися нерезидентами, при заключении Договора об оказании клиринговых услуг, дополнен новыми документами, необходимыми для осуществления НКЦ функций налогового агента</w:t>
            </w:r>
          </w:p>
        </w:tc>
        <w:tc>
          <w:tcPr>
            <w:tcW w:w="2977" w:type="dxa"/>
          </w:tcPr>
          <w:p w:rsidR="00A1341A" w:rsidRPr="00A1341A" w:rsidRDefault="00A1341A" w:rsidP="00A1341A">
            <w:pPr>
              <w:spacing w:before="120" w:after="120"/>
              <w:jc w:val="both"/>
              <w:rPr>
                <w:rFonts w:ascii="Arial" w:hAnsi="Arial" w:cs="Arial"/>
                <w:color w:val="000000" w:themeColor="text1"/>
                <w:sz w:val="22"/>
                <w:szCs w:val="22"/>
              </w:rPr>
            </w:pPr>
            <w:r w:rsidRPr="00A1341A">
              <w:rPr>
                <w:rFonts w:ascii="Arial" w:hAnsi="Arial" w:cs="Arial"/>
                <w:color w:val="000000" w:themeColor="text1"/>
                <w:sz w:val="22"/>
                <w:szCs w:val="22"/>
              </w:rPr>
              <w:t xml:space="preserve">У Участников клиринга, являющихся нерезидентами, возникает обязанность предоставлять дополнительные документы при заключении Договора об </w:t>
            </w:r>
            <w:r w:rsidRPr="00A1341A">
              <w:rPr>
                <w:rFonts w:ascii="Arial" w:hAnsi="Arial" w:cs="Arial"/>
                <w:color w:val="000000" w:themeColor="text1"/>
                <w:sz w:val="22"/>
                <w:szCs w:val="22"/>
              </w:rPr>
              <w:lastRenderedPageBreak/>
              <w:t>оказании клиринговых услуг.</w:t>
            </w:r>
          </w:p>
        </w:tc>
      </w:tr>
    </w:tbl>
    <w:p w:rsidR="00BB220F" w:rsidRPr="00CA5E54" w:rsidRDefault="00BB220F" w:rsidP="00F429E8">
      <w:pPr>
        <w:overflowPunct w:val="0"/>
        <w:autoSpaceDE w:val="0"/>
        <w:autoSpaceDN w:val="0"/>
        <w:adjustRightInd w:val="0"/>
        <w:spacing w:before="240" w:after="120"/>
        <w:jc w:val="both"/>
        <w:textAlignment w:val="baseline"/>
        <w:rPr>
          <w:rFonts w:ascii="Arial" w:hAnsi="Arial" w:cs="Arial"/>
          <w:color w:val="000000" w:themeColor="text1"/>
          <w:sz w:val="22"/>
          <w:szCs w:val="22"/>
        </w:rPr>
      </w:pPr>
    </w:p>
    <w:sectPr w:rsidR="00BB220F" w:rsidRPr="00CA5E54" w:rsidSect="00F429E8">
      <w:headerReference w:type="default" r:id="rId8"/>
      <w:footerReference w:type="default" r:id="rId9"/>
      <w:pgSz w:w="16838" w:h="11906" w:orient="landscape"/>
      <w:pgMar w:top="284" w:right="678" w:bottom="14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B2A" w:rsidRDefault="00503B2A" w:rsidP="00F33E1B">
      <w:r>
        <w:separator/>
      </w:r>
    </w:p>
  </w:endnote>
  <w:endnote w:type="continuationSeparator" w:id="0">
    <w:p w:rsidR="00503B2A" w:rsidRDefault="00503B2A" w:rsidP="00F33E1B">
      <w:r>
        <w:continuationSeparator/>
      </w:r>
    </w:p>
  </w:endnote>
  <w:endnote w:type="continuationNotice" w:id="1">
    <w:p w:rsidR="00503B2A" w:rsidRDefault="0050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180624"/>
      <w:docPartObj>
        <w:docPartGallery w:val="Page Numbers (Bottom of Page)"/>
        <w:docPartUnique/>
      </w:docPartObj>
    </w:sdtPr>
    <w:sdtEndPr/>
    <w:sdtContent>
      <w:p w:rsidR="001C6F70" w:rsidRDefault="001C6F70">
        <w:pPr>
          <w:pStyle w:val="aff0"/>
          <w:jc w:val="right"/>
        </w:pPr>
        <w:r>
          <w:fldChar w:fldCharType="begin"/>
        </w:r>
        <w:r>
          <w:instrText>PAGE   \* MERGEFORMAT</w:instrText>
        </w:r>
        <w:r>
          <w:fldChar w:fldCharType="separate"/>
        </w:r>
        <w:r w:rsidR="00A1341A">
          <w:rPr>
            <w:noProof/>
          </w:rPr>
          <w:t>17</w:t>
        </w:r>
        <w:r>
          <w:fldChar w:fldCharType="end"/>
        </w:r>
      </w:p>
    </w:sdtContent>
  </w:sdt>
  <w:p w:rsidR="001C6F70" w:rsidRDefault="001C6F70">
    <w:pPr>
      <w:pStyle w:val="aff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B2A" w:rsidRDefault="00503B2A" w:rsidP="00F33E1B">
      <w:r>
        <w:separator/>
      </w:r>
    </w:p>
  </w:footnote>
  <w:footnote w:type="continuationSeparator" w:id="0">
    <w:p w:rsidR="00503B2A" w:rsidRDefault="00503B2A" w:rsidP="00F33E1B">
      <w:r>
        <w:continuationSeparator/>
      </w:r>
    </w:p>
  </w:footnote>
  <w:footnote w:type="continuationNotice" w:id="1">
    <w:p w:rsidR="00503B2A" w:rsidRDefault="00503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F70" w:rsidRDefault="001C6F70" w:rsidP="001F74F7">
    <w:pPr>
      <w:pStyle w:val="afe"/>
      <w:tabs>
        <w:tab w:val="left" w:pos="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7F0C"/>
    <w:multiLevelType w:val="hybridMultilevel"/>
    <w:tmpl w:val="966E9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B4858"/>
    <w:multiLevelType w:val="hybridMultilevel"/>
    <w:tmpl w:val="1BA85F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11480"/>
    <w:multiLevelType w:val="hybridMultilevel"/>
    <w:tmpl w:val="4002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0A42E3"/>
    <w:multiLevelType w:val="multilevel"/>
    <w:tmpl w:val="825A5D6C"/>
    <w:lvl w:ilvl="0">
      <w:start w:val="36"/>
      <w:numFmt w:val="decimal"/>
      <w:lvlText w:val="%1"/>
      <w:lvlJc w:val="left"/>
      <w:pPr>
        <w:ind w:left="465" w:hanging="465"/>
      </w:pPr>
      <w:rPr>
        <w:rFonts w:hint="default"/>
      </w:rPr>
    </w:lvl>
    <w:lvl w:ilvl="1">
      <w:start w:val="9"/>
      <w:numFmt w:val="decimal"/>
      <w:lvlText w:val="%1.%2"/>
      <w:lvlJc w:val="left"/>
      <w:pPr>
        <w:ind w:left="1505" w:hanging="465"/>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abstractNum w:abstractNumId="4" w15:restartNumberingAfterBreak="0">
    <w:nsid w:val="16AC0BE8"/>
    <w:multiLevelType w:val="hybridMultilevel"/>
    <w:tmpl w:val="B9E61C16"/>
    <w:lvl w:ilvl="0" w:tplc="B3C66902">
      <w:start w:val="1"/>
      <w:numFmt w:val="decimal"/>
      <w:pStyle w:val="a"/>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9811036"/>
    <w:multiLevelType w:val="hybridMultilevel"/>
    <w:tmpl w:val="6BB20882"/>
    <w:lvl w:ilvl="0" w:tplc="DA30E77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81B6D"/>
    <w:multiLevelType w:val="hybridMultilevel"/>
    <w:tmpl w:val="9092B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C204C1"/>
    <w:multiLevelType w:val="hybridMultilevel"/>
    <w:tmpl w:val="1682E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D42C7B"/>
    <w:multiLevelType w:val="hybridMultilevel"/>
    <w:tmpl w:val="6F64B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292B5A"/>
    <w:multiLevelType w:val="hybridMultilevel"/>
    <w:tmpl w:val="9510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4D20E2"/>
    <w:multiLevelType w:val="hybridMultilevel"/>
    <w:tmpl w:val="24E00FCE"/>
    <w:lvl w:ilvl="0" w:tplc="829C2D32">
      <w:start w:val="35"/>
      <w:numFmt w:val="bullet"/>
      <w:lvlText w:val="•"/>
      <w:lvlJc w:val="left"/>
      <w:pPr>
        <w:ind w:left="116" w:firstLine="0"/>
      </w:pPr>
      <w:rPr>
        <w:rFonts w:ascii="Arial" w:eastAsia="Times New Roman"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11" w15:restartNumberingAfterBreak="0">
    <w:nsid w:val="23CC77CA"/>
    <w:multiLevelType w:val="multilevel"/>
    <w:tmpl w:val="5810C46A"/>
    <w:lvl w:ilvl="0">
      <w:start w:val="1"/>
      <w:numFmt w:val="upperRoman"/>
      <w:lvlText w:val="РАЗДЕЛ %1."/>
      <w:lvlJc w:val="left"/>
      <w:pPr>
        <w:tabs>
          <w:tab w:val="num" w:pos="1418"/>
        </w:tabs>
        <w:ind w:left="1418" w:hanging="1418"/>
      </w:pPr>
      <w:rPr>
        <w:rFonts w:hint="default"/>
      </w:rPr>
    </w:lvl>
    <w:lvl w:ilvl="1">
      <w:start w:val="1"/>
      <w:numFmt w:val="upperRoman"/>
      <w:lvlText w:val="ПОДРАЗДЕЛ %1-%2."/>
      <w:lvlJc w:val="left"/>
      <w:pPr>
        <w:tabs>
          <w:tab w:val="num" w:pos="1985"/>
        </w:tabs>
        <w:ind w:left="1985" w:hanging="1985"/>
      </w:pPr>
      <w:rPr>
        <w:rFonts w:hint="default"/>
      </w:rPr>
    </w:lvl>
    <w:lvl w:ilvl="2">
      <w:start w:val="1"/>
      <w:numFmt w:val="decimal"/>
      <w:lvlRestart w:val="0"/>
      <w:isLgl/>
      <w:lvlText w:val="Статья %3."/>
      <w:lvlJc w:val="left"/>
      <w:pPr>
        <w:tabs>
          <w:tab w:val="num" w:pos="1418"/>
        </w:tabs>
        <w:ind w:left="1418" w:hanging="1418"/>
      </w:pPr>
      <w:rPr>
        <w:rFonts w:hint="default"/>
      </w:rPr>
    </w:lvl>
    <w:lvl w:ilvl="3">
      <w:start w:val="1"/>
      <w:numFmt w:val="decimal"/>
      <w:lvlText w:val="%3.%4."/>
      <w:lvlJc w:val="left"/>
      <w:pPr>
        <w:tabs>
          <w:tab w:val="num" w:pos="2836"/>
        </w:tabs>
        <w:ind w:left="2836" w:hanging="851"/>
      </w:pPr>
      <w:rPr>
        <w:rFonts w:hint="default"/>
      </w:rPr>
    </w:lvl>
    <w:lvl w:ilvl="4">
      <w:start w:val="1"/>
      <w:numFmt w:val="decimal"/>
      <w:lvlText w:val="%3.%4.%5."/>
      <w:lvlJc w:val="left"/>
      <w:pPr>
        <w:tabs>
          <w:tab w:val="num" w:pos="851"/>
        </w:tabs>
        <w:ind w:left="851" w:hanging="851"/>
      </w:pPr>
      <w:rPr>
        <w:rFonts w:hint="default"/>
        <w:lang w:val="x-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D49014D"/>
    <w:multiLevelType w:val="hybridMultilevel"/>
    <w:tmpl w:val="0F08E566"/>
    <w:lvl w:ilvl="0" w:tplc="1350206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14" w15:restartNumberingAfterBreak="0">
    <w:nsid w:val="2F447123"/>
    <w:multiLevelType w:val="hybridMultilevel"/>
    <w:tmpl w:val="2A1AA06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381960C5"/>
    <w:multiLevelType w:val="hybridMultilevel"/>
    <w:tmpl w:val="9B048EEC"/>
    <w:lvl w:ilvl="0" w:tplc="0419000F">
      <w:start w:val="1"/>
      <w:numFmt w:val="decimal"/>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16" w15:restartNumberingAfterBreak="0">
    <w:nsid w:val="3FD756B8"/>
    <w:multiLevelType w:val="hybridMultilevel"/>
    <w:tmpl w:val="55EEE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813552"/>
    <w:multiLevelType w:val="multilevel"/>
    <w:tmpl w:val="B6CE9366"/>
    <w:lvl w:ilvl="0">
      <w:start w:val="36"/>
      <w:numFmt w:val="decimal"/>
      <w:lvlText w:val="%1."/>
      <w:lvlJc w:val="left"/>
      <w:pPr>
        <w:ind w:left="660" w:hanging="660"/>
      </w:pPr>
      <w:rPr>
        <w:rFonts w:hint="default"/>
        <w:color w:val="auto"/>
      </w:rPr>
    </w:lvl>
    <w:lvl w:ilvl="1">
      <w:start w:val="10"/>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18" w15:restartNumberingAfterBreak="0">
    <w:nsid w:val="42F32EE6"/>
    <w:multiLevelType w:val="hybridMultilevel"/>
    <w:tmpl w:val="E3BE9FBC"/>
    <w:lvl w:ilvl="0" w:tplc="04190001">
      <w:start w:val="1"/>
      <w:numFmt w:val="bullet"/>
      <w:lvlText w:val=""/>
      <w:lvlJc w:val="left"/>
      <w:pPr>
        <w:ind w:left="1916" w:hanging="360"/>
      </w:pPr>
      <w:rPr>
        <w:rFonts w:ascii="Symbol" w:hAnsi="Symbol" w:hint="default"/>
      </w:rPr>
    </w:lvl>
    <w:lvl w:ilvl="1" w:tplc="04190003" w:tentative="1">
      <w:start w:val="1"/>
      <w:numFmt w:val="bullet"/>
      <w:lvlText w:val="o"/>
      <w:lvlJc w:val="left"/>
      <w:pPr>
        <w:ind w:left="2636" w:hanging="360"/>
      </w:pPr>
      <w:rPr>
        <w:rFonts w:ascii="Courier New" w:hAnsi="Courier New" w:cs="Courier New" w:hint="default"/>
      </w:rPr>
    </w:lvl>
    <w:lvl w:ilvl="2" w:tplc="04190005" w:tentative="1">
      <w:start w:val="1"/>
      <w:numFmt w:val="bullet"/>
      <w:lvlText w:val=""/>
      <w:lvlJc w:val="left"/>
      <w:pPr>
        <w:ind w:left="3356" w:hanging="360"/>
      </w:pPr>
      <w:rPr>
        <w:rFonts w:ascii="Wingdings" w:hAnsi="Wingdings" w:hint="default"/>
      </w:rPr>
    </w:lvl>
    <w:lvl w:ilvl="3" w:tplc="04190001" w:tentative="1">
      <w:start w:val="1"/>
      <w:numFmt w:val="bullet"/>
      <w:lvlText w:val=""/>
      <w:lvlJc w:val="left"/>
      <w:pPr>
        <w:ind w:left="4076" w:hanging="360"/>
      </w:pPr>
      <w:rPr>
        <w:rFonts w:ascii="Symbol" w:hAnsi="Symbol" w:hint="default"/>
      </w:rPr>
    </w:lvl>
    <w:lvl w:ilvl="4" w:tplc="04190003" w:tentative="1">
      <w:start w:val="1"/>
      <w:numFmt w:val="bullet"/>
      <w:lvlText w:val="o"/>
      <w:lvlJc w:val="left"/>
      <w:pPr>
        <w:ind w:left="4796" w:hanging="360"/>
      </w:pPr>
      <w:rPr>
        <w:rFonts w:ascii="Courier New" w:hAnsi="Courier New" w:cs="Courier New" w:hint="default"/>
      </w:rPr>
    </w:lvl>
    <w:lvl w:ilvl="5" w:tplc="04190005" w:tentative="1">
      <w:start w:val="1"/>
      <w:numFmt w:val="bullet"/>
      <w:lvlText w:val=""/>
      <w:lvlJc w:val="left"/>
      <w:pPr>
        <w:ind w:left="5516" w:hanging="360"/>
      </w:pPr>
      <w:rPr>
        <w:rFonts w:ascii="Wingdings" w:hAnsi="Wingdings" w:hint="default"/>
      </w:rPr>
    </w:lvl>
    <w:lvl w:ilvl="6" w:tplc="04190001" w:tentative="1">
      <w:start w:val="1"/>
      <w:numFmt w:val="bullet"/>
      <w:lvlText w:val=""/>
      <w:lvlJc w:val="left"/>
      <w:pPr>
        <w:ind w:left="6236" w:hanging="360"/>
      </w:pPr>
      <w:rPr>
        <w:rFonts w:ascii="Symbol" w:hAnsi="Symbol" w:hint="default"/>
      </w:rPr>
    </w:lvl>
    <w:lvl w:ilvl="7" w:tplc="04190003" w:tentative="1">
      <w:start w:val="1"/>
      <w:numFmt w:val="bullet"/>
      <w:lvlText w:val="o"/>
      <w:lvlJc w:val="left"/>
      <w:pPr>
        <w:ind w:left="6956" w:hanging="360"/>
      </w:pPr>
      <w:rPr>
        <w:rFonts w:ascii="Courier New" w:hAnsi="Courier New" w:cs="Courier New" w:hint="default"/>
      </w:rPr>
    </w:lvl>
    <w:lvl w:ilvl="8" w:tplc="04190005" w:tentative="1">
      <w:start w:val="1"/>
      <w:numFmt w:val="bullet"/>
      <w:lvlText w:val=""/>
      <w:lvlJc w:val="left"/>
      <w:pPr>
        <w:ind w:left="7676" w:hanging="360"/>
      </w:pPr>
      <w:rPr>
        <w:rFonts w:ascii="Wingdings" w:hAnsi="Wingdings" w:hint="default"/>
      </w:rPr>
    </w:lvl>
  </w:abstractNum>
  <w:abstractNum w:abstractNumId="19" w15:restartNumberingAfterBreak="0">
    <w:nsid w:val="42FD369E"/>
    <w:multiLevelType w:val="hybridMultilevel"/>
    <w:tmpl w:val="2F02B664"/>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20" w15:restartNumberingAfterBreak="0">
    <w:nsid w:val="434747A9"/>
    <w:multiLevelType w:val="hybridMultilevel"/>
    <w:tmpl w:val="A0B82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D70BD9"/>
    <w:multiLevelType w:val="hybridMultilevel"/>
    <w:tmpl w:val="5CACA5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C77ADC"/>
    <w:multiLevelType w:val="hybridMultilevel"/>
    <w:tmpl w:val="18C47DF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453BEA"/>
    <w:multiLevelType w:val="hybridMultilevel"/>
    <w:tmpl w:val="92D6B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2713EB"/>
    <w:multiLevelType w:val="hybridMultilevel"/>
    <w:tmpl w:val="D2DE1F42"/>
    <w:lvl w:ilvl="0" w:tplc="690EBC1E">
      <w:start w:val="1"/>
      <w:numFmt w:val="bullet"/>
      <w:pStyle w:val="a0"/>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5" w15:restartNumberingAfterBreak="0">
    <w:nsid w:val="4FAA6691"/>
    <w:multiLevelType w:val="hybridMultilevel"/>
    <w:tmpl w:val="C67ADF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4FB8074A"/>
    <w:multiLevelType w:val="hybridMultilevel"/>
    <w:tmpl w:val="3140B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C7D50"/>
    <w:multiLevelType w:val="multilevel"/>
    <w:tmpl w:val="0430E84E"/>
    <w:lvl w:ilvl="0">
      <w:start w:val="1"/>
      <w:numFmt w:val="decimal"/>
      <w:lvlText w:val="Приложение № %1. "/>
      <w:lvlJc w:val="left"/>
      <w:pPr>
        <w:tabs>
          <w:tab w:val="num" w:pos="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1"/>
      <w:lvlText w:val="%2."/>
      <w:lvlJc w:val="left"/>
      <w:pPr>
        <w:tabs>
          <w:tab w:val="num" w:pos="-7371"/>
        </w:tabs>
        <w:ind w:left="-7371" w:hanging="851"/>
      </w:pPr>
      <w:rPr>
        <w:rFonts w:hint="default"/>
      </w:rPr>
    </w:lvl>
    <w:lvl w:ilvl="2">
      <w:start w:val="1"/>
      <w:numFmt w:val="decimal"/>
      <w:lvlText w:val="%2.%3."/>
      <w:lvlJc w:val="left"/>
      <w:pPr>
        <w:tabs>
          <w:tab w:val="num" w:pos="-7371"/>
        </w:tabs>
        <w:ind w:left="-7371" w:hanging="851"/>
      </w:pPr>
      <w:rPr>
        <w:rFonts w:hint="default"/>
      </w:rPr>
    </w:lvl>
    <w:lvl w:ilvl="3">
      <w:start w:val="1"/>
      <w:numFmt w:val="decimal"/>
      <w:pStyle w:val="a2"/>
      <w:lvlText w:val="%2.%3.%4."/>
      <w:lvlJc w:val="left"/>
      <w:pPr>
        <w:tabs>
          <w:tab w:val="num" w:pos="-7371"/>
        </w:tabs>
        <w:ind w:left="-7371" w:hanging="851"/>
      </w:pPr>
      <w:rPr>
        <w:rFonts w:hint="default"/>
      </w:rPr>
    </w:lvl>
    <w:lvl w:ilvl="4">
      <w:start w:val="1"/>
      <w:numFmt w:val="decimal"/>
      <w:pStyle w:val="4-"/>
      <w:lvlText w:val="%2.%3.%4.%5."/>
      <w:lvlJc w:val="left"/>
      <w:pPr>
        <w:tabs>
          <w:tab w:val="num" w:pos="-7371"/>
        </w:tabs>
        <w:ind w:left="-7371" w:hanging="851"/>
      </w:pPr>
      <w:rPr>
        <w:rFonts w:hint="default"/>
      </w:rPr>
    </w:lvl>
    <w:lvl w:ilvl="5">
      <w:start w:val="1"/>
      <w:numFmt w:val="decimal"/>
      <w:lvlText w:val="%1.%2.%3.%4.%5.%6."/>
      <w:lvlJc w:val="left"/>
      <w:pPr>
        <w:tabs>
          <w:tab w:val="num" w:pos="-5342"/>
        </w:tabs>
        <w:ind w:left="-5486" w:hanging="936"/>
      </w:pPr>
      <w:rPr>
        <w:rFonts w:hint="default"/>
      </w:rPr>
    </w:lvl>
    <w:lvl w:ilvl="6">
      <w:start w:val="1"/>
      <w:numFmt w:val="decimal"/>
      <w:lvlText w:val="%1.%2.%3.%4.%5.%6.%7."/>
      <w:lvlJc w:val="left"/>
      <w:pPr>
        <w:tabs>
          <w:tab w:val="num" w:pos="-4622"/>
        </w:tabs>
        <w:ind w:left="-4982" w:hanging="1080"/>
      </w:pPr>
      <w:rPr>
        <w:rFonts w:hint="default"/>
      </w:rPr>
    </w:lvl>
    <w:lvl w:ilvl="7">
      <w:start w:val="1"/>
      <w:numFmt w:val="decimal"/>
      <w:lvlText w:val="%1.%2.%3.%4.%5.%6.%7.%8."/>
      <w:lvlJc w:val="left"/>
      <w:pPr>
        <w:tabs>
          <w:tab w:val="num" w:pos="-4262"/>
        </w:tabs>
        <w:ind w:left="-4478" w:hanging="1224"/>
      </w:pPr>
      <w:rPr>
        <w:rFonts w:hint="default"/>
      </w:rPr>
    </w:lvl>
    <w:lvl w:ilvl="8">
      <w:start w:val="1"/>
      <w:numFmt w:val="decimal"/>
      <w:lvlText w:val="%1.%2.%3.%4.%5.%6.%7.%8.%9."/>
      <w:lvlJc w:val="left"/>
      <w:pPr>
        <w:tabs>
          <w:tab w:val="num" w:pos="-3542"/>
        </w:tabs>
        <w:ind w:left="-3902" w:hanging="1440"/>
      </w:pPr>
      <w:rPr>
        <w:rFonts w:hint="default"/>
      </w:rPr>
    </w:lvl>
  </w:abstractNum>
  <w:abstractNum w:abstractNumId="28" w15:restartNumberingAfterBreak="0">
    <w:nsid w:val="59030B50"/>
    <w:multiLevelType w:val="hybridMultilevel"/>
    <w:tmpl w:val="7886209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0A01EE8"/>
    <w:multiLevelType w:val="hybridMultilevel"/>
    <w:tmpl w:val="2E106E0C"/>
    <w:lvl w:ilvl="0" w:tplc="04190001">
      <w:start w:val="1"/>
      <w:numFmt w:val="bullet"/>
      <w:lvlText w:val=""/>
      <w:lvlJc w:val="left"/>
      <w:pPr>
        <w:ind w:left="836" w:hanging="360"/>
      </w:pPr>
      <w:rPr>
        <w:rFonts w:ascii="Symbol" w:hAnsi="Symbol" w:hint="default"/>
      </w:rPr>
    </w:lvl>
    <w:lvl w:ilvl="1" w:tplc="352C60A0">
      <w:start w:val="35"/>
      <w:numFmt w:val="bullet"/>
      <w:lvlText w:val="•"/>
      <w:lvlJc w:val="left"/>
      <w:pPr>
        <w:ind w:left="1196" w:firstLine="0"/>
      </w:pPr>
      <w:rPr>
        <w:rFonts w:ascii="Arial" w:eastAsia="Times New Roman" w:hAnsi="Arial" w:cs="Arial"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0" w15:restartNumberingAfterBreak="0">
    <w:nsid w:val="69C86441"/>
    <w:multiLevelType w:val="hybridMultilevel"/>
    <w:tmpl w:val="10804582"/>
    <w:lvl w:ilvl="0" w:tplc="13285474">
      <w:start w:val="1"/>
      <w:numFmt w:val="decimal"/>
      <w:pStyle w:val="a3"/>
      <w:lvlText w:val="%1."/>
      <w:lvlJc w:val="left"/>
      <w:pPr>
        <w:ind w:left="1400" w:hanging="360"/>
      </w:pPr>
      <w:rPr>
        <w:rFonts w:hint="default"/>
        <w:b w:val="0"/>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15:restartNumberingAfterBreak="0">
    <w:nsid w:val="6D1F10B0"/>
    <w:multiLevelType w:val="hybridMultilevel"/>
    <w:tmpl w:val="7EB68EA0"/>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AA56DA"/>
    <w:multiLevelType w:val="hybridMultilevel"/>
    <w:tmpl w:val="637ABB18"/>
    <w:lvl w:ilvl="0" w:tplc="04190001">
      <w:start w:val="1"/>
      <w:numFmt w:val="bullet"/>
      <w:lvlText w:val=""/>
      <w:lvlJc w:val="left"/>
      <w:pPr>
        <w:ind w:left="836" w:hanging="360"/>
      </w:pPr>
      <w:rPr>
        <w:rFonts w:ascii="Symbol" w:hAnsi="Symbol" w:hint="default"/>
      </w:rPr>
    </w:lvl>
    <w:lvl w:ilvl="1" w:tplc="04190001">
      <w:start w:val="1"/>
      <w:numFmt w:val="bullet"/>
      <w:lvlText w:val=""/>
      <w:lvlJc w:val="left"/>
      <w:pPr>
        <w:ind w:left="1196" w:firstLine="0"/>
      </w:pPr>
      <w:rPr>
        <w:rFonts w:ascii="Symbol" w:hAnsi="Symbol"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3" w15:restartNumberingAfterBreak="0">
    <w:nsid w:val="71B5057B"/>
    <w:multiLevelType w:val="hybridMultilevel"/>
    <w:tmpl w:val="E80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DB25D9"/>
    <w:multiLevelType w:val="hybridMultilevel"/>
    <w:tmpl w:val="29749E46"/>
    <w:lvl w:ilvl="0" w:tplc="2DE27CF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5" w15:restartNumberingAfterBreak="0">
    <w:nsid w:val="72254EC5"/>
    <w:multiLevelType w:val="hybridMultilevel"/>
    <w:tmpl w:val="6830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9811D2"/>
    <w:multiLevelType w:val="hybridMultilevel"/>
    <w:tmpl w:val="C652C9F0"/>
    <w:lvl w:ilvl="0" w:tplc="DBDAE932">
      <w:start w:val="1"/>
      <w:numFmt w:val="decimal"/>
      <w:pStyle w:val="a4"/>
      <w:lvlText w:val="Приложение № %1. "/>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A01657"/>
    <w:multiLevelType w:val="hybridMultilevel"/>
    <w:tmpl w:val="7A3A7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A37E4B"/>
    <w:multiLevelType w:val="hybridMultilevel"/>
    <w:tmpl w:val="0BA414CA"/>
    <w:lvl w:ilvl="0" w:tplc="04190011">
      <w:start w:val="1"/>
      <w:numFmt w:val="decimal"/>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9" w15:restartNumberingAfterBreak="0">
    <w:nsid w:val="76FD2334"/>
    <w:multiLevelType w:val="multilevel"/>
    <w:tmpl w:val="02A6D7B6"/>
    <w:lvl w:ilvl="0">
      <w:start w:val="1"/>
      <w:numFmt w:val="decimal"/>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370" w:hanging="6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839"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3839"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0" w15:restartNumberingAfterBreak="0">
    <w:nsid w:val="79EB0D71"/>
    <w:multiLevelType w:val="hybridMultilevel"/>
    <w:tmpl w:val="75362EC4"/>
    <w:lvl w:ilvl="0" w:tplc="55D2E36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15:restartNumberingAfterBreak="0">
    <w:nsid w:val="7A2D74F6"/>
    <w:multiLevelType w:val="hybridMultilevel"/>
    <w:tmpl w:val="A48291D2"/>
    <w:lvl w:ilvl="0" w:tplc="829C2D32">
      <w:start w:val="35"/>
      <w:numFmt w:val="bullet"/>
      <w:lvlText w:val="•"/>
      <w:lvlJc w:val="left"/>
      <w:pPr>
        <w:ind w:left="116" w:firstLine="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4E37BF"/>
    <w:multiLevelType w:val="hybridMultilevel"/>
    <w:tmpl w:val="F036E708"/>
    <w:lvl w:ilvl="0" w:tplc="54581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6945FB"/>
    <w:multiLevelType w:val="hybridMultilevel"/>
    <w:tmpl w:val="21A41038"/>
    <w:lvl w:ilvl="0" w:tplc="B29A62F4">
      <w:start w:val="1"/>
      <w:numFmt w:val="bullet"/>
      <w:pStyle w:val="a5"/>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30"/>
  </w:num>
  <w:num w:numId="2">
    <w:abstractNumId w:val="43"/>
  </w:num>
  <w:num w:numId="3">
    <w:abstractNumId w:val="4"/>
  </w:num>
  <w:num w:numId="4">
    <w:abstractNumId w:val="14"/>
  </w:num>
  <w:num w:numId="5">
    <w:abstractNumId w:val="31"/>
  </w:num>
  <w:num w:numId="6">
    <w:abstractNumId w:val="13"/>
  </w:num>
  <w:num w:numId="7">
    <w:abstractNumId w:val="27"/>
  </w:num>
  <w:num w:numId="8">
    <w:abstractNumId w:val="36"/>
  </w:num>
  <w:num w:numId="9">
    <w:abstractNumId w:val="15"/>
  </w:num>
  <w:num w:numId="10">
    <w:abstractNumId w:val="20"/>
  </w:num>
  <w:num w:numId="11">
    <w:abstractNumId w:val="39"/>
  </w:num>
  <w:num w:numId="12">
    <w:abstractNumId w:val="11"/>
  </w:num>
  <w:num w:numId="13">
    <w:abstractNumId w:val="3"/>
  </w:num>
  <w:num w:numId="14">
    <w:abstractNumId w:val="17"/>
  </w:num>
  <w:num w:numId="15">
    <w:abstractNumId w:val="0"/>
  </w:num>
  <w:num w:numId="16">
    <w:abstractNumId w:val="35"/>
  </w:num>
  <w:num w:numId="17">
    <w:abstractNumId w:val="37"/>
  </w:num>
  <w:num w:numId="18">
    <w:abstractNumId w:val="28"/>
  </w:num>
  <w:num w:numId="19">
    <w:abstractNumId w:val="7"/>
  </w:num>
  <w:num w:numId="20">
    <w:abstractNumId w:val="8"/>
  </w:num>
  <w:num w:numId="21">
    <w:abstractNumId w:val="2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5"/>
  </w:num>
  <w:num w:numId="26">
    <w:abstractNumId w:val="34"/>
  </w:num>
  <w:num w:numId="27">
    <w:abstractNumId w:val="19"/>
  </w:num>
  <w:num w:numId="28">
    <w:abstractNumId w:val="9"/>
  </w:num>
  <w:num w:numId="29">
    <w:abstractNumId w:val="16"/>
  </w:num>
  <w:num w:numId="30">
    <w:abstractNumId w:val="12"/>
  </w:num>
  <w:num w:numId="31">
    <w:abstractNumId w:val="29"/>
  </w:num>
  <w:num w:numId="32">
    <w:abstractNumId w:val="10"/>
  </w:num>
  <w:num w:numId="33">
    <w:abstractNumId w:val="41"/>
  </w:num>
  <w:num w:numId="34">
    <w:abstractNumId w:val="32"/>
  </w:num>
  <w:num w:numId="35">
    <w:abstractNumId w:val="18"/>
  </w:num>
  <w:num w:numId="36">
    <w:abstractNumId w:val="1"/>
  </w:num>
  <w:num w:numId="37">
    <w:abstractNumId w:val="33"/>
  </w:num>
  <w:num w:numId="38">
    <w:abstractNumId w:val="22"/>
  </w:num>
  <w:num w:numId="39">
    <w:abstractNumId w:val="2"/>
  </w:num>
  <w:num w:numId="40">
    <w:abstractNumId w:val="23"/>
  </w:num>
  <w:num w:numId="41">
    <w:abstractNumId w:val="24"/>
  </w:num>
  <w:num w:numId="42">
    <w:abstractNumId w:val="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81"/>
    <w:rsid w:val="000013FA"/>
    <w:rsid w:val="00002C10"/>
    <w:rsid w:val="00002FDE"/>
    <w:rsid w:val="0000303D"/>
    <w:rsid w:val="00004A5B"/>
    <w:rsid w:val="00005F61"/>
    <w:rsid w:val="00006535"/>
    <w:rsid w:val="000066E1"/>
    <w:rsid w:val="000103CD"/>
    <w:rsid w:val="00010C0F"/>
    <w:rsid w:val="000119F8"/>
    <w:rsid w:val="00011CDC"/>
    <w:rsid w:val="00013A22"/>
    <w:rsid w:val="00016CDF"/>
    <w:rsid w:val="00020AC5"/>
    <w:rsid w:val="00020D74"/>
    <w:rsid w:val="00021D78"/>
    <w:rsid w:val="00023B50"/>
    <w:rsid w:val="000263C6"/>
    <w:rsid w:val="0003029B"/>
    <w:rsid w:val="00030494"/>
    <w:rsid w:val="00031D94"/>
    <w:rsid w:val="00034975"/>
    <w:rsid w:val="00034D82"/>
    <w:rsid w:val="000405E8"/>
    <w:rsid w:val="00044289"/>
    <w:rsid w:val="000461E9"/>
    <w:rsid w:val="00047E4F"/>
    <w:rsid w:val="000519B0"/>
    <w:rsid w:val="00051F2D"/>
    <w:rsid w:val="000546F0"/>
    <w:rsid w:val="00054A61"/>
    <w:rsid w:val="00055365"/>
    <w:rsid w:val="00061B74"/>
    <w:rsid w:val="00061BD3"/>
    <w:rsid w:val="000620ED"/>
    <w:rsid w:val="00063ADA"/>
    <w:rsid w:val="00065372"/>
    <w:rsid w:val="00066544"/>
    <w:rsid w:val="0006680F"/>
    <w:rsid w:val="00066B9B"/>
    <w:rsid w:val="00070F42"/>
    <w:rsid w:val="00071484"/>
    <w:rsid w:val="000744F5"/>
    <w:rsid w:val="0007692B"/>
    <w:rsid w:val="0007723D"/>
    <w:rsid w:val="00077C99"/>
    <w:rsid w:val="000803F4"/>
    <w:rsid w:val="00080E27"/>
    <w:rsid w:val="00083136"/>
    <w:rsid w:val="0008364E"/>
    <w:rsid w:val="0009308D"/>
    <w:rsid w:val="000935B4"/>
    <w:rsid w:val="000935D4"/>
    <w:rsid w:val="00093EA9"/>
    <w:rsid w:val="000948FF"/>
    <w:rsid w:val="000968E6"/>
    <w:rsid w:val="000A1D1F"/>
    <w:rsid w:val="000A27CC"/>
    <w:rsid w:val="000A2D27"/>
    <w:rsid w:val="000A363B"/>
    <w:rsid w:val="000A555A"/>
    <w:rsid w:val="000A774A"/>
    <w:rsid w:val="000B127C"/>
    <w:rsid w:val="000B1B53"/>
    <w:rsid w:val="000B5267"/>
    <w:rsid w:val="000B5542"/>
    <w:rsid w:val="000B6692"/>
    <w:rsid w:val="000C0C6C"/>
    <w:rsid w:val="000C0EE5"/>
    <w:rsid w:val="000C1059"/>
    <w:rsid w:val="000C193B"/>
    <w:rsid w:val="000C1C79"/>
    <w:rsid w:val="000C1D65"/>
    <w:rsid w:val="000C32C4"/>
    <w:rsid w:val="000D02DC"/>
    <w:rsid w:val="000D0467"/>
    <w:rsid w:val="000D24E1"/>
    <w:rsid w:val="000D2A4F"/>
    <w:rsid w:val="000D3F0E"/>
    <w:rsid w:val="000D60F0"/>
    <w:rsid w:val="000D6485"/>
    <w:rsid w:val="000D698A"/>
    <w:rsid w:val="000E1363"/>
    <w:rsid w:val="000E234D"/>
    <w:rsid w:val="000E40C0"/>
    <w:rsid w:val="000E5DA2"/>
    <w:rsid w:val="000E6403"/>
    <w:rsid w:val="000E7E7F"/>
    <w:rsid w:val="000F1278"/>
    <w:rsid w:val="000F242A"/>
    <w:rsid w:val="000F271B"/>
    <w:rsid w:val="000F383E"/>
    <w:rsid w:val="000F3A32"/>
    <w:rsid w:val="000F3AD6"/>
    <w:rsid w:val="000F60E9"/>
    <w:rsid w:val="000F6A6B"/>
    <w:rsid w:val="000F70AC"/>
    <w:rsid w:val="000F7FBD"/>
    <w:rsid w:val="00104B79"/>
    <w:rsid w:val="00106AFD"/>
    <w:rsid w:val="00107656"/>
    <w:rsid w:val="00110626"/>
    <w:rsid w:val="0011293B"/>
    <w:rsid w:val="00113BF3"/>
    <w:rsid w:val="001165AB"/>
    <w:rsid w:val="00116FA1"/>
    <w:rsid w:val="001208E3"/>
    <w:rsid w:val="00120DDB"/>
    <w:rsid w:val="00120FB1"/>
    <w:rsid w:val="00122B20"/>
    <w:rsid w:val="00122C21"/>
    <w:rsid w:val="00123130"/>
    <w:rsid w:val="00124F2B"/>
    <w:rsid w:val="00126089"/>
    <w:rsid w:val="00126181"/>
    <w:rsid w:val="00127C81"/>
    <w:rsid w:val="0013182F"/>
    <w:rsid w:val="0013421D"/>
    <w:rsid w:val="00134BD3"/>
    <w:rsid w:val="00136062"/>
    <w:rsid w:val="00136080"/>
    <w:rsid w:val="00140966"/>
    <w:rsid w:val="0014105D"/>
    <w:rsid w:val="00143070"/>
    <w:rsid w:val="001437EA"/>
    <w:rsid w:val="00144219"/>
    <w:rsid w:val="001453D5"/>
    <w:rsid w:val="0014644C"/>
    <w:rsid w:val="00146AC8"/>
    <w:rsid w:val="001513D8"/>
    <w:rsid w:val="001520BE"/>
    <w:rsid w:val="001521F5"/>
    <w:rsid w:val="0015270E"/>
    <w:rsid w:val="001539A7"/>
    <w:rsid w:val="00155D09"/>
    <w:rsid w:val="00155D63"/>
    <w:rsid w:val="00156A7A"/>
    <w:rsid w:val="00161230"/>
    <w:rsid w:val="00163BF1"/>
    <w:rsid w:val="00165D2C"/>
    <w:rsid w:val="0016679B"/>
    <w:rsid w:val="00167FBB"/>
    <w:rsid w:val="00171949"/>
    <w:rsid w:val="00171EA9"/>
    <w:rsid w:val="00172D9B"/>
    <w:rsid w:val="00175E59"/>
    <w:rsid w:val="00184EEE"/>
    <w:rsid w:val="00186B4C"/>
    <w:rsid w:val="00187637"/>
    <w:rsid w:val="00187814"/>
    <w:rsid w:val="00190773"/>
    <w:rsid w:val="00190F42"/>
    <w:rsid w:val="00191173"/>
    <w:rsid w:val="0019208D"/>
    <w:rsid w:val="00192579"/>
    <w:rsid w:val="001929CE"/>
    <w:rsid w:val="00193587"/>
    <w:rsid w:val="00194834"/>
    <w:rsid w:val="00196C74"/>
    <w:rsid w:val="00196EDF"/>
    <w:rsid w:val="00197AEF"/>
    <w:rsid w:val="001A05F5"/>
    <w:rsid w:val="001A0DC0"/>
    <w:rsid w:val="001A1978"/>
    <w:rsid w:val="001A3E19"/>
    <w:rsid w:val="001A4DB9"/>
    <w:rsid w:val="001A5362"/>
    <w:rsid w:val="001A7B20"/>
    <w:rsid w:val="001B15FD"/>
    <w:rsid w:val="001B21A6"/>
    <w:rsid w:val="001B31F3"/>
    <w:rsid w:val="001B587E"/>
    <w:rsid w:val="001B72D3"/>
    <w:rsid w:val="001B7DEC"/>
    <w:rsid w:val="001C030B"/>
    <w:rsid w:val="001C1474"/>
    <w:rsid w:val="001C15DD"/>
    <w:rsid w:val="001C2EB2"/>
    <w:rsid w:val="001C6F70"/>
    <w:rsid w:val="001C7856"/>
    <w:rsid w:val="001D46B0"/>
    <w:rsid w:val="001D47D8"/>
    <w:rsid w:val="001D688C"/>
    <w:rsid w:val="001D742C"/>
    <w:rsid w:val="001D7A42"/>
    <w:rsid w:val="001E05F6"/>
    <w:rsid w:val="001E387E"/>
    <w:rsid w:val="001E3DAE"/>
    <w:rsid w:val="001E3E10"/>
    <w:rsid w:val="001E56B3"/>
    <w:rsid w:val="001E6C49"/>
    <w:rsid w:val="001E7F23"/>
    <w:rsid w:val="001F04A7"/>
    <w:rsid w:val="001F099F"/>
    <w:rsid w:val="001F32BA"/>
    <w:rsid w:val="001F3A6D"/>
    <w:rsid w:val="001F74F7"/>
    <w:rsid w:val="001F7712"/>
    <w:rsid w:val="0020122D"/>
    <w:rsid w:val="002016EF"/>
    <w:rsid w:val="00203C05"/>
    <w:rsid w:val="0020493C"/>
    <w:rsid w:val="00204A24"/>
    <w:rsid w:val="00205002"/>
    <w:rsid w:val="00206F02"/>
    <w:rsid w:val="00210C16"/>
    <w:rsid w:val="00211683"/>
    <w:rsid w:val="00215637"/>
    <w:rsid w:val="00216D19"/>
    <w:rsid w:val="00221188"/>
    <w:rsid w:val="00222FED"/>
    <w:rsid w:val="00224AA7"/>
    <w:rsid w:val="002253B6"/>
    <w:rsid w:val="002262FB"/>
    <w:rsid w:val="00227C0C"/>
    <w:rsid w:val="002301F7"/>
    <w:rsid w:val="00230AA8"/>
    <w:rsid w:val="00231D9F"/>
    <w:rsid w:val="00232777"/>
    <w:rsid w:val="00233EB0"/>
    <w:rsid w:val="00234533"/>
    <w:rsid w:val="0023678F"/>
    <w:rsid w:val="002372A1"/>
    <w:rsid w:val="00240C2A"/>
    <w:rsid w:val="00241AFD"/>
    <w:rsid w:val="002441A3"/>
    <w:rsid w:val="0024432E"/>
    <w:rsid w:val="00244648"/>
    <w:rsid w:val="002455D7"/>
    <w:rsid w:val="002458C1"/>
    <w:rsid w:val="00246082"/>
    <w:rsid w:val="00246139"/>
    <w:rsid w:val="00252C2F"/>
    <w:rsid w:val="002532FB"/>
    <w:rsid w:val="00253512"/>
    <w:rsid w:val="00253BDB"/>
    <w:rsid w:val="002540B1"/>
    <w:rsid w:val="00255E88"/>
    <w:rsid w:val="002565B8"/>
    <w:rsid w:val="00256F6A"/>
    <w:rsid w:val="0026192F"/>
    <w:rsid w:val="002620B7"/>
    <w:rsid w:val="002627AE"/>
    <w:rsid w:val="002657EA"/>
    <w:rsid w:val="00265A67"/>
    <w:rsid w:val="002667DF"/>
    <w:rsid w:val="0026796D"/>
    <w:rsid w:val="0027172F"/>
    <w:rsid w:val="0027183A"/>
    <w:rsid w:val="00271F49"/>
    <w:rsid w:val="00272D23"/>
    <w:rsid w:val="00272DCA"/>
    <w:rsid w:val="00273383"/>
    <w:rsid w:val="002764C5"/>
    <w:rsid w:val="002767C3"/>
    <w:rsid w:val="00276CA0"/>
    <w:rsid w:val="00277CF2"/>
    <w:rsid w:val="00280402"/>
    <w:rsid w:val="00280D03"/>
    <w:rsid w:val="0028149F"/>
    <w:rsid w:val="00285294"/>
    <w:rsid w:val="002863D5"/>
    <w:rsid w:val="00293285"/>
    <w:rsid w:val="00293865"/>
    <w:rsid w:val="0029532C"/>
    <w:rsid w:val="002956BF"/>
    <w:rsid w:val="00295A09"/>
    <w:rsid w:val="00296D06"/>
    <w:rsid w:val="002974D1"/>
    <w:rsid w:val="002A046E"/>
    <w:rsid w:val="002A0ECE"/>
    <w:rsid w:val="002A1B78"/>
    <w:rsid w:val="002A51AC"/>
    <w:rsid w:val="002A55E0"/>
    <w:rsid w:val="002B058F"/>
    <w:rsid w:val="002B1C4F"/>
    <w:rsid w:val="002B24C0"/>
    <w:rsid w:val="002B3711"/>
    <w:rsid w:val="002B6CF9"/>
    <w:rsid w:val="002C02C4"/>
    <w:rsid w:val="002C051B"/>
    <w:rsid w:val="002C1517"/>
    <w:rsid w:val="002C4E1A"/>
    <w:rsid w:val="002C5E3E"/>
    <w:rsid w:val="002C7CF9"/>
    <w:rsid w:val="002C7F38"/>
    <w:rsid w:val="002D0A95"/>
    <w:rsid w:val="002D17DC"/>
    <w:rsid w:val="002D19F4"/>
    <w:rsid w:val="002D3A7C"/>
    <w:rsid w:val="002D49E2"/>
    <w:rsid w:val="002D58D6"/>
    <w:rsid w:val="002D6F8B"/>
    <w:rsid w:val="002E590F"/>
    <w:rsid w:val="002E5E44"/>
    <w:rsid w:val="002E6198"/>
    <w:rsid w:val="002F0C3D"/>
    <w:rsid w:val="002F0D2B"/>
    <w:rsid w:val="002F1374"/>
    <w:rsid w:val="002F1A40"/>
    <w:rsid w:val="002F21E2"/>
    <w:rsid w:val="002F2AC1"/>
    <w:rsid w:val="002F32D8"/>
    <w:rsid w:val="002F3BA9"/>
    <w:rsid w:val="002F5417"/>
    <w:rsid w:val="00300522"/>
    <w:rsid w:val="003007FA"/>
    <w:rsid w:val="00300FA1"/>
    <w:rsid w:val="003022F6"/>
    <w:rsid w:val="00303747"/>
    <w:rsid w:val="0030394C"/>
    <w:rsid w:val="00310740"/>
    <w:rsid w:val="00310EBE"/>
    <w:rsid w:val="00311F4C"/>
    <w:rsid w:val="0031243F"/>
    <w:rsid w:val="00312EF1"/>
    <w:rsid w:val="00312F7A"/>
    <w:rsid w:val="003148D5"/>
    <w:rsid w:val="0031490D"/>
    <w:rsid w:val="003177BD"/>
    <w:rsid w:val="003177D5"/>
    <w:rsid w:val="00320055"/>
    <w:rsid w:val="00321F5F"/>
    <w:rsid w:val="003233F6"/>
    <w:rsid w:val="00323D57"/>
    <w:rsid w:val="00326712"/>
    <w:rsid w:val="003274B8"/>
    <w:rsid w:val="003311C1"/>
    <w:rsid w:val="00332A1D"/>
    <w:rsid w:val="00332A50"/>
    <w:rsid w:val="00333551"/>
    <w:rsid w:val="00333A14"/>
    <w:rsid w:val="00333E8D"/>
    <w:rsid w:val="003347BC"/>
    <w:rsid w:val="003403D1"/>
    <w:rsid w:val="00340C1B"/>
    <w:rsid w:val="0034422E"/>
    <w:rsid w:val="003458ED"/>
    <w:rsid w:val="00345A6E"/>
    <w:rsid w:val="00346833"/>
    <w:rsid w:val="00346C99"/>
    <w:rsid w:val="00347577"/>
    <w:rsid w:val="003517FF"/>
    <w:rsid w:val="00351BD6"/>
    <w:rsid w:val="003538D2"/>
    <w:rsid w:val="00353AC1"/>
    <w:rsid w:val="00353EB0"/>
    <w:rsid w:val="003544C1"/>
    <w:rsid w:val="00354518"/>
    <w:rsid w:val="00355541"/>
    <w:rsid w:val="00356273"/>
    <w:rsid w:val="003564BC"/>
    <w:rsid w:val="00361962"/>
    <w:rsid w:val="003619FE"/>
    <w:rsid w:val="00362007"/>
    <w:rsid w:val="00362B54"/>
    <w:rsid w:val="003631DF"/>
    <w:rsid w:val="0036352C"/>
    <w:rsid w:val="00364AE9"/>
    <w:rsid w:val="00365437"/>
    <w:rsid w:val="00366246"/>
    <w:rsid w:val="00371A40"/>
    <w:rsid w:val="003734A9"/>
    <w:rsid w:val="00374A15"/>
    <w:rsid w:val="00374C96"/>
    <w:rsid w:val="00375788"/>
    <w:rsid w:val="003770A8"/>
    <w:rsid w:val="00380A44"/>
    <w:rsid w:val="00383230"/>
    <w:rsid w:val="00383B8B"/>
    <w:rsid w:val="00385C06"/>
    <w:rsid w:val="003874F5"/>
    <w:rsid w:val="00390230"/>
    <w:rsid w:val="003907DA"/>
    <w:rsid w:val="003914AE"/>
    <w:rsid w:val="00391A96"/>
    <w:rsid w:val="00393056"/>
    <w:rsid w:val="003961B0"/>
    <w:rsid w:val="00397F93"/>
    <w:rsid w:val="003A087C"/>
    <w:rsid w:val="003A1B51"/>
    <w:rsid w:val="003A2D13"/>
    <w:rsid w:val="003A322B"/>
    <w:rsid w:val="003A3A2C"/>
    <w:rsid w:val="003A3B72"/>
    <w:rsid w:val="003A490B"/>
    <w:rsid w:val="003A72D4"/>
    <w:rsid w:val="003A7A5F"/>
    <w:rsid w:val="003B0C5C"/>
    <w:rsid w:val="003B19A6"/>
    <w:rsid w:val="003B2A10"/>
    <w:rsid w:val="003B3A2A"/>
    <w:rsid w:val="003B48BB"/>
    <w:rsid w:val="003B52B3"/>
    <w:rsid w:val="003B5E03"/>
    <w:rsid w:val="003B7159"/>
    <w:rsid w:val="003B71FD"/>
    <w:rsid w:val="003B7664"/>
    <w:rsid w:val="003C0286"/>
    <w:rsid w:val="003C072A"/>
    <w:rsid w:val="003C07B0"/>
    <w:rsid w:val="003C46D8"/>
    <w:rsid w:val="003C55D4"/>
    <w:rsid w:val="003C59B5"/>
    <w:rsid w:val="003C6211"/>
    <w:rsid w:val="003C6218"/>
    <w:rsid w:val="003C64E2"/>
    <w:rsid w:val="003D0269"/>
    <w:rsid w:val="003D28E0"/>
    <w:rsid w:val="003D7B57"/>
    <w:rsid w:val="003D7EAB"/>
    <w:rsid w:val="003E17D2"/>
    <w:rsid w:val="003E2BF8"/>
    <w:rsid w:val="003E2ED7"/>
    <w:rsid w:val="003E57FA"/>
    <w:rsid w:val="003E6FF2"/>
    <w:rsid w:val="003F2B6C"/>
    <w:rsid w:val="003F3D6F"/>
    <w:rsid w:val="003F6085"/>
    <w:rsid w:val="003F6A1D"/>
    <w:rsid w:val="003F714E"/>
    <w:rsid w:val="00400419"/>
    <w:rsid w:val="0040253A"/>
    <w:rsid w:val="00403786"/>
    <w:rsid w:val="004040FA"/>
    <w:rsid w:val="00404B1B"/>
    <w:rsid w:val="004050FB"/>
    <w:rsid w:val="004060BE"/>
    <w:rsid w:val="00407D20"/>
    <w:rsid w:val="00410038"/>
    <w:rsid w:val="00410C1B"/>
    <w:rsid w:val="004111CE"/>
    <w:rsid w:val="00414C4B"/>
    <w:rsid w:val="00415735"/>
    <w:rsid w:val="0041633C"/>
    <w:rsid w:val="00416D38"/>
    <w:rsid w:val="00425266"/>
    <w:rsid w:val="00425C6C"/>
    <w:rsid w:val="004267C5"/>
    <w:rsid w:val="0043266D"/>
    <w:rsid w:val="004336E8"/>
    <w:rsid w:val="004336EE"/>
    <w:rsid w:val="00434427"/>
    <w:rsid w:val="0043669E"/>
    <w:rsid w:val="00436986"/>
    <w:rsid w:val="00442A6D"/>
    <w:rsid w:val="00442C11"/>
    <w:rsid w:val="00442D65"/>
    <w:rsid w:val="004436E2"/>
    <w:rsid w:val="004439FD"/>
    <w:rsid w:val="00445C44"/>
    <w:rsid w:val="00446455"/>
    <w:rsid w:val="00447912"/>
    <w:rsid w:val="004508AA"/>
    <w:rsid w:val="00451ACE"/>
    <w:rsid w:val="0045459B"/>
    <w:rsid w:val="00454998"/>
    <w:rsid w:val="004620FF"/>
    <w:rsid w:val="0046296C"/>
    <w:rsid w:val="004637FC"/>
    <w:rsid w:val="004639FF"/>
    <w:rsid w:val="00463B8B"/>
    <w:rsid w:val="0046423C"/>
    <w:rsid w:val="00464583"/>
    <w:rsid w:val="00464C7A"/>
    <w:rsid w:val="00465BCC"/>
    <w:rsid w:val="00466644"/>
    <w:rsid w:val="004666F1"/>
    <w:rsid w:val="00467264"/>
    <w:rsid w:val="004706EA"/>
    <w:rsid w:val="0047070E"/>
    <w:rsid w:val="0047542C"/>
    <w:rsid w:val="004759A5"/>
    <w:rsid w:val="004773F1"/>
    <w:rsid w:val="00477759"/>
    <w:rsid w:val="00480569"/>
    <w:rsid w:val="00481E1F"/>
    <w:rsid w:val="0048211D"/>
    <w:rsid w:val="00482871"/>
    <w:rsid w:val="00483263"/>
    <w:rsid w:val="00483D12"/>
    <w:rsid w:val="00484C9A"/>
    <w:rsid w:val="00484E41"/>
    <w:rsid w:val="00485709"/>
    <w:rsid w:val="0048683D"/>
    <w:rsid w:val="0048739C"/>
    <w:rsid w:val="0048770D"/>
    <w:rsid w:val="00487E89"/>
    <w:rsid w:val="00487EE2"/>
    <w:rsid w:val="004905F7"/>
    <w:rsid w:val="00490C8D"/>
    <w:rsid w:val="00492026"/>
    <w:rsid w:val="004945AF"/>
    <w:rsid w:val="004968B8"/>
    <w:rsid w:val="00496F03"/>
    <w:rsid w:val="00497905"/>
    <w:rsid w:val="00497B4A"/>
    <w:rsid w:val="004A0059"/>
    <w:rsid w:val="004A036D"/>
    <w:rsid w:val="004A3C32"/>
    <w:rsid w:val="004A474D"/>
    <w:rsid w:val="004A6529"/>
    <w:rsid w:val="004A7AD0"/>
    <w:rsid w:val="004B00E5"/>
    <w:rsid w:val="004B11A8"/>
    <w:rsid w:val="004B225D"/>
    <w:rsid w:val="004B3138"/>
    <w:rsid w:val="004B6790"/>
    <w:rsid w:val="004B6FB2"/>
    <w:rsid w:val="004B703E"/>
    <w:rsid w:val="004C0FE1"/>
    <w:rsid w:val="004C777B"/>
    <w:rsid w:val="004D156B"/>
    <w:rsid w:val="004D226C"/>
    <w:rsid w:val="004D291D"/>
    <w:rsid w:val="004D3ABC"/>
    <w:rsid w:val="004D5E0D"/>
    <w:rsid w:val="004E08EF"/>
    <w:rsid w:val="004E0B7F"/>
    <w:rsid w:val="004E0D08"/>
    <w:rsid w:val="004E134D"/>
    <w:rsid w:val="004E137C"/>
    <w:rsid w:val="004E27E8"/>
    <w:rsid w:val="004E2C8F"/>
    <w:rsid w:val="004E3F1F"/>
    <w:rsid w:val="004E566C"/>
    <w:rsid w:val="004E66EF"/>
    <w:rsid w:val="004E6988"/>
    <w:rsid w:val="004F1BD8"/>
    <w:rsid w:val="004F3552"/>
    <w:rsid w:val="004F3959"/>
    <w:rsid w:val="004F414B"/>
    <w:rsid w:val="004F41AC"/>
    <w:rsid w:val="004F6F9F"/>
    <w:rsid w:val="004F7530"/>
    <w:rsid w:val="004F7CFC"/>
    <w:rsid w:val="0050064C"/>
    <w:rsid w:val="00500F08"/>
    <w:rsid w:val="00502328"/>
    <w:rsid w:val="00503B2A"/>
    <w:rsid w:val="00504667"/>
    <w:rsid w:val="00506311"/>
    <w:rsid w:val="00506A90"/>
    <w:rsid w:val="00507705"/>
    <w:rsid w:val="0051064E"/>
    <w:rsid w:val="005113E6"/>
    <w:rsid w:val="00511CB3"/>
    <w:rsid w:val="00512E25"/>
    <w:rsid w:val="00513BB3"/>
    <w:rsid w:val="005152C5"/>
    <w:rsid w:val="0051726F"/>
    <w:rsid w:val="00520134"/>
    <w:rsid w:val="00520E6F"/>
    <w:rsid w:val="00520F57"/>
    <w:rsid w:val="005215A9"/>
    <w:rsid w:val="00521A17"/>
    <w:rsid w:val="005243FA"/>
    <w:rsid w:val="00525263"/>
    <w:rsid w:val="0052675C"/>
    <w:rsid w:val="00527B19"/>
    <w:rsid w:val="00531589"/>
    <w:rsid w:val="00531871"/>
    <w:rsid w:val="00533FD4"/>
    <w:rsid w:val="00534EB8"/>
    <w:rsid w:val="00535A16"/>
    <w:rsid w:val="00535B13"/>
    <w:rsid w:val="00536635"/>
    <w:rsid w:val="005367B4"/>
    <w:rsid w:val="005376C6"/>
    <w:rsid w:val="0054383E"/>
    <w:rsid w:val="005438CA"/>
    <w:rsid w:val="00544362"/>
    <w:rsid w:val="0054534F"/>
    <w:rsid w:val="00545704"/>
    <w:rsid w:val="00547594"/>
    <w:rsid w:val="00550F7D"/>
    <w:rsid w:val="00553B7D"/>
    <w:rsid w:val="00555E01"/>
    <w:rsid w:val="00561BBE"/>
    <w:rsid w:val="00562A30"/>
    <w:rsid w:val="00564494"/>
    <w:rsid w:val="00564AE1"/>
    <w:rsid w:val="00565B34"/>
    <w:rsid w:val="00565C8C"/>
    <w:rsid w:val="005676B5"/>
    <w:rsid w:val="0056795C"/>
    <w:rsid w:val="005729E0"/>
    <w:rsid w:val="00572E85"/>
    <w:rsid w:val="005742CB"/>
    <w:rsid w:val="00575AF7"/>
    <w:rsid w:val="00580503"/>
    <w:rsid w:val="005833BB"/>
    <w:rsid w:val="005856AD"/>
    <w:rsid w:val="00592547"/>
    <w:rsid w:val="00594EFB"/>
    <w:rsid w:val="00595D58"/>
    <w:rsid w:val="00596272"/>
    <w:rsid w:val="005979C1"/>
    <w:rsid w:val="005A007D"/>
    <w:rsid w:val="005A20E9"/>
    <w:rsid w:val="005A27D1"/>
    <w:rsid w:val="005A44F5"/>
    <w:rsid w:val="005A58F9"/>
    <w:rsid w:val="005A660C"/>
    <w:rsid w:val="005A7AA9"/>
    <w:rsid w:val="005B178E"/>
    <w:rsid w:val="005B41E9"/>
    <w:rsid w:val="005C0265"/>
    <w:rsid w:val="005C046F"/>
    <w:rsid w:val="005C0619"/>
    <w:rsid w:val="005C063A"/>
    <w:rsid w:val="005C10FA"/>
    <w:rsid w:val="005C1FAD"/>
    <w:rsid w:val="005C3CF0"/>
    <w:rsid w:val="005C4235"/>
    <w:rsid w:val="005C44C1"/>
    <w:rsid w:val="005C533E"/>
    <w:rsid w:val="005C7A5B"/>
    <w:rsid w:val="005D0CBA"/>
    <w:rsid w:val="005D1923"/>
    <w:rsid w:val="005D287C"/>
    <w:rsid w:val="005D2C11"/>
    <w:rsid w:val="005D2C16"/>
    <w:rsid w:val="005D3A80"/>
    <w:rsid w:val="005D4FD8"/>
    <w:rsid w:val="005D653C"/>
    <w:rsid w:val="005E08AC"/>
    <w:rsid w:val="005E09A7"/>
    <w:rsid w:val="005E0F7F"/>
    <w:rsid w:val="005E0FDC"/>
    <w:rsid w:val="005E10EC"/>
    <w:rsid w:val="005E1995"/>
    <w:rsid w:val="005E1DD4"/>
    <w:rsid w:val="005E2CBA"/>
    <w:rsid w:val="005E2D5A"/>
    <w:rsid w:val="005E4542"/>
    <w:rsid w:val="005E4544"/>
    <w:rsid w:val="005E517C"/>
    <w:rsid w:val="005E750C"/>
    <w:rsid w:val="005E79F5"/>
    <w:rsid w:val="005F0155"/>
    <w:rsid w:val="005F07D0"/>
    <w:rsid w:val="005F3F3F"/>
    <w:rsid w:val="005F44DC"/>
    <w:rsid w:val="005F4FE8"/>
    <w:rsid w:val="005F6239"/>
    <w:rsid w:val="005F63BD"/>
    <w:rsid w:val="00601C94"/>
    <w:rsid w:val="006030BD"/>
    <w:rsid w:val="00606288"/>
    <w:rsid w:val="006100AE"/>
    <w:rsid w:val="0061236E"/>
    <w:rsid w:val="006130C7"/>
    <w:rsid w:val="00613773"/>
    <w:rsid w:val="00616E69"/>
    <w:rsid w:val="00617277"/>
    <w:rsid w:val="0061757B"/>
    <w:rsid w:val="0062056E"/>
    <w:rsid w:val="00621C9A"/>
    <w:rsid w:val="0062295A"/>
    <w:rsid w:val="00622CB3"/>
    <w:rsid w:val="00625BF5"/>
    <w:rsid w:val="00626151"/>
    <w:rsid w:val="006324E3"/>
    <w:rsid w:val="0063281D"/>
    <w:rsid w:val="00633D9B"/>
    <w:rsid w:val="00634E03"/>
    <w:rsid w:val="00635B5D"/>
    <w:rsid w:val="00640B2C"/>
    <w:rsid w:val="006412BF"/>
    <w:rsid w:val="00641A84"/>
    <w:rsid w:val="006421D4"/>
    <w:rsid w:val="00647033"/>
    <w:rsid w:val="00650322"/>
    <w:rsid w:val="0065034C"/>
    <w:rsid w:val="0065103E"/>
    <w:rsid w:val="00651878"/>
    <w:rsid w:val="00651E6A"/>
    <w:rsid w:val="00652B63"/>
    <w:rsid w:val="0065317E"/>
    <w:rsid w:val="006544AC"/>
    <w:rsid w:val="00654C29"/>
    <w:rsid w:val="00660018"/>
    <w:rsid w:val="006611FC"/>
    <w:rsid w:val="006623AF"/>
    <w:rsid w:val="00662613"/>
    <w:rsid w:val="006629E8"/>
    <w:rsid w:val="00663408"/>
    <w:rsid w:val="006658F6"/>
    <w:rsid w:val="00667C90"/>
    <w:rsid w:val="006705A4"/>
    <w:rsid w:val="00671006"/>
    <w:rsid w:val="0067127F"/>
    <w:rsid w:val="0067150E"/>
    <w:rsid w:val="006727FA"/>
    <w:rsid w:val="00673248"/>
    <w:rsid w:val="00673B66"/>
    <w:rsid w:val="00673D0C"/>
    <w:rsid w:val="00673FE3"/>
    <w:rsid w:val="00674EF2"/>
    <w:rsid w:val="0067618A"/>
    <w:rsid w:val="00676980"/>
    <w:rsid w:val="006772E1"/>
    <w:rsid w:val="00680B17"/>
    <w:rsid w:val="00680CD9"/>
    <w:rsid w:val="00681E2F"/>
    <w:rsid w:val="00683114"/>
    <w:rsid w:val="00684081"/>
    <w:rsid w:val="00685238"/>
    <w:rsid w:val="00686886"/>
    <w:rsid w:val="00686CA6"/>
    <w:rsid w:val="0069295F"/>
    <w:rsid w:val="00692FD3"/>
    <w:rsid w:val="00693FC1"/>
    <w:rsid w:val="00694CAD"/>
    <w:rsid w:val="00696892"/>
    <w:rsid w:val="006A03FD"/>
    <w:rsid w:val="006A1431"/>
    <w:rsid w:val="006A2398"/>
    <w:rsid w:val="006A23B6"/>
    <w:rsid w:val="006A23D4"/>
    <w:rsid w:val="006A5058"/>
    <w:rsid w:val="006A550B"/>
    <w:rsid w:val="006A5D6F"/>
    <w:rsid w:val="006A679E"/>
    <w:rsid w:val="006A6C1F"/>
    <w:rsid w:val="006B1476"/>
    <w:rsid w:val="006B6FD6"/>
    <w:rsid w:val="006B7663"/>
    <w:rsid w:val="006B76BE"/>
    <w:rsid w:val="006B7FF2"/>
    <w:rsid w:val="006C0877"/>
    <w:rsid w:val="006C209C"/>
    <w:rsid w:val="006C5816"/>
    <w:rsid w:val="006C6CBF"/>
    <w:rsid w:val="006C7A05"/>
    <w:rsid w:val="006D18A7"/>
    <w:rsid w:val="006D2BAB"/>
    <w:rsid w:val="006D64CA"/>
    <w:rsid w:val="006D65C7"/>
    <w:rsid w:val="006D6EB6"/>
    <w:rsid w:val="006D7FD6"/>
    <w:rsid w:val="006E0328"/>
    <w:rsid w:val="006E1C76"/>
    <w:rsid w:val="006E231B"/>
    <w:rsid w:val="006E41D0"/>
    <w:rsid w:val="006E41F5"/>
    <w:rsid w:val="006F10A5"/>
    <w:rsid w:val="006F2EF7"/>
    <w:rsid w:val="006F341F"/>
    <w:rsid w:val="006F3A5A"/>
    <w:rsid w:val="006F52D2"/>
    <w:rsid w:val="006F6492"/>
    <w:rsid w:val="006F6F4D"/>
    <w:rsid w:val="007032BC"/>
    <w:rsid w:val="00703F5B"/>
    <w:rsid w:val="007040B9"/>
    <w:rsid w:val="00704E94"/>
    <w:rsid w:val="0070591A"/>
    <w:rsid w:val="0070675F"/>
    <w:rsid w:val="00713703"/>
    <w:rsid w:val="007137EA"/>
    <w:rsid w:val="00716054"/>
    <w:rsid w:val="00720ADE"/>
    <w:rsid w:val="00726143"/>
    <w:rsid w:val="00727749"/>
    <w:rsid w:val="00734BCC"/>
    <w:rsid w:val="0073658C"/>
    <w:rsid w:val="007375C5"/>
    <w:rsid w:val="0074105D"/>
    <w:rsid w:val="00741874"/>
    <w:rsid w:val="00742BC1"/>
    <w:rsid w:val="007433AC"/>
    <w:rsid w:val="007437A6"/>
    <w:rsid w:val="00743F35"/>
    <w:rsid w:val="007448BA"/>
    <w:rsid w:val="00745E89"/>
    <w:rsid w:val="00747D80"/>
    <w:rsid w:val="00751103"/>
    <w:rsid w:val="00751389"/>
    <w:rsid w:val="0075160A"/>
    <w:rsid w:val="007521FB"/>
    <w:rsid w:val="0075274D"/>
    <w:rsid w:val="007536DC"/>
    <w:rsid w:val="0075446F"/>
    <w:rsid w:val="007553DD"/>
    <w:rsid w:val="00760D51"/>
    <w:rsid w:val="00761224"/>
    <w:rsid w:val="00762581"/>
    <w:rsid w:val="007649D1"/>
    <w:rsid w:val="007663B9"/>
    <w:rsid w:val="007725B6"/>
    <w:rsid w:val="00775F3D"/>
    <w:rsid w:val="0077635D"/>
    <w:rsid w:val="007801D9"/>
    <w:rsid w:val="00780C40"/>
    <w:rsid w:val="0078177F"/>
    <w:rsid w:val="00781905"/>
    <w:rsid w:val="00781FAD"/>
    <w:rsid w:val="00782144"/>
    <w:rsid w:val="007823DD"/>
    <w:rsid w:val="00782703"/>
    <w:rsid w:val="00783C00"/>
    <w:rsid w:val="00783EEA"/>
    <w:rsid w:val="0078488D"/>
    <w:rsid w:val="00787D75"/>
    <w:rsid w:val="00792811"/>
    <w:rsid w:val="00792EB7"/>
    <w:rsid w:val="00795536"/>
    <w:rsid w:val="007968EA"/>
    <w:rsid w:val="007969AC"/>
    <w:rsid w:val="00796DF0"/>
    <w:rsid w:val="00797FD5"/>
    <w:rsid w:val="007A090A"/>
    <w:rsid w:val="007A695D"/>
    <w:rsid w:val="007A7664"/>
    <w:rsid w:val="007B0EFC"/>
    <w:rsid w:val="007B114C"/>
    <w:rsid w:val="007B1E25"/>
    <w:rsid w:val="007B380F"/>
    <w:rsid w:val="007B425E"/>
    <w:rsid w:val="007B50AE"/>
    <w:rsid w:val="007B5F46"/>
    <w:rsid w:val="007B6117"/>
    <w:rsid w:val="007B62FE"/>
    <w:rsid w:val="007B655D"/>
    <w:rsid w:val="007B7458"/>
    <w:rsid w:val="007C01DF"/>
    <w:rsid w:val="007C0E37"/>
    <w:rsid w:val="007C32B6"/>
    <w:rsid w:val="007C4A06"/>
    <w:rsid w:val="007C4E2E"/>
    <w:rsid w:val="007C4F9F"/>
    <w:rsid w:val="007C698C"/>
    <w:rsid w:val="007C765B"/>
    <w:rsid w:val="007D1BB7"/>
    <w:rsid w:val="007D286A"/>
    <w:rsid w:val="007D37F3"/>
    <w:rsid w:val="007D397D"/>
    <w:rsid w:val="007D4239"/>
    <w:rsid w:val="007D49B3"/>
    <w:rsid w:val="007E0849"/>
    <w:rsid w:val="007E1AEF"/>
    <w:rsid w:val="007E1BEE"/>
    <w:rsid w:val="007E1DB0"/>
    <w:rsid w:val="007E40C7"/>
    <w:rsid w:val="007F1418"/>
    <w:rsid w:val="007F1FA9"/>
    <w:rsid w:val="007F3D29"/>
    <w:rsid w:val="007F3DB6"/>
    <w:rsid w:val="007F4090"/>
    <w:rsid w:val="007F46BE"/>
    <w:rsid w:val="007F6502"/>
    <w:rsid w:val="007F6F2F"/>
    <w:rsid w:val="008001CB"/>
    <w:rsid w:val="0080166F"/>
    <w:rsid w:val="00801E63"/>
    <w:rsid w:val="008028D6"/>
    <w:rsid w:val="008033CF"/>
    <w:rsid w:val="008035E5"/>
    <w:rsid w:val="00803B45"/>
    <w:rsid w:val="00805D2D"/>
    <w:rsid w:val="00807577"/>
    <w:rsid w:val="008079A5"/>
    <w:rsid w:val="00807A85"/>
    <w:rsid w:val="008100B5"/>
    <w:rsid w:val="00811664"/>
    <w:rsid w:val="008137A8"/>
    <w:rsid w:val="00814F2D"/>
    <w:rsid w:val="008155DF"/>
    <w:rsid w:val="00817E46"/>
    <w:rsid w:val="00821BDD"/>
    <w:rsid w:val="0082210F"/>
    <w:rsid w:val="00823B70"/>
    <w:rsid w:val="008241A5"/>
    <w:rsid w:val="008247A2"/>
    <w:rsid w:val="00824B48"/>
    <w:rsid w:val="00824D40"/>
    <w:rsid w:val="00825368"/>
    <w:rsid w:val="00825430"/>
    <w:rsid w:val="0082666C"/>
    <w:rsid w:val="00830D9B"/>
    <w:rsid w:val="008311C2"/>
    <w:rsid w:val="008311FD"/>
    <w:rsid w:val="00832B98"/>
    <w:rsid w:val="00834AA7"/>
    <w:rsid w:val="00836821"/>
    <w:rsid w:val="00836ED3"/>
    <w:rsid w:val="008406E8"/>
    <w:rsid w:val="00840DAE"/>
    <w:rsid w:val="0084259D"/>
    <w:rsid w:val="00843948"/>
    <w:rsid w:val="00847A4B"/>
    <w:rsid w:val="00847BAD"/>
    <w:rsid w:val="00847CC7"/>
    <w:rsid w:val="00850B99"/>
    <w:rsid w:val="0085134A"/>
    <w:rsid w:val="00852137"/>
    <w:rsid w:val="008558A7"/>
    <w:rsid w:val="00857C1E"/>
    <w:rsid w:val="008606B8"/>
    <w:rsid w:val="00860CBB"/>
    <w:rsid w:val="00861833"/>
    <w:rsid w:val="00862A08"/>
    <w:rsid w:val="00863604"/>
    <w:rsid w:val="00867552"/>
    <w:rsid w:val="00870237"/>
    <w:rsid w:val="0087478D"/>
    <w:rsid w:val="00874EC8"/>
    <w:rsid w:val="00875EFF"/>
    <w:rsid w:val="00876244"/>
    <w:rsid w:val="008818C7"/>
    <w:rsid w:val="00884BB3"/>
    <w:rsid w:val="008879BF"/>
    <w:rsid w:val="00890788"/>
    <w:rsid w:val="008928EA"/>
    <w:rsid w:val="00892C71"/>
    <w:rsid w:val="00893B6E"/>
    <w:rsid w:val="0089443B"/>
    <w:rsid w:val="00895AE7"/>
    <w:rsid w:val="00895F0F"/>
    <w:rsid w:val="00896845"/>
    <w:rsid w:val="008976E5"/>
    <w:rsid w:val="008A0A53"/>
    <w:rsid w:val="008A16A1"/>
    <w:rsid w:val="008A22E9"/>
    <w:rsid w:val="008A4891"/>
    <w:rsid w:val="008A5330"/>
    <w:rsid w:val="008A57E3"/>
    <w:rsid w:val="008A7303"/>
    <w:rsid w:val="008B1103"/>
    <w:rsid w:val="008B1D9A"/>
    <w:rsid w:val="008B1FCF"/>
    <w:rsid w:val="008B320C"/>
    <w:rsid w:val="008C017B"/>
    <w:rsid w:val="008C4616"/>
    <w:rsid w:val="008C574F"/>
    <w:rsid w:val="008C580F"/>
    <w:rsid w:val="008D0013"/>
    <w:rsid w:val="008D056D"/>
    <w:rsid w:val="008D1902"/>
    <w:rsid w:val="008D1ACF"/>
    <w:rsid w:val="008D3607"/>
    <w:rsid w:val="008D3FE6"/>
    <w:rsid w:val="008D4F89"/>
    <w:rsid w:val="008D550F"/>
    <w:rsid w:val="008D7681"/>
    <w:rsid w:val="008E040A"/>
    <w:rsid w:val="008E0D8A"/>
    <w:rsid w:val="008E3DF6"/>
    <w:rsid w:val="008E4358"/>
    <w:rsid w:val="008E65DB"/>
    <w:rsid w:val="008E7194"/>
    <w:rsid w:val="008F074F"/>
    <w:rsid w:val="008F0D36"/>
    <w:rsid w:val="008F478E"/>
    <w:rsid w:val="008F5B91"/>
    <w:rsid w:val="008F688D"/>
    <w:rsid w:val="008F73EF"/>
    <w:rsid w:val="008F7A00"/>
    <w:rsid w:val="00900317"/>
    <w:rsid w:val="00900AF1"/>
    <w:rsid w:val="00901801"/>
    <w:rsid w:val="00903575"/>
    <w:rsid w:val="00906EFB"/>
    <w:rsid w:val="0091003C"/>
    <w:rsid w:val="009120D9"/>
    <w:rsid w:val="00912EBA"/>
    <w:rsid w:val="00916774"/>
    <w:rsid w:val="009169C0"/>
    <w:rsid w:val="009174DE"/>
    <w:rsid w:val="00921009"/>
    <w:rsid w:val="009216FD"/>
    <w:rsid w:val="009235C2"/>
    <w:rsid w:val="0092569B"/>
    <w:rsid w:val="00925E5E"/>
    <w:rsid w:val="009270CE"/>
    <w:rsid w:val="00930CF7"/>
    <w:rsid w:val="00932CD7"/>
    <w:rsid w:val="00933120"/>
    <w:rsid w:val="00933520"/>
    <w:rsid w:val="009341EB"/>
    <w:rsid w:val="009359C4"/>
    <w:rsid w:val="00936BD6"/>
    <w:rsid w:val="0094021E"/>
    <w:rsid w:val="009405AA"/>
    <w:rsid w:val="0094359F"/>
    <w:rsid w:val="00944ADB"/>
    <w:rsid w:val="0094550E"/>
    <w:rsid w:val="00946106"/>
    <w:rsid w:val="00950E45"/>
    <w:rsid w:val="0095110A"/>
    <w:rsid w:val="00952008"/>
    <w:rsid w:val="009522DA"/>
    <w:rsid w:val="009538A0"/>
    <w:rsid w:val="00954004"/>
    <w:rsid w:val="00956C42"/>
    <w:rsid w:val="00956C66"/>
    <w:rsid w:val="00957AE8"/>
    <w:rsid w:val="009606A4"/>
    <w:rsid w:val="00960F6A"/>
    <w:rsid w:val="0096266D"/>
    <w:rsid w:val="00963D21"/>
    <w:rsid w:val="009658AA"/>
    <w:rsid w:val="00965EE3"/>
    <w:rsid w:val="00966E7D"/>
    <w:rsid w:val="00967F9F"/>
    <w:rsid w:val="00971D05"/>
    <w:rsid w:val="009726B3"/>
    <w:rsid w:val="0097277C"/>
    <w:rsid w:val="0097715C"/>
    <w:rsid w:val="0098009E"/>
    <w:rsid w:val="0098074D"/>
    <w:rsid w:val="00981857"/>
    <w:rsid w:val="00983154"/>
    <w:rsid w:val="00983533"/>
    <w:rsid w:val="00983D16"/>
    <w:rsid w:val="00983F34"/>
    <w:rsid w:val="00984D45"/>
    <w:rsid w:val="009908EA"/>
    <w:rsid w:val="00992258"/>
    <w:rsid w:val="00994224"/>
    <w:rsid w:val="00994432"/>
    <w:rsid w:val="009958E7"/>
    <w:rsid w:val="00995BCD"/>
    <w:rsid w:val="00995F1D"/>
    <w:rsid w:val="00995F48"/>
    <w:rsid w:val="00997DDE"/>
    <w:rsid w:val="009A1798"/>
    <w:rsid w:val="009A22BC"/>
    <w:rsid w:val="009A3EC9"/>
    <w:rsid w:val="009A7EA8"/>
    <w:rsid w:val="009B0CB1"/>
    <w:rsid w:val="009B31B0"/>
    <w:rsid w:val="009B44B7"/>
    <w:rsid w:val="009B5361"/>
    <w:rsid w:val="009C10B8"/>
    <w:rsid w:val="009C3DD8"/>
    <w:rsid w:val="009C6F09"/>
    <w:rsid w:val="009D0743"/>
    <w:rsid w:val="009D2298"/>
    <w:rsid w:val="009D2AB8"/>
    <w:rsid w:val="009D304F"/>
    <w:rsid w:val="009D3401"/>
    <w:rsid w:val="009D3FB2"/>
    <w:rsid w:val="009D513D"/>
    <w:rsid w:val="009D57A4"/>
    <w:rsid w:val="009D594A"/>
    <w:rsid w:val="009D6E53"/>
    <w:rsid w:val="009D6F2B"/>
    <w:rsid w:val="009D75CB"/>
    <w:rsid w:val="009D778B"/>
    <w:rsid w:val="009D77EF"/>
    <w:rsid w:val="009E1CE2"/>
    <w:rsid w:val="009E1FF8"/>
    <w:rsid w:val="009E47CA"/>
    <w:rsid w:val="009E57A6"/>
    <w:rsid w:val="009E58D8"/>
    <w:rsid w:val="009E7AEA"/>
    <w:rsid w:val="009F04C2"/>
    <w:rsid w:val="009F243B"/>
    <w:rsid w:val="009F4749"/>
    <w:rsid w:val="009F5C83"/>
    <w:rsid w:val="009F61C8"/>
    <w:rsid w:val="009F6433"/>
    <w:rsid w:val="009F64E5"/>
    <w:rsid w:val="00A01DB3"/>
    <w:rsid w:val="00A02A13"/>
    <w:rsid w:val="00A03C1A"/>
    <w:rsid w:val="00A049CC"/>
    <w:rsid w:val="00A05A89"/>
    <w:rsid w:val="00A05E15"/>
    <w:rsid w:val="00A06087"/>
    <w:rsid w:val="00A060DF"/>
    <w:rsid w:val="00A10382"/>
    <w:rsid w:val="00A104C4"/>
    <w:rsid w:val="00A1341A"/>
    <w:rsid w:val="00A135F5"/>
    <w:rsid w:val="00A1590C"/>
    <w:rsid w:val="00A15D2A"/>
    <w:rsid w:val="00A163E0"/>
    <w:rsid w:val="00A16BB2"/>
    <w:rsid w:val="00A172DF"/>
    <w:rsid w:val="00A17975"/>
    <w:rsid w:val="00A1798B"/>
    <w:rsid w:val="00A17C37"/>
    <w:rsid w:val="00A2044E"/>
    <w:rsid w:val="00A212B5"/>
    <w:rsid w:val="00A22DAF"/>
    <w:rsid w:val="00A240BF"/>
    <w:rsid w:val="00A24642"/>
    <w:rsid w:val="00A24FCD"/>
    <w:rsid w:val="00A250FF"/>
    <w:rsid w:val="00A25DC5"/>
    <w:rsid w:val="00A273AC"/>
    <w:rsid w:val="00A314FE"/>
    <w:rsid w:val="00A321F4"/>
    <w:rsid w:val="00A336FB"/>
    <w:rsid w:val="00A35A6B"/>
    <w:rsid w:val="00A3622F"/>
    <w:rsid w:val="00A366AB"/>
    <w:rsid w:val="00A378DF"/>
    <w:rsid w:val="00A37900"/>
    <w:rsid w:val="00A46AF4"/>
    <w:rsid w:val="00A478E8"/>
    <w:rsid w:val="00A50356"/>
    <w:rsid w:val="00A50494"/>
    <w:rsid w:val="00A51FD1"/>
    <w:rsid w:val="00A52404"/>
    <w:rsid w:val="00A527C4"/>
    <w:rsid w:val="00A52CDA"/>
    <w:rsid w:val="00A52E25"/>
    <w:rsid w:val="00A53071"/>
    <w:rsid w:val="00A54F89"/>
    <w:rsid w:val="00A56775"/>
    <w:rsid w:val="00A5720D"/>
    <w:rsid w:val="00A57CE4"/>
    <w:rsid w:val="00A60F4D"/>
    <w:rsid w:val="00A618D7"/>
    <w:rsid w:val="00A62D05"/>
    <w:rsid w:val="00A62DE2"/>
    <w:rsid w:val="00A63B62"/>
    <w:rsid w:val="00A66668"/>
    <w:rsid w:val="00A72473"/>
    <w:rsid w:val="00A72990"/>
    <w:rsid w:val="00A732F6"/>
    <w:rsid w:val="00A746B5"/>
    <w:rsid w:val="00A77712"/>
    <w:rsid w:val="00A80832"/>
    <w:rsid w:val="00A81D71"/>
    <w:rsid w:val="00A86009"/>
    <w:rsid w:val="00A8684B"/>
    <w:rsid w:val="00A90710"/>
    <w:rsid w:val="00A910CD"/>
    <w:rsid w:val="00A917D4"/>
    <w:rsid w:val="00A9199D"/>
    <w:rsid w:val="00A92548"/>
    <w:rsid w:val="00A92A84"/>
    <w:rsid w:val="00A9478A"/>
    <w:rsid w:val="00A94856"/>
    <w:rsid w:val="00A97437"/>
    <w:rsid w:val="00A97E71"/>
    <w:rsid w:val="00AA020E"/>
    <w:rsid w:val="00AA2D8F"/>
    <w:rsid w:val="00AA40C0"/>
    <w:rsid w:val="00AA4D51"/>
    <w:rsid w:val="00AA5DB2"/>
    <w:rsid w:val="00AA6CF1"/>
    <w:rsid w:val="00AA7790"/>
    <w:rsid w:val="00AB075B"/>
    <w:rsid w:val="00AB1622"/>
    <w:rsid w:val="00AB2F02"/>
    <w:rsid w:val="00AB382B"/>
    <w:rsid w:val="00AB48B8"/>
    <w:rsid w:val="00AB5157"/>
    <w:rsid w:val="00AB525A"/>
    <w:rsid w:val="00AB6323"/>
    <w:rsid w:val="00AB67D8"/>
    <w:rsid w:val="00AB7C43"/>
    <w:rsid w:val="00AC0225"/>
    <w:rsid w:val="00AC04CC"/>
    <w:rsid w:val="00AC0F55"/>
    <w:rsid w:val="00AC1BCF"/>
    <w:rsid w:val="00AC20D5"/>
    <w:rsid w:val="00AC3122"/>
    <w:rsid w:val="00AD0BBA"/>
    <w:rsid w:val="00AD1F18"/>
    <w:rsid w:val="00AD4276"/>
    <w:rsid w:val="00AD73EE"/>
    <w:rsid w:val="00AD74D6"/>
    <w:rsid w:val="00AD7CB1"/>
    <w:rsid w:val="00AE0823"/>
    <w:rsid w:val="00AE1379"/>
    <w:rsid w:val="00AE258C"/>
    <w:rsid w:val="00AE4527"/>
    <w:rsid w:val="00AE513C"/>
    <w:rsid w:val="00AE58BD"/>
    <w:rsid w:val="00AE5D78"/>
    <w:rsid w:val="00AE6418"/>
    <w:rsid w:val="00AE686C"/>
    <w:rsid w:val="00AE6DF9"/>
    <w:rsid w:val="00AE7033"/>
    <w:rsid w:val="00AE7D92"/>
    <w:rsid w:val="00AF0A54"/>
    <w:rsid w:val="00AF0B17"/>
    <w:rsid w:val="00AF3DC1"/>
    <w:rsid w:val="00AF3EA1"/>
    <w:rsid w:val="00AF48AA"/>
    <w:rsid w:val="00AF59D4"/>
    <w:rsid w:val="00AF5C51"/>
    <w:rsid w:val="00AF6AAB"/>
    <w:rsid w:val="00B03D20"/>
    <w:rsid w:val="00B05628"/>
    <w:rsid w:val="00B0569A"/>
    <w:rsid w:val="00B06D60"/>
    <w:rsid w:val="00B11039"/>
    <w:rsid w:val="00B12CCB"/>
    <w:rsid w:val="00B14606"/>
    <w:rsid w:val="00B167E0"/>
    <w:rsid w:val="00B17557"/>
    <w:rsid w:val="00B20222"/>
    <w:rsid w:val="00B21DA1"/>
    <w:rsid w:val="00B2201C"/>
    <w:rsid w:val="00B23D7F"/>
    <w:rsid w:val="00B26770"/>
    <w:rsid w:val="00B32363"/>
    <w:rsid w:val="00B3351F"/>
    <w:rsid w:val="00B33C0E"/>
    <w:rsid w:val="00B34018"/>
    <w:rsid w:val="00B34798"/>
    <w:rsid w:val="00B34969"/>
    <w:rsid w:val="00B34F21"/>
    <w:rsid w:val="00B406D7"/>
    <w:rsid w:val="00B40EF8"/>
    <w:rsid w:val="00B4367B"/>
    <w:rsid w:val="00B44A8F"/>
    <w:rsid w:val="00B466DB"/>
    <w:rsid w:val="00B46F5C"/>
    <w:rsid w:val="00B471B8"/>
    <w:rsid w:val="00B5129C"/>
    <w:rsid w:val="00B524D1"/>
    <w:rsid w:val="00B52623"/>
    <w:rsid w:val="00B54134"/>
    <w:rsid w:val="00B55486"/>
    <w:rsid w:val="00B60FD6"/>
    <w:rsid w:val="00B61E70"/>
    <w:rsid w:val="00B63C3D"/>
    <w:rsid w:val="00B677E7"/>
    <w:rsid w:val="00B71559"/>
    <w:rsid w:val="00B729E2"/>
    <w:rsid w:val="00B73EB5"/>
    <w:rsid w:val="00B73F12"/>
    <w:rsid w:val="00B752F5"/>
    <w:rsid w:val="00B75960"/>
    <w:rsid w:val="00B76B4D"/>
    <w:rsid w:val="00B77996"/>
    <w:rsid w:val="00B828C8"/>
    <w:rsid w:val="00B830BC"/>
    <w:rsid w:val="00B8335C"/>
    <w:rsid w:val="00B8533D"/>
    <w:rsid w:val="00B85346"/>
    <w:rsid w:val="00B857C1"/>
    <w:rsid w:val="00B859AC"/>
    <w:rsid w:val="00B91459"/>
    <w:rsid w:val="00B91529"/>
    <w:rsid w:val="00B94701"/>
    <w:rsid w:val="00B9486C"/>
    <w:rsid w:val="00B94ECE"/>
    <w:rsid w:val="00BA2296"/>
    <w:rsid w:val="00BA2566"/>
    <w:rsid w:val="00BA3E3D"/>
    <w:rsid w:val="00BA3EB5"/>
    <w:rsid w:val="00BA42AD"/>
    <w:rsid w:val="00BA66E8"/>
    <w:rsid w:val="00BB03BB"/>
    <w:rsid w:val="00BB1D0F"/>
    <w:rsid w:val="00BB2181"/>
    <w:rsid w:val="00BB220F"/>
    <w:rsid w:val="00BB4F46"/>
    <w:rsid w:val="00BB5592"/>
    <w:rsid w:val="00BB5903"/>
    <w:rsid w:val="00BB5CA3"/>
    <w:rsid w:val="00BB686F"/>
    <w:rsid w:val="00BC5195"/>
    <w:rsid w:val="00BC53F6"/>
    <w:rsid w:val="00BC5938"/>
    <w:rsid w:val="00BC7ACC"/>
    <w:rsid w:val="00BD2BF1"/>
    <w:rsid w:val="00BD44F5"/>
    <w:rsid w:val="00BD4F07"/>
    <w:rsid w:val="00BD4F9D"/>
    <w:rsid w:val="00BD504F"/>
    <w:rsid w:val="00BD755A"/>
    <w:rsid w:val="00BD7DE2"/>
    <w:rsid w:val="00BE0E49"/>
    <w:rsid w:val="00BE1925"/>
    <w:rsid w:val="00BE3773"/>
    <w:rsid w:val="00BE3F79"/>
    <w:rsid w:val="00BE7AC6"/>
    <w:rsid w:val="00BE7C53"/>
    <w:rsid w:val="00BF35C6"/>
    <w:rsid w:val="00BF658E"/>
    <w:rsid w:val="00BF6A5A"/>
    <w:rsid w:val="00BF78B0"/>
    <w:rsid w:val="00C00CF0"/>
    <w:rsid w:val="00C024A7"/>
    <w:rsid w:val="00C02E33"/>
    <w:rsid w:val="00C0326F"/>
    <w:rsid w:val="00C04C5D"/>
    <w:rsid w:val="00C05671"/>
    <w:rsid w:val="00C05799"/>
    <w:rsid w:val="00C05F08"/>
    <w:rsid w:val="00C061B5"/>
    <w:rsid w:val="00C07F46"/>
    <w:rsid w:val="00C1322A"/>
    <w:rsid w:val="00C13817"/>
    <w:rsid w:val="00C16085"/>
    <w:rsid w:val="00C160E0"/>
    <w:rsid w:val="00C160EE"/>
    <w:rsid w:val="00C22181"/>
    <w:rsid w:val="00C243CD"/>
    <w:rsid w:val="00C25FC8"/>
    <w:rsid w:val="00C26668"/>
    <w:rsid w:val="00C27484"/>
    <w:rsid w:val="00C31ED4"/>
    <w:rsid w:val="00C33E39"/>
    <w:rsid w:val="00C33E69"/>
    <w:rsid w:val="00C34BF6"/>
    <w:rsid w:val="00C35D19"/>
    <w:rsid w:val="00C3647A"/>
    <w:rsid w:val="00C37E4D"/>
    <w:rsid w:val="00C43292"/>
    <w:rsid w:val="00C44AE2"/>
    <w:rsid w:val="00C44AF9"/>
    <w:rsid w:val="00C450E0"/>
    <w:rsid w:val="00C45ED6"/>
    <w:rsid w:val="00C4670F"/>
    <w:rsid w:val="00C46FE4"/>
    <w:rsid w:val="00C47B66"/>
    <w:rsid w:val="00C50789"/>
    <w:rsid w:val="00C51EA2"/>
    <w:rsid w:val="00C53A13"/>
    <w:rsid w:val="00C54780"/>
    <w:rsid w:val="00C54CEC"/>
    <w:rsid w:val="00C56283"/>
    <w:rsid w:val="00C562D5"/>
    <w:rsid w:val="00C56CD5"/>
    <w:rsid w:val="00C57C46"/>
    <w:rsid w:val="00C63922"/>
    <w:rsid w:val="00C664DC"/>
    <w:rsid w:val="00C67D10"/>
    <w:rsid w:val="00C70A86"/>
    <w:rsid w:val="00C7343B"/>
    <w:rsid w:val="00C74007"/>
    <w:rsid w:val="00C7560E"/>
    <w:rsid w:val="00C80872"/>
    <w:rsid w:val="00C82588"/>
    <w:rsid w:val="00C82651"/>
    <w:rsid w:val="00C84CD6"/>
    <w:rsid w:val="00C8509E"/>
    <w:rsid w:val="00C86F54"/>
    <w:rsid w:val="00C87EB2"/>
    <w:rsid w:val="00C901DC"/>
    <w:rsid w:val="00C90AF0"/>
    <w:rsid w:val="00C91ADE"/>
    <w:rsid w:val="00C92814"/>
    <w:rsid w:val="00C92EF3"/>
    <w:rsid w:val="00C936C5"/>
    <w:rsid w:val="00C93C1A"/>
    <w:rsid w:val="00C94505"/>
    <w:rsid w:val="00C94E1C"/>
    <w:rsid w:val="00C94FEE"/>
    <w:rsid w:val="00C9632C"/>
    <w:rsid w:val="00CA09A2"/>
    <w:rsid w:val="00CA3455"/>
    <w:rsid w:val="00CA44DC"/>
    <w:rsid w:val="00CA51BA"/>
    <w:rsid w:val="00CA5206"/>
    <w:rsid w:val="00CA5E54"/>
    <w:rsid w:val="00CA6AFA"/>
    <w:rsid w:val="00CB093F"/>
    <w:rsid w:val="00CB1E10"/>
    <w:rsid w:val="00CB33F7"/>
    <w:rsid w:val="00CB413F"/>
    <w:rsid w:val="00CB4900"/>
    <w:rsid w:val="00CB4F69"/>
    <w:rsid w:val="00CB5252"/>
    <w:rsid w:val="00CB76CD"/>
    <w:rsid w:val="00CB7ADA"/>
    <w:rsid w:val="00CC2306"/>
    <w:rsid w:val="00CC312A"/>
    <w:rsid w:val="00CC6591"/>
    <w:rsid w:val="00CC6C04"/>
    <w:rsid w:val="00CD1FD1"/>
    <w:rsid w:val="00CD2AF5"/>
    <w:rsid w:val="00CD2D1D"/>
    <w:rsid w:val="00CD3BA1"/>
    <w:rsid w:val="00CD3E96"/>
    <w:rsid w:val="00CD4AD9"/>
    <w:rsid w:val="00CD7544"/>
    <w:rsid w:val="00CE0C26"/>
    <w:rsid w:val="00CE1B3D"/>
    <w:rsid w:val="00CE33FA"/>
    <w:rsid w:val="00CE43A1"/>
    <w:rsid w:val="00CE6B52"/>
    <w:rsid w:val="00CE7A68"/>
    <w:rsid w:val="00CF0EEA"/>
    <w:rsid w:val="00CF1DED"/>
    <w:rsid w:val="00CF24F5"/>
    <w:rsid w:val="00CF25B8"/>
    <w:rsid w:val="00CF36AC"/>
    <w:rsid w:val="00CF40A0"/>
    <w:rsid w:val="00CF4163"/>
    <w:rsid w:val="00CF578A"/>
    <w:rsid w:val="00CF5A3E"/>
    <w:rsid w:val="00CF6BAB"/>
    <w:rsid w:val="00CF6E80"/>
    <w:rsid w:val="00CF6FF6"/>
    <w:rsid w:val="00D007D5"/>
    <w:rsid w:val="00D009C4"/>
    <w:rsid w:val="00D04DA7"/>
    <w:rsid w:val="00D05432"/>
    <w:rsid w:val="00D05451"/>
    <w:rsid w:val="00D10DBA"/>
    <w:rsid w:val="00D10F4A"/>
    <w:rsid w:val="00D119E1"/>
    <w:rsid w:val="00D11B35"/>
    <w:rsid w:val="00D13C7E"/>
    <w:rsid w:val="00D13E99"/>
    <w:rsid w:val="00D153E0"/>
    <w:rsid w:val="00D15B23"/>
    <w:rsid w:val="00D162B5"/>
    <w:rsid w:val="00D17A97"/>
    <w:rsid w:val="00D2083D"/>
    <w:rsid w:val="00D20B2B"/>
    <w:rsid w:val="00D21051"/>
    <w:rsid w:val="00D21AAF"/>
    <w:rsid w:val="00D250D6"/>
    <w:rsid w:val="00D2661B"/>
    <w:rsid w:val="00D26989"/>
    <w:rsid w:val="00D310F9"/>
    <w:rsid w:val="00D321FD"/>
    <w:rsid w:val="00D3481A"/>
    <w:rsid w:val="00D34ACB"/>
    <w:rsid w:val="00D35510"/>
    <w:rsid w:val="00D37E5C"/>
    <w:rsid w:val="00D4107C"/>
    <w:rsid w:val="00D42E7F"/>
    <w:rsid w:val="00D463FA"/>
    <w:rsid w:val="00D46D2F"/>
    <w:rsid w:val="00D500D0"/>
    <w:rsid w:val="00D52D63"/>
    <w:rsid w:val="00D539B8"/>
    <w:rsid w:val="00D54E94"/>
    <w:rsid w:val="00D5576B"/>
    <w:rsid w:val="00D55F91"/>
    <w:rsid w:val="00D60AA5"/>
    <w:rsid w:val="00D60AC4"/>
    <w:rsid w:val="00D622EB"/>
    <w:rsid w:val="00D62A41"/>
    <w:rsid w:val="00D630C3"/>
    <w:rsid w:val="00D65FC0"/>
    <w:rsid w:val="00D672C5"/>
    <w:rsid w:val="00D70D35"/>
    <w:rsid w:val="00D71443"/>
    <w:rsid w:val="00D72E04"/>
    <w:rsid w:val="00D75DA8"/>
    <w:rsid w:val="00D76900"/>
    <w:rsid w:val="00D801A3"/>
    <w:rsid w:val="00D851F0"/>
    <w:rsid w:val="00D856CA"/>
    <w:rsid w:val="00D86785"/>
    <w:rsid w:val="00D9058F"/>
    <w:rsid w:val="00D913BB"/>
    <w:rsid w:val="00D93B33"/>
    <w:rsid w:val="00D940A2"/>
    <w:rsid w:val="00D95ABE"/>
    <w:rsid w:val="00D963C6"/>
    <w:rsid w:val="00D97165"/>
    <w:rsid w:val="00D97553"/>
    <w:rsid w:val="00D97587"/>
    <w:rsid w:val="00D97E4E"/>
    <w:rsid w:val="00DA04CE"/>
    <w:rsid w:val="00DA1BF5"/>
    <w:rsid w:val="00DA2568"/>
    <w:rsid w:val="00DA3596"/>
    <w:rsid w:val="00DA3E80"/>
    <w:rsid w:val="00DA549C"/>
    <w:rsid w:val="00DA639F"/>
    <w:rsid w:val="00DA65A5"/>
    <w:rsid w:val="00DB084F"/>
    <w:rsid w:val="00DB0984"/>
    <w:rsid w:val="00DB31AC"/>
    <w:rsid w:val="00DB3882"/>
    <w:rsid w:val="00DB3C25"/>
    <w:rsid w:val="00DB5B6D"/>
    <w:rsid w:val="00DB5FAB"/>
    <w:rsid w:val="00DB6B14"/>
    <w:rsid w:val="00DB6E6E"/>
    <w:rsid w:val="00DC369D"/>
    <w:rsid w:val="00DC4096"/>
    <w:rsid w:val="00DC44A8"/>
    <w:rsid w:val="00DC6687"/>
    <w:rsid w:val="00DC7C21"/>
    <w:rsid w:val="00DC7FAF"/>
    <w:rsid w:val="00DE0AB2"/>
    <w:rsid w:val="00DE104E"/>
    <w:rsid w:val="00DE23DD"/>
    <w:rsid w:val="00DE400C"/>
    <w:rsid w:val="00DE519D"/>
    <w:rsid w:val="00DE53ED"/>
    <w:rsid w:val="00DF0280"/>
    <w:rsid w:val="00DF161A"/>
    <w:rsid w:val="00DF3DA3"/>
    <w:rsid w:val="00DF4158"/>
    <w:rsid w:val="00DF62ED"/>
    <w:rsid w:val="00DF7FBE"/>
    <w:rsid w:val="00E00C05"/>
    <w:rsid w:val="00E03085"/>
    <w:rsid w:val="00E075A9"/>
    <w:rsid w:val="00E07661"/>
    <w:rsid w:val="00E10A39"/>
    <w:rsid w:val="00E116AC"/>
    <w:rsid w:val="00E1215E"/>
    <w:rsid w:val="00E124AF"/>
    <w:rsid w:val="00E13190"/>
    <w:rsid w:val="00E13753"/>
    <w:rsid w:val="00E1458B"/>
    <w:rsid w:val="00E14712"/>
    <w:rsid w:val="00E15317"/>
    <w:rsid w:val="00E154BD"/>
    <w:rsid w:val="00E2082C"/>
    <w:rsid w:val="00E2104E"/>
    <w:rsid w:val="00E21CC8"/>
    <w:rsid w:val="00E22F79"/>
    <w:rsid w:val="00E233CB"/>
    <w:rsid w:val="00E23477"/>
    <w:rsid w:val="00E23CBD"/>
    <w:rsid w:val="00E2451E"/>
    <w:rsid w:val="00E311F9"/>
    <w:rsid w:val="00E33709"/>
    <w:rsid w:val="00E33D90"/>
    <w:rsid w:val="00E354B9"/>
    <w:rsid w:val="00E36CBD"/>
    <w:rsid w:val="00E4015D"/>
    <w:rsid w:val="00E403FE"/>
    <w:rsid w:val="00E40A12"/>
    <w:rsid w:val="00E40D16"/>
    <w:rsid w:val="00E4104F"/>
    <w:rsid w:val="00E41299"/>
    <w:rsid w:val="00E44AB0"/>
    <w:rsid w:val="00E4535D"/>
    <w:rsid w:val="00E4590C"/>
    <w:rsid w:val="00E5000E"/>
    <w:rsid w:val="00E5010A"/>
    <w:rsid w:val="00E50DC2"/>
    <w:rsid w:val="00E54B3E"/>
    <w:rsid w:val="00E55E2E"/>
    <w:rsid w:val="00E55F2F"/>
    <w:rsid w:val="00E606D2"/>
    <w:rsid w:val="00E6129C"/>
    <w:rsid w:val="00E61308"/>
    <w:rsid w:val="00E62624"/>
    <w:rsid w:val="00E63DCA"/>
    <w:rsid w:val="00E63DD8"/>
    <w:rsid w:val="00E63DF3"/>
    <w:rsid w:val="00E64B40"/>
    <w:rsid w:val="00E6624E"/>
    <w:rsid w:val="00E67F66"/>
    <w:rsid w:val="00E70A3C"/>
    <w:rsid w:val="00E71FED"/>
    <w:rsid w:val="00E763EA"/>
    <w:rsid w:val="00E76946"/>
    <w:rsid w:val="00E773FD"/>
    <w:rsid w:val="00E827C6"/>
    <w:rsid w:val="00E84EAA"/>
    <w:rsid w:val="00E86FD8"/>
    <w:rsid w:val="00E90BA1"/>
    <w:rsid w:val="00E91AA3"/>
    <w:rsid w:val="00E92155"/>
    <w:rsid w:val="00E92169"/>
    <w:rsid w:val="00E92612"/>
    <w:rsid w:val="00E93CFE"/>
    <w:rsid w:val="00E941B0"/>
    <w:rsid w:val="00E955AE"/>
    <w:rsid w:val="00E9687C"/>
    <w:rsid w:val="00EA10EE"/>
    <w:rsid w:val="00EA11B9"/>
    <w:rsid w:val="00EA1228"/>
    <w:rsid w:val="00EA3BA7"/>
    <w:rsid w:val="00EA41DD"/>
    <w:rsid w:val="00EA46E4"/>
    <w:rsid w:val="00EA515B"/>
    <w:rsid w:val="00EA5CB0"/>
    <w:rsid w:val="00EA5E3E"/>
    <w:rsid w:val="00EA6C0A"/>
    <w:rsid w:val="00EA7616"/>
    <w:rsid w:val="00EB0255"/>
    <w:rsid w:val="00EB1B28"/>
    <w:rsid w:val="00EB1D17"/>
    <w:rsid w:val="00EB2906"/>
    <w:rsid w:val="00EB46F6"/>
    <w:rsid w:val="00EB4984"/>
    <w:rsid w:val="00EB4FF3"/>
    <w:rsid w:val="00EB51B6"/>
    <w:rsid w:val="00EC01CC"/>
    <w:rsid w:val="00EC0C51"/>
    <w:rsid w:val="00EC10B5"/>
    <w:rsid w:val="00EC145E"/>
    <w:rsid w:val="00EC4BF4"/>
    <w:rsid w:val="00EC53B9"/>
    <w:rsid w:val="00EC5E5B"/>
    <w:rsid w:val="00EC6CC7"/>
    <w:rsid w:val="00EC7EDF"/>
    <w:rsid w:val="00ED1545"/>
    <w:rsid w:val="00ED3231"/>
    <w:rsid w:val="00ED65A1"/>
    <w:rsid w:val="00ED6B79"/>
    <w:rsid w:val="00ED7D53"/>
    <w:rsid w:val="00EE427D"/>
    <w:rsid w:val="00EE523F"/>
    <w:rsid w:val="00EE7E81"/>
    <w:rsid w:val="00EF0F3D"/>
    <w:rsid w:val="00EF4716"/>
    <w:rsid w:val="00EF4F62"/>
    <w:rsid w:val="00EF611B"/>
    <w:rsid w:val="00F00A34"/>
    <w:rsid w:val="00F01429"/>
    <w:rsid w:val="00F02196"/>
    <w:rsid w:val="00F0282E"/>
    <w:rsid w:val="00F0315B"/>
    <w:rsid w:val="00F04340"/>
    <w:rsid w:val="00F0470F"/>
    <w:rsid w:val="00F05396"/>
    <w:rsid w:val="00F057F2"/>
    <w:rsid w:val="00F05DDE"/>
    <w:rsid w:val="00F103AC"/>
    <w:rsid w:val="00F137A6"/>
    <w:rsid w:val="00F17C83"/>
    <w:rsid w:val="00F23562"/>
    <w:rsid w:val="00F27985"/>
    <w:rsid w:val="00F31E47"/>
    <w:rsid w:val="00F33E1B"/>
    <w:rsid w:val="00F340B5"/>
    <w:rsid w:val="00F344C1"/>
    <w:rsid w:val="00F420B6"/>
    <w:rsid w:val="00F429E8"/>
    <w:rsid w:val="00F42B9B"/>
    <w:rsid w:val="00F42F04"/>
    <w:rsid w:val="00F45934"/>
    <w:rsid w:val="00F45D8A"/>
    <w:rsid w:val="00F46101"/>
    <w:rsid w:val="00F46DB1"/>
    <w:rsid w:val="00F47FF0"/>
    <w:rsid w:val="00F52B8D"/>
    <w:rsid w:val="00F533D7"/>
    <w:rsid w:val="00F537B6"/>
    <w:rsid w:val="00F53D1C"/>
    <w:rsid w:val="00F55743"/>
    <w:rsid w:val="00F55FEA"/>
    <w:rsid w:val="00F562D3"/>
    <w:rsid w:val="00F567E2"/>
    <w:rsid w:val="00F56995"/>
    <w:rsid w:val="00F569DB"/>
    <w:rsid w:val="00F56A0D"/>
    <w:rsid w:val="00F61F4D"/>
    <w:rsid w:val="00F61FBD"/>
    <w:rsid w:val="00F622C2"/>
    <w:rsid w:val="00F63B10"/>
    <w:rsid w:val="00F63CF1"/>
    <w:rsid w:val="00F659FF"/>
    <w:rsid w:val="00F67FA8"/>
    <w:rsid w:val="00F70988"/>
    <w:rsid w:val="00F7104B"/>
    <w:rsid w:val="00F71516"/>
    <w:rsid w:val="00F74B11"/>
    <w:rsid w:val="00F751B7"/>
    <w:rsid w:val="00F75B59"/>
    <w:rsid w:val="00F77DF0"/>
    <w:rsid w:val="00F80C40"/>
    <w:rsid w:val="00F82E96"/>
    <w:rsid w:val="00F84B2C"/>
    <w:rsid w:val="00F854FB"/>
    <w:rsid w:val="00F864F4"/>
    <w:rsid w:val="00F86B84"/>
    <w:rsid w:val="00F92077"/>
    <w:rsid w:val="00F93350"/>
    <w:rsid w:val="00F95F66"/>
    <w:rsid w:val="00FA3DDA"/>
    <w:rsid w:val="00FA404D"/>
    <w:rsid w:val="00FA64FD"/>
    <w:rsid w:val="00FB139E"/>
    <w:rsid w:val="00FB2275"/>
    <w:rsid w:val="00FB56C6"/>
    <w:rsid w:val="00FB58BE"/>
    <w:rsid w:val="00FB596A"/>
    <w:rsid w:val="00FB74D3"/>
    <w:rsid w:val="00FC1074"/>
    <w:rsid w:val="00FC2062"/>
    <w:rsid w:val="00FC434B"/>
    <w:rsid w:val="00FC573A"/>
    <w:rsid w:val="00FC5BE2"/>
    <w:rsid w:val="00FC6127"/>
    <w:rsid w:val="00FC788A"/>
    <w:rsid w:val="00FD0A71"/>
    <w:rsid w:val="00FD1860"/>
    <w:rsid w:val="00FD23A8"/>
    <w:rsid w:val="00FD35B4"/>
    <w:rsid w:val="00FD35C8"/>
    <w:rsid w:val="00FD5479"/>
    <w:rsid w:val="00FD5635"/>
    <w:rsid w:val="00FD6B4B"/>
    <w:rsid w:val="00FD7006"/>
    <w:rsid w:val="00FE061A"/>
    <w:rsid w:val="00FE329D"/>
    <w:rsid w:val="00FE4039"/>
    <w:rsid w:val="00FE4AF6"/>
    <w:rsid w:val="00FE5179"/>
    <w:rsid w:val="00FE5DCC"/>
    <w:rsid w:val="00FE6DE2"/>
    <w:rsid w:val="00FE6FE7"/>
    <w:rsid w:val="00FF0332"/>
    <w:rsid w:val="00FF1E9D"/>
    <w:rsid w:val="00FF1F66"/>
    <w:rsid w:val="00FF5033"/>
    <w:rsid w:val="00FF5556"/>
    <w:rsid w:val="00FF6032"/>
    <w:rsid w:val="00FF62A4"/>
    <w:rsid w:val="00FF6744"/>
    <w:rsid w:val="00FF7AAD"/>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1950FF"/>
  <w15:docId w15:val="{3869D857-9782-4B1D-A903-65605403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7E81"/>
    <w:rPr>
      <w:rFonts w:ascii="Times New Roman" w:eastAsia="Times New Roman" w:hAnsi="Times New Roman"/>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link w:val="ab"/>
    <w:uiPriority w:val="99"/>
    <w:qFormat/>
    <w:rsid w:val="00EE7E81"/>
    <w:pPr>
      <w:widowControl w:val="0"/>
      <w:ind w:firstLine="567"/>
      <w:jc w:val="center"/>
    </w:pPr>
    <w:rPr>
      <w:rFonts w:eastAsia="Calibri"/>
      <w:b/>
      <w:bCs/>
      <w:sz w:val="20"/>
      <w:szCs w:val="20"/>
    </w:rPr>
  </w:style>
  <w:style w:type="character" w:customStyle="1" w:styleId="ab">
    <w:name w:val="Заголовок Знак"/>
    <w:link w:val="aa"/>
    <w:uiPriority w:val="99"/>
    <w:locked/>
    <w:rsid w:val="00EE7E81"/>
    <w:rPr>
      <w:rFonts w:ascii="Times New Roman" w:hAnsi="Times New Roman" w:cs="Times New Roman"/>
      <w:b/>
      <w:bCs/>
      <w:sz w:val="20"/>
      <w:szCs w:val="20"/>
    </w:rPr>
  </w:style>
  <w:style w:type="paragraph" w:styleId="ac">
    <w:name w:val="Body Text"/>
    <w:basedOn w:val="a6"/>
    <w:link w:val="ad"/>
    <w:uiPriority w:val="99"/>
    <w:rsid w:val="00EE7E81"/>
    <w:pPr>
      <w:spacing w:after="120"/>
    </w:pPr>
    <w:rPr>
      <w:rFonts w:eastAsia="Calibri"/>
    </w:rPr>
  </w:style>
  <w:style w:type="character" w:customStyle="1" w:styleId="ad">
    <w:name w:val="Основной текст Знак"/>
    <w:link w:val="ac"/>
    <w:uiPriority w:val="99"/>
    <w:locked/>
    <w:rsid w:val="00EE7E81"/>
    <w:rPr>
      <w:rFonts w:ascii="Times New Roman" w:hAnsi="Times New Roman" w:cs="Times New Roman"/>
      <w:sz w:val="24"/>
      <w:szCs w:val="24"/>
      <w:lang w:eastAsia="ru-RU"/>
    </w:rPr>
  </w:style>
  <w:style w:type="paragraph" w:styleId="ae">
    <w:name w:val="Balloon Text"/>
    <w:basedOn w:val="a6"/>
    <w:link w:val="af"/>
    <w:uiPriority w:val="99"/>
    <w:semiHidden/>
    <w:rsid w:val="005E0F7F"/>
    <w:rPr>
      <w:rFonts w:ascii="Tahoma" w:eastAsia="Calibri" w:hAnsi="Tahoma"/>
      <w:sz w:val="16"/>
      <w:szCs w:val="16"/>
    </w:rPr>
  </w:style>
  <w:style w:type="character" w:customStyle="1" w:styleId="af">
    <w:name w:val="Текст выноски Знак"/>
    <w:link w:val="ae"/>
    <w:uiPriority w:val="99"/>
    <w:semiHidden/>
    <w:locked/>
    <w:rsid w:val="005E0F7F"/>
    <w:rPr>
      <w:rFonts w:ascii="Tahoma" w:hAnsi="Tahoma" w:cs="Tahoma"/>
      <w:sz w:val="16"/>
      <w:szCs w:val="16"/>
      <w:lang w:eastAsia="ru-RU"/>
    </w:rPr>
  </w:style>
  <w:style w:type="paragraph" w:styleId="af0">
    <w:name w:val="Plain Text"/>
    <w:basedOn w:val="a6"/>
    <w:link w:val="af1"/>
    <w:uiPriority w:val="99"/>
    <w:unhideWhenUsed/>
    <w:rsid w:val="00C04C5D"/>
    <w:rPr>
      <w:rFonts w:ascii="Calibri" w:eastAsia="Calibri" w:hAnsi="Calibri"/>
      <w:sz w:val="20"/>
      <w:szCs w:val="21"/>
      <w:lang w:eastAsia="en-US"/>
    </w:rPr>
  </w:style>
  <w:style w:type="character" w:customStyle="1" w:styleId="af1">
    <w:name w:val="Текст Знак"/>
    <w:link w:val="af0"/>
    <w:uiPriority w:val="99"/>
    <w:rsid w:val="00C04C5D"/>
    <w:rPr>
      <w:szCs w:val="21"/>
      <w:lang w:eastAsia="en-US"/>
    </w:rPr>
  </w:style>
  <w:style w:type="paragraph" w:customStyle="1" w:styleId="11">
    <w:name w:val="Без интервала11"/>
    <w:rsid w:val="00DA65A5"/>
    <w:pPr>
      <w:spacing w:before="60" w:after="60" w:line="276" w:lineRule="auto"/>
      <w:jc w:val="both"/>
    </w:pPr>
    <w:rPr>
      <w:rFonts w:ascii="Franklin Gothic Book" w:eastAsia="Times New Roman" w:hAnsi="Franklin Gothic Book"/>
      <w:sz w:val="22"/>
      <w:szCs w:val="22"/>
      <w:lang w:val="en-US" w:eastAsia="en-US"/>
    </w:rPr>
  </w:style>
  <w:style w:type="paragraph" w:customStyle="1" w:styleId="NoSpacing1">
    <w:name w:val="No Spacing1"/>
    <w:rsid w:val="00DA65A5"/>
    <w:pPr>
      <w:spacing w:before="60" w:after="60" w:line="276" w:lineRule="auto"/>
      <w:jc w:val="both"/>
    </w:pPr>
    <w:rPr>
      <w:rFonts w:ascii="Franklin Gothic Book" w:eastAsia="Times New Roman" w:hAnsi="Franklin Gothic Book"/>
      <w:sz w:val="22"/>
      <w:szCs w:val="22"/>
      <w:lang w:val="en-US" w:eastAsia="en-US"/>
    </w:rPr>
  </w:style>
  <w:style w:type="paragraph" w:styleId="af2">
    <w:name w:val="footnote text"/>
    <w:basedOn w:val="a6"/>
    <w:link w:val="af3"/>
    <w:uiPriority w:val="99"/>
    <w:unhideWhenUsed/>
    <w:rsid w:val="00F33E1B"/>
    <w:pPr>
      <w:spacing w:after="60"/>
      <w:ind w:firstLine="567"/>
      <w:jc w:val="both"/>
    </w:pPr>
    <w:rPr>
      <w:rFonts w:ascii="Times New Roman CYR" w:hAnsi="Times New Roman CYR"/>
      <w:sz w:val="20"/>
      <w:szCs w:val="20"/>
    </w:rPr>
  </w:style>
  <w:style w:type="character" w:customStyle="1" w:styleId="af3">
    <w:name w:val="Текст сноски Знак"/>
    <w:link w:val="af2"/>
    <w:uiPriority w:val="99"/>
    <w:rsid w:val="00F33E1B"/>
    <w:rPr>
      <w:rFonts w:ascii="Times New Roman CYR" w:eastAsia="Times New Roman" w:hAnsi="Times New Roman CYR"/>
    </w:rPr>
  </w:style>
  <w:style w:type="character" w:styleId="af4">
    <w:name w:val="footnote reference"/>
    <w:uiPriority w:val="99"/>
    <w:unhideWhenUsed/>
    <w:rsid w:val="00F33E1B"/>
    <w:rPr>
      <w:vertAlign w:val="superscript"/>
    </w:rPr>
  </w:style>
  <w:style w:type="paragraph" w:styleId="af5">
    <w:name w:val="List Paragraph"/>
    <w:basedOn w:val="a6"/>
    <w:uiPriority w:val="34"/>
    <w:qFormat/>
    <w:rsid w:val="00F61F4D"/>
    <w:pPr>
      <w:ind w:left="708"/>
    </w:pPr>
  </w:style>
  <w:style w:type="paragraph" w:customStyle="1" w:styleId="af6">
    <w:name w:val="Пункт со скобкой"/>
    <w:basedOn w:val="a6"/>
    <w:qFormat/>
    <w:rsid w:val="006E0328"/>
    <w:pPr>
      <w:tabs>
        <w:tab w:val="left" w:pos="709"/>
      </w:tabs>
      <w:autoSpaceDE w:val="0"/>
      <w:autoSpaceDN w:val="0"/>
      <w:adjustRightInd w:val="0"/>
      <w:spacing w:before="120"/>
      <w:ind w:left="1400" w:hanging="360"/>
      <w:jc w:val="both"/>
      <w:outlineLvl w:val="2"/>
    </w:pPr>
  </w:style>
  <w:style w:type="paragraph" w:customStyle="1" w:styleId="a5">
    <w:name w:val="Пункт с точкой"/>
    <w:basedOn w:val="a6"/>
    <w:qFormat/>
    <w:rsid w:val="006E0328"/>
    <w:pPr>
      <w:numPr>
        <w:numId w:val="2"/>
      </w:numPr>
      <w:autoSpaceDE w:val="0"/>
      <w:autoSpaceDN w:val="0"/>
      <w:adjustRightInd w:val="0"/>
      <w:spacing w:before="60"/>
      <w:jc w:val="both"/>
      <w:outlineLvl w:val="2"/>
    </w:pPr>
  </w:style>
  <w:style w:type="paragraph" w:customStyle="1" w:styleId="ConsPlusNonformat">
    <w:name w:val="ConsPlusNonformat"/>
    <w:uiPriority w:val="99"/>
    <w:rsid w:val="00B76B4D"/>
    <w:pPr>
      <w:autoSpaceDE w:val="0"/>
      <w:autoSpaceDN w:val="0"/>
      <w:adjustRightInd w:val="0"/>
    </w:pPr>
    <w:rPr>
      <w:rFonts w:ascii="Courier New" w:hAnsi="Courier New" w:cs="Courier New"/>
    </w:rPr>
  </w:style>
  <w:style w:type="paragraph" w:customStyle="1" w:styleId="af7">
    <w:name w:val="Текст таб"/>
    <w:basedOn w:val="a6"/>
    <w:qFormat/>
    <w:rsid w:val="00EA41DD"/>
    <w:pPr>
      <w:tabs>
        <w:tab w:val="left" w:pos="709"/>
      </w:tabs>
      <w:autoSpaceDE w:val="0"/>
      <w:autoSpaceDN w:val="0"/>
      <w:adjustRightInd w:val="0"/>
      <w:spacing w:before="120"/>
      <w:ind w:left="709"/>
      <w:jc w:val="both"/>
      <w:outlineLvl w:val="2"/>
    </w:pPr>
    <w:rPr>
      <w:rFonts w:ascii="Arial" w:hAnsi="Arial" w:cs="Arial"/>
    </w:rPr>
  </w:style>
  <w:style w:type="paragraph" w:customStyle="1" w:styleId="a3">
    <w:name w:val="Пункт"/>
    <w:basedOn w:val="a6"/>
    <w:qFormat/>
    <w:rsid w:val="00EA41DD"/>
    <w:pPr>
      <w:numPr>
        <w:numId w:val="1"/>
      </w:numPr>
      <w:tabs>
        <w:tab w:val="left" w:pos="709"/>
      </w:tabs>
      <w:autoSpaceDE w:val="0"/>
      <w:autoSpaceDN w:val="0"/>
      <w:adjustRightInd w:val="0"/>
      <w:spacing w:before="240"/>
      <w:jc w:val="both"/>
      <w:outlineLvl w:val="2"/>
    </w:pPr>
    <w:rPr>
      <w:rFonts w:ascii="Arial" w:hAnsi="Arial" w:cs="Arial"/>
    </w:rPr>
  </w:style>
  <w:style w:type="paragraph" w:customStyle="1" w:styleId="af8">
    <w:name w:val="Подпункт"/>
    <w:basedOn w:val="a6"/>
    <w:qFormat/>
    <w:rsid w:val="00572E85"/>
    <w:pPr>
      <w:tabs>
        <w:tab w:val="left" w:pos="851"/>
      </w:tabs>
      <w:spacing w:before="60"/>
      <w:ind w:left="470" w:hanging="360"/>
      <w:jc w:val="both"/>
    </w:pPr>
    <w:rPr>
      <w:rFonts w:eastAsia="Calibri"/>
      <w:lang w:eastAsia="en-US"/>
    </w:rPr>
  </w:style>
  <w:style w:type="character" w:styleId="af9">
    <w:name w:val="annotation reference"/>
    <w:basedOn w:val="a7"/>
    <w:uiPriority w:val="99"/>
    <w:semiHidden/>
    <w:unhideWhenUsed/>
    <w:rsid w:val="009D57A4"/>
    <w:rPr>
      <w:sz w:val="16"/>
      <w:szCs w:val="16"/>
    </w:rPr>
  </w:style>
  <w:style w:type="paragraph" w:styleId="afa">
    <w:name w:val="annotation text"/>
    <w:basedOn w:val="a6"/>
    <w:link w:val="afb"/>
    <w:uiPriority w:val="99"/>
    <w:unhideWhenUsed/>
    <w:rsid w:val="009D57A4"/>
    <w:rPr>
      <w:sz w:val="20"/>
      <w:szCs w:val="20"/>
    </w:rPr>
  </w:style>
  <w:style w:type="character" w:customStyle="1" w:styleId="afb">
    <w:name w:val="Текст примечания Знак"/>
    <w:basedOn w:val="a7"/>
    <w:link w:val="afa"/>
    <w:uiPriority w:val="99"/>
    <w:semiHidden/>
    <w:rsid w:val="009D57A4"/>
    <w:rPr>
      <w:rFonts w:ascii="Times New Roman" w:eastAsia="Times New Roman" w:hAnsi="Times New Roman"/>
    </w:rPr>
  </w:style>
  <w:style w:type="paragraph" w:styleId="afc">
    <w:name w:val="annotation subject"/>
    <w:basedOn w:val="afa"/>
    <w:next w:val="afa"/>
    <w:link w:val="afd"/>
    <w:uiPriority w:val="99"/>
    <w:semiHidden/>
    <w:unhideWhenUsed/>
    <w:rsid w:val="009D57A4"/>
    <w:rPr>
      <w:b/>
      <w:bCs/>
    </w:rPr>
  </w:style>
  <w:style w:type="character" w:customStyle="1" w:styleId="afd">
    <w:name w:val="Тема примечания Знак"/>
    <w:basedOn w:val="afb"/>
    <w:link w:val="afc"/>
    <w:uiPriority w:val="99"/>
    <w:semiHidden/>
    <w:rsid w:val="009D57A4"/>
    <w:rPr>
      <w:rFonts w:ascii="Times New Roman" w:eastAsia="Times New Roman" w:hAnsi="Times New Roman"/>
      <w:b/>
      <w:bCs/>
    </w:rPr>
  </w:style>
  <w:style w:type="paragraph" w:customStyle="1" w:styleId="a">
    <w:name w:val="Пункт с буквой"/>
    <w:basedOn w:val="a6"/>
    <w:rsid w:val="0097277C"/>
    <w:pPr>
      <w:numPr>
        <w:numId w:val="3"/>
      </w:numPr>
    </w:pPr>
  </w:style>
  <w:style w:type="paragraph" w:styleId="afe">
    <w:name w:val="header"/>
    <w:basedOn w:val="a6"/>
    <w:link w:val="aff"/>
    <w:uiPriority w:val="99"/>
    <w:unhideWhenUsed/>
    <w:rsid w:val="00B859AC"/>
    <w:pPr>
      <w:tabs>
        <w:tab w:val="center" w:pos="4677"/>
        <w:tab w:val="right" w:pos="9355"/>
      </w:tabs>
    </w:pPr>
  </w:style>
  <w:style w:type="character" w:customStyle="1" w:styleId="aff">
    <w:name w:val="Верхний колонтитул Знак"/>
    <w:basedOn w:val="a7"/>
    <w:link w:val="afe"/>
    <w:uiPriority w:val="99"/>
    <w:rsid w:val="00B859AC"/>
    <w:rPr>
      <w:rFonts w:ascii="Times New Roman" w:eastAsia="Times New Roman" w:hAnsi="Times New Roman"/>
      <w:sz w:val="24"/>
      <w:szCs w:val="24"/>
    </w:rPr>
  </w:style>
  <w:style w:type="paragraph" w:styleId="aff0">
    <w:name w:val="footer"/>
    <w:basedOn w:val="a6"/>
    <w:link w:val="aff1"/>
    <w:uiPriority w:val="99"/>
    <w:unhideWhenUsed/>
    <w:rsid w:val="00B859AC"/>
    <w:pPr>
      <w:tabs>
        <w:tab w:val="center" w:pos="4677"/>
        <w:tab w:val="right" w:pos="9355"/>
      </w:tabs>
    </w:pPr>
  </w:style>
  <w:style w:type="character" w:customStyle="1" w:styleId="aff1">
    <w:name w:val="Нижний колонтитул Знак"/>
    <w:basedOn w:val="a7"/>
    <w:link w:val="aff0"/>
    <w:uiPriority w:val="99"/>
    <w:rsid w:val="00B859AC"/>
    <w:rPr>
      <w:rFonts w:ascii="Times New Roman" w:eastAsia="Times New Roman" w:hAnsi="Times New Roman"/>
      <w:sz w:val="24"/>
      <w:szCs w:val="24"/>
    </w:rPr>
  </w:style>
  <w:style w:type="paragraph" w:customStyle="1" w:styleId="aff2">
    <w:name w:val="Раздел"/>
    <w:basedOn w:val="3"/>
    <w:qFormat/>
    <w:rsid w:val="00BE3F79"/>
    <w:pPr>
      <w:keepNext/>
      <w:pageBreakBefore/>
      <w:overflowPunct w:val="0"/>
      <w:autoSpaceDE w:val="0"/>
      <w:autoSpaceDN w:val="0"/>
      <w:adjustRightInd w:val="0"/>
      <w:spacing w:before="360" w:after="0"/>
      <w:ind w:left="720" w:hanging="360"/>
      <w:jc w:val="both"/>
      <w:textAlignment w:val="baseline"/>
    </w:pPr>
    <w:rPr>
      <w:b/>
      <w:sz w:val="24"/>
      <w:szCs w:val="20"/>
    </w:rPr>
  </w:style>
  <w:style w:type="paragraph" w:customStyle="1" w:styleId="aff3">
    <w:name w:val="Подподпункт"/>
    <w:basedOn w:val="ac"/>
    <w:qFormat/>
    <w:rsid w:val="00BE3F79"/>
    <w:pPr>
      <w:tabs>
        <w:tab w:val="num" w:pos="851"/>
      </w:tabs>
      <w:overflowPunct w:val="0"/>
      <w:autoSpaceDE w:val="0"/>
      <w:autoSpaceDN w:val="0"/>
      <w:adjustRightInd w:val="0"/>
      <w:spacing w:before="120" w:after="0"/>
      <w:ind w:left="851" w:hanging="851"/>
      <w:jc w:val="both"/>
      <w:textAlignment w:val="baseline"/>
    </w:pPr>
    <w:rPr>
      <w:rFonts w:eastAsia="Times New Roman"/>
      <w:szCs w:val="20"/>
    </w:rPr>
  </w:style>
  <w:style w:type="paragraph" w:customStyle="1" w:styleId="aff4">
    <w:name w:val="Статья_"/>
    <w:basedOn w:val="a3"/>
    <w:qFormat/>
    <w:rsid w:val="00BE3F79"/>
    <w:pPr>
      <w:keepNext/>
      <w:numPr>
        <w:numId w:val="0"/>
      </w:numPr>
      <w:tabs>
        <w:tab w:val="clear" w:pos="709"/>
        <w:tab w:val="num" w:pos="1418"/>
      </w:tabs>
      <w:overflowPunct w:val="0"/>
      <w:spacing w:before="360"/>
      <w:ind w:left="1418" w:hanging="1418"/>
      <w:textAlignment w:val="baseline"/>
      <w:outlineLvl w:val="0"/>
    </w:pPr>
    <w:rPr>
      <w:rFonts w:ascii="Times New Roman" w:hAnsi="Times New Roman" w:cs="Times New Roman"/>
      <w:b/>
      <w:bCs/>
      <w:szCs w:val="20"/>
    </w:rPr>
  </w:style>
  <w:style w:type="paragraph" w:customStyle="1" w:styleId="aff5">
    <w:name w:val="Подраздел"/>
    <w:basedOn w:val="aff4"/>
    <w:qFormat/>
    <w:rsid w:val="00BE3F79"/>
    <w:pPr>
      <w:pageBreakBefore/>
      <w:tabs>
        <w:tab w:val="clear" w:pos="1418"/>
        <w:tab w:val="num" w:pos="2268"/>
      </w:tabs>
      <w:spacing w:before="240"/>
      <w:ind w:left="2268" w:hanging="2268"/>
    </w:pPr>
  </w:style>
  <w:style w:type="paragraph" w:styleId="3">
    <w:name w:val="Body Text Indent 3"/>
    <w:basedOn w:val="a6"/>
    <w:link w:val="30"/>
    <w:uiPriority w:val="99"/>
    <w:semiHidden/>
    <w:unhideWhenUsed/>
    <w:rsid w:val="00BE3F79"/>
    <w:pPr>
      <w:spacing w:after="120"/>
      <w:ind w:left="283"/>
    </w:pPr>
    <w:rPr>
      <w:sz w:val="16"/>
      <w:szCs w:val="16"/>
    </w:rPr>
  </w:style>
  <w:style w:type="character" w:customStyle="1" w:styleId="30">
    <w:name w:val="Основной текст с отступом 3 Знак"/>
    <w:basedOn w:val="a7"/>
    <w:link w:val="3"/>
    <w:uiPriority w:val="99"/>
    <w:semiHidden/>
    <w:rsid w:val="00BE3F79"/>
    <w:rPr>
      <w:rFonts w:ascii="Times New Roman" w:eastAsia="Times New Roman" w:hAnsi="Times New Roman"/>
      <w:sz w:val="16"/>
      <w:szCs w:val="16"/>
    </w:rPr>
  </w:style>
  <w:style w:type="paragraph" w:styleId="aff6">
    <w:name w:val="Normal (Web)"/>
    <w:basedOn w:val="a6"/>
    <w:uiPriority w:val="99"/>
    <w:semiHidden/>
    <w:unhideWhenUsed/>
    <w:rsid w:val="00205002"/>
    <w:pPr>
      <w:spacing w:before="100" w:beforeAutospacing="1" w:after="100" w:afterAutospacing="1"/>
    </w:pPr>
  </w:style>
  <w:style w:type="paragraph" w:customStyle="1" w:styleId="21">
    <w:name w:val="Основной текст 21"/>
    <w:basedOn w:val="a6"/>
    <w:rsid w:val="00C7560E"/>
    <w:pPr>
      <w:overflowPunct w:val="0"/>
      <w:autoSpaceDE w:val="0"/>
      <w:autoSpaceDN w:val="0"/>
      <w:adjustRightInd w:val="0"/>
      <w:ind w:firstLine="708"/>
      <w:jc w:val="both"/>
      <w:textAlignment w:val="baseline"/>
    </w:pPr>
    <w:rPr>
      <w:rFonts w:ascii="Times New Roman CYR" w:hAnsi="Times New Roman CYR"/>
      <w:szCs w:val="20"/>
    </w:rPr>
  </w:style>
  <w:style w:type="paragraph" w:customStyle="1" w:styleId="Pointmark">
    <w:name w:val="Point (mark)"/>
    <w:basedOn w:val="a6"/>
    <w:qFormat/>
    <w:rsid w:val="00C7560E"/>
    <w:pPr>
      <w:numPr>
        <w:numId w:val="6"/>
      </w:numPr>
      <w:jc w:val="both"/>
    </w:pPr>
    <w:rPr>
      <w:szCs w:val="20"/>
    </w:rPr>
  </w:style>
  <w:style w:type="paragraph" w:customStyle="1" w:styleId="Point">
    <w:name w:val="Point"/>
    <w:basedOn w:val="a6"/>
    <w:link w:val="Point1"/>
    <w:qFormat/>
    <w:rsid w:val="00C7560E"/>
    <w:pPr>
      <w:numPr>
        <w:ilvl w:val="1"/>
        <w:numId w:val="6"/>
      </w:numPr>
      <w:jc w:val="both"/>
    </w:pPr>
    <w:rPr>
      <w:szCs w:val="20"/>
      <w:lang w:val="x-none" w:eastAsia="x-none"/>
    </w:rPr>
  </w:style>
  <w:style w:type="paragraph" w:customStyle="1" w:styleId="Point2">
    <w:name w:val="Point 2"/>
    <w:basedOn w:val="a6"/>
    <w:qFormat/>
    <w:rsid w:val="00C7560E"/>
    <w:pPr>
      <w:numPr>
        <w:ilvl w:val="2"/>
        <w:numId w:val="6"/>
      </w:numPr>
      <w:jc w:val="both"/>
    </w:pPr>
    <w:rPr>
      <w:szCs w:val="20"/>
    </w:rPr>
  </w:style>
  <w:style w:type="paragraph" w:customStyle="1" w:styleId="Point3">
    <w:name w:val="Point 3"/>
    <w:basedOn w:val="a6"/>
    <w:qFormat/>
    <w:rsid w:val="00C7560E"/>
    <w:pPr>
      <w:numPr>
        <w:ilvl w:val="3"/>
        <w:numId w:val="6"/>
      </w:numPr>
      <w:jc w:val="both"/>
    </w:pPr>
    <w:rPr>
      <w:szCs w:val="20"/>
    </w:rPr>
  </w:style>
  <w:style w:type="character" w:styleId="aff7">
    <w:name w:val="Hyperlink"/>
    <w:basedOn w:val="a7"/>
    <w:uiPriority w:val="99"/>
    <w:unhideWhenUsed/>
    <w:rsid w:val="000948FF"/>
    <w:rPr>
      <w:color w:val="0000FF" w:themeColor="hyperlink"/>
      <w:u w:val="single"/>
    </w:rPr>
  </w:style>
  <w:style w:type="character" w:styleId="aff8">
    <w:name w:val="FollowedHyperlink"/>
    <w:basedOn w:val="a7"/>
    <w:uiPriority w:val="99"/>
    <w:semiHidden/>
    <w:unhideWhenUsed/>
    <w:rsid w:val="004B225D"/>
    <w:rPr>
      <w:color w:val="800080" w:themeColor="followedHyperlink"/>
      <w:u w:val="single"/>
    </w:rPr>
  </w:style>
  <w:style w:type="paragraph" w:customStyle="1" w:styleId="Title1">
    <w:name w:val="Title 1"/>
    <w:qFormat/>
    <w:rsid w:val="003C07B0"/>
    <w:pPr>
      <w:keepNext/>
      <w:keepLines/>
      <w:pageBreakBefore/>
      <w:tabs>
        <w:tab w:val="num" w:pos="1418"/>
      </w:tabs>
      <w:ind w:left="1418" w:hanging="1418"/>
      <w:jc w:val="both"/>
    </w:pPr>
    <w:rPr>
      <w:rFonts w:ascii="Times New Roman" w:eastAsia="Times New Roman" w:hAnsi="Times New Roman"/>
      <w:b/>
      <w:sz w:val="24"/>
      <w:szCs w:val="24"/>
      <w:lang w:eastAsia="en-US"/>
    </w:rPr>
  </w:style>
  <w:style w:type="paragraph" w:customStyle="1" w:styleId="Title3">
    <w:name w:val="Title 3"/>
    <w:basedOn w:val="a6"/>
    <w:qFormat/>
    <w:rsid w:val="003C07B0"/>
    <w:pPr>
      <w:keepNext/>
      <w:tabs>
        <w:tab w:val="num" w:pos="0"/>
        <w:tab w:val="left" w:pos="851"/>
      </w:tabs>
      <w:spacing w:before="240"/>
      <w:ind w:left="851" w:hanging="851"/>
      <w:jc w:val="both"/>
    </w:pPr>
    <w:rPr>
      <w:b/>
      <w:lang w:eastAsia="en-US"/>
    </w:rPr>
  </w:style>
  <w:style w:type="paragraph" w:customStyle="1" w:styleId="Title2">
    <w:name w:val="Title 2"/>
    <w:basedOn w:val="Title1"/>
    <w:qFormat/>
    <w:rsid w:val="003C07B0"/>
    <w:pPr>
      <w:tabs>
        <w:tab w:val="clear" w:pos="1418"/>
        <w:tab w:val="num" w:pos="1080"/>
      </w:tabs>
      <w:ind w:left="-648" w:hanging="432"/>
    </w:pPr>
    <w:rPr>
      <w:lang w:val="en-US"/>
    </w:rPr>
  </w:style>
  <w:style w:type="table" w:styleId="aff9">
    <w:name w:val="Table Grid"/>
    <w:basedOn w:val="a8"/>
    <w:locked/>
    <w:rsid w:val="001F7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Подподпункт приложения"/>
    <w:basedOn w:val="a6"/>
    <w:qFormat/>
    <w:rsid w:val="00CD3E96"/>
    <w:pPr>
      <w:widowControl w:val="0"/>
      <w:numPr>
        <w:ilvl w:val="3"/>
        <w:numId w:val="7"/>
      </w:numPr>
      <w:overflowPunct w:val="0"/>
      <w:autoSpaceDE w:val="0"/>
      <w:autoSpaceDN w:val="0"/>
      <w:adjustRightInd w:val="0"/>
      <w:spacing w:before="120"/>
      <w:jc w:val="both"/>
      <w:textAlignment w:val="baseline"/>
    </w:pPr>
    <w:rPr>
      <w:bCs/>
    </w:rPr>
  </w:style>
  <w:style w:type="paragraph" w:customStyle="1" w:styleId="4-">
    <w:name w:val="Подпункт приложения 4-го уровня"/>
    <w:basedOn w:val="a6"/>
    <w:qFormat/>
    <w:rsid w:val="00CD3E96"/>
    <w:pPr>
      <w:widowControl w:val="0"/>
      <w:numPr>
        <w:ilvl w:val="4"/>
        <w:numId w:val="7"/>
      </w:numPr>
      <w:overflowPunct w:val="0"/>
      <w:autoSpaceDE w:val="0"/>
      <w:autoSpaceDN w:val="0"/>
      <w:adjustRightInd w:val="0"/>
      <w:spacing w:before="60"/>
      <w:jc w:val="both"/>
      <w:textAlignment w:val="baseline"/>
    </w:pPr>
    <w:rPr>
      <w:szCs w:val="20"/>
    </w:rPr>
  </w:style>
  <w:style w:type="paragraph" w:customStyle="1" w:styleId="a4">
    <w:name w:val="Приложение"/>
    <w:basedOn w:val="a6"/>
    <w:qFormat/>
    <w:rsid w:val="00CD3E96"/>
    <w:pPr>
      <w:numPr>
        <w:numId w:val="8"/>
      </w:numPr>
      <w:overflowPunct w:val="0"/>
      <w:autoSpaceDE w:val="0"/>
      <w:autoSpaceDN w:val="0"/>
      <w:adjustRightInd w:val="0"/>
      <w:jc w:val="right"/>
      <w:textAlignment w:val="baseline"/>
    </w:pPr>
    <w:rPr>
      <w:b/>
      <w:sz w:val="28"/>
      <w:szCs w:val="20"/>
    </w:rPr>
  </w:style>
  <w:style w:type="paragraph" w:customStyle="1" w:styleId="a1">
    <w:name w:val="раздел приложения"/>
    <w:basedOn w:val="a6"/>
    <w:qFormat/>
    <w:rsid w:val="00CD3E96"/>
    <w:pPr>
      <w:keepNext/>
      <w:numPr>
        <w:ilvl w:val="1"/>
        <w:numId w:val="7"/>
      </w:numPr>
      <w:spacing w:before="360"/>
      <w:jc w:val="both"/>
    </w:pPr>
    <w:rPr>
      <w:b/>
      <w:szCs w:val="20"/>
    </w:rPr>
  </w:style>
  <w:style w:type="character" w:customStyle="1" w:styleId="Point1">
    <w:name w:val="Point Знак1"/>
    <w:link w:val="Point"/>
    <w:locked/>
    <w:rsid w:val="0036352C"/>
    <w:rPr>
      <w:rFonts w:ascii="Times New Roman" w:eastAsia="Times New Roman" w:hAnsi="Times New Roman"/>
      <w:sz w:val="24"/>
      <w:lang w:val="x-none" w:eastAsia="x-none"/>
    </w:rPr>
  </w:style>
  <w:style w:type="paragraph" w:styleId="affa">
    <w:name w:val="Revision"/>
    <w:hidden/>
    <w:uiPriority w:val="99"/>
    <w:semiHidden/>
    <w:rsid w:val="00134BD3"/>
    <w:rPr>
      <w:rFonts w:ascii="Times New Roman" w:eastAsia="Times New Roman" w:hAnsi="Times New Roman"/>
      <w:sz w:val="24"/>
      <w:szCs w:val="24"/>
    </w:rPr>
  </w:style>
  <w:style w:type="paragraph" w:customStyle="1" w:styleId="Texttab">
    <w:name w:val="Text tab"/>
    <w:basedOn w:val="a6"/>
    <w:link w:val="Texttab0"/>
    <w:qFormat/>
    <w:rsid w:val="000A27CC"/>
    <w:pPr>
      <w:widowControl w:val="0"/>
      <w:tabs>
        <w:tab w:val="right" w:pos="851"/>
      </w:tabs>
      <w:adjustRightInd w:val="0"/>
      <w:spacing w:before="60"/>
      <w:ind w:left="851"/>
      <w:jc w:val="both"/>
      <w:textAlignment w:val="baseline"/>
    </w:pPr>
    <w:rPr>
      <w:iCs/>
      <w:noProof/>
      <w:lang w:val="x-none" w:eastAsia="x-none"/>
    </w:rPr>
  </w:style>
  <w:style w:type="character" w:customStyle="1" w:styleId="Texttab0">
    <w:name w:val="Text tab Знак"/>
    <w:link w:val="Texttab"/>
    <w:rsid w:val="000A27CC"/>
    <w:rPr>
      <w:rFonts w:ascii="Times New Roman" w:eastAsia="Times New Roman" w:hAnsi="Times New Roman"/>
      <w:iCs/>
      <w:noProof/>
      <w:sz w:val="24"/>
      <w:szCs w:val="24"/>
      <w:lang w:val="x-none" w:eastAsia="x-none"/>
    </w:rPr>
  </w:style>
  <w:style w:type="paragraph" w:customStyle="1" w:styleId="a0">
    <w:name w:val="Пункт список"/>
    <w:autoRedefine/>
    <w:qFormat/>
    <w:rsid w:val="00680B17"/>
    <w:pPr>
      <w:numPr>
        <w:numId w:val="41"/>
      </w:numPr>
      <w:tabs>
        <w:tab w:val="clear" w:pos="710"/>
        <w:tab w:val="num" w:pos="1440"/>
      </w:tabs>
      <w:ind w:left="1418" w:hanging="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5608">
      <w:bodyDiv w:val="1"/>
      <w:marLeft w:val="0"/>
      <w:marRight w:val="0"/>
      <w:marTop w:val="0"/>
      <w:marBottom w:val="0"/>
      <w:divBdr>
        <w:top w:val="none" w:sz="0" w:space="0" w:color="auto"/>
        <w:left w:val="none" w:sz="0" w:space="0" w:color="auto"/>
        <w:bottom w:val="none" w:sz="0" w:space="0" w:color="auto"/>
        <w:right w:val="none" w:sz="0" w:space="0" w:color="auto"/>
      </w:divBdr>
    </w:div>
    <w:div w:id="113211932">
      <w:bodyDiv w:val="1"/>
      <w:marLeft w:val="0"/>
      <w:marRight w:val="0"/>
      <w:marTop w:val="0"/>
      <w:marBottom w:val="0"/>
      <w:divBdr>
        <w:top w:val="none" w:sz="0" w:space="0" w:color="auto"/>
        <w:left w:val="none" w:sz="0" w:space="0" w:color="auto"/>
        <w:bottom w:val="none" w:sz="0" w:space="0" w:color="auto"/>
        <w:right w:val="none" w:sz="0" w:space="0" w:color="auto"/>
      </w:divBdr>
    </w:div>
    <w:div w:id="270750601">
      <w:bodyDiv w:val="1"/>
      <w:marLeft w:val="0"/>
      <w:marRight w:val="0"/>
      <w:marTop w:val="0"/>
      <w:marBottom w:val="0"/>
      <w:divBdr>
        <w:top w:val="none" w:sz="0" w:space="0" w:color="auto"/>
        <w:left w:val="none" w:sz="0" w:space="0" w:color="auto"/>
        <w:bottom w:val="none" w:sz="0" w:space="0" w:color="auto"/>
        <w:right w:val="none" w:sz="0" w:space="0" w:color="auto"/>
      </w:divBdr>
    </w:div>
    <w:div w:id="307636959">
      <w:bodyDiv w:val="1"/>
      <w:marLeft w:val="0"/>
      <w:marRight w:val="0"/>
      <w:marTop w:val="0"/>
      <w:marBottom w:val="0"/>
      <w:divBdr>
        <w:top w:val="none" w:sz="0" w:space="0" w:color="auto"/>
        <w:left w:val="none" w:sz="0" w:space="0" w:color="auto"/>
        <w:bottom w:val="none" w:sz="0" w:space="0" w:color="auto"/>
        <w:right w:val="none" w:sz="0" w:space="0" w:color="auto"/>
      </w:divBdr>
    </w:div>
    <w:div w:id="329986702">
      <w:bodyDiv w:val="1"/>
      <w:marLeft w:val="0"/>
      <w:marRight w:val="0"/>
      <w:marTop w:val="0"/>
      <w:marBottom w:val="0"/>
      <w:divBdr>
        <w:top w:val="none" w:sz="0" w:space="0" w:color="auto"/>
        <w:left w:val="none" w:sz="0" w:space="0" w:color="auto"/>
        <w:bottom w:val="none" w:sz="0" w:space="0" w:color="auto"/>
        <w:right w:val="none" w:sz="0" w:space="0" w:color="auto"/>
      </w:divBdr>
    </w:div>
    <w:div w:id="331876792">
      <w:bodyDiv w:val="1"/>
      <w:marLeft w:val="0"/>
      <w:marRight w:val="0"/>
      <w:marTop w:val="0"/>
      <w:marBottom w:val="0"/>
      <w:divBdr>
        <w:top w:val="none" w:sz="0" w:space="0" w:color="auto"/>
        <w:left w:val="none" w:sz="0" w:space="0" w:color="auto"/>
        <w:bottom w:val="none" w:sz="0" w:space="0" w:color="auto"/>
        <w:right w:val="none" w:sz="0" w:space="0" w:color="auto"/>
      </w:divBdr>
    </w:div>
    <w:div w:id="339162557">
      <w:bodyDiv w:val="1"/>
      <w:marLeft w:val="0"/>
      <w:marRight w:val="0"/>
      <w:marTop w:val="0"/>
      <w:marBottom w:val="0"/>
      <w:divBdr>
        <w:top w:val="none" w:sz="0" w:space="0" w:color="auto"/>
        <w:left w:val="none" w:sz="0" w:space="0" w:color="auto"/>
        <w:bottom w:val="none" w:sz="0" w:space="0" w:color="auto"/>
        <w:right w:val="none" w:sz="0" w:space="0" w:color="auto"/>
      </w:divBdr>
    </w:div>
    <w:div w:id="376979108">
      <w:bodyDiv w:val="1"/>
      <w:marLeft w:val="0"/>
      <w:marRight w:val="0"/>
      <w:marTop w:val="0"/>
      <w:marBottom w:val="0"/>
      <w:divBdr>
        <w:top w:val="none" w:sz="0" w:space="0" w:color="auto"/>
        <w:left w:val="none" w:sz="0" w:space="0" w:color="auto"/>
        <w:bottom w:val="none" w:sz="0" w:space="0" w:color="auto"/>
        <w:right w:val="none" w:sz="0" w:space="0" w:color="auto"/>
      </w:divBdr>
    </w:div>
    <w:div w:id="398787340">
      <w:bodyDiv w:val="1"/>
      <w:marLeft w:val="0"/>
      <w:marRight w:val="0"/>
      <w:marTop w:val="0"/>
      <w:marBottom w:val="0"/>
      <w:divBdr>
        <w:top w:val="none" w:sz="0" w:space="0" w:color="auto"/>
        <w:left w:val="none" w:sz="0" w:space="0" w:color="auto"/>
        <w:bottom w:val="none" w:sz="0" w:space="0" w:color="auto"/>
        <w:right w:val="none" w:sz="0" w:space="0" w:color="auto"/>
      </w:divBdr>
    </w:div>
    <w:div w:id="466171659">
      <w:bodyDiv w:val="1"/>
      <w:marLeft w:val="0"/>
      <w:marRight w:val="0"/>
      <w:marTop w:val="0"/>
      <w:marBottom w:val="0"/>
      <w:divBdr>
        <w:top w:val="none" w:sz="0" w:space="0" w:color="auto"/>
        <w:left w:val="none" w:sz="0" w:space="0" w:color="auto"/>
        <w:bottom w:val="none" w:sz="0" w:space="0" w:color="auto"/>
        <w:right w:val="none" w:sz="0" w:space="0" w:color="auto"/>
      </w:divBdr>
    </w:div>
    <w:div w:id="476923566">
      <w:bodyDiv w:val="1"/>
      <w:marLeft w:val="0"/>
      <w:marRight w:val="0"/>
      <w:marTop w:val="0"/>
      <w:marBottom w:val="0"/>
      <w:divBdr>
        <w:top w:val="none" w:sz="0" w:space="0" w:color="auto"/>
        <w:left w:val="none" w:sz="0" w:space="0" w:color="auto"/>
        <w:bottom w:val="none" w:sz="0" w:space="0" w:color="auto"/>
        <w:right w:val="none" w:sz="0" w:space="0" w:color="auto"/>
      </w:divBdr>
    </w:div>
    <w:div w:id="524943574">
      <w:bodyDiv w:val="1"/>
      <w:marLeft w:val="0"/>
      <w:marRight w:val="0"/>
      <w:marTop w:val="0"/>
      <w:marBottom w:val="0"/>
      <w:divBdr>
        <w:top w:val="none" w:sz="0" w:space="0" w:color="auto"/>
        <w:left w:val="none" w:sz="0" w:space="0" w:color="auto"/>
        <w:bottom w:val="none" w:sz="0" w:space="0" w:color="auto"/>
        <w:right w:val="none" w:sz="0" w:space="0" w:color="auto"/>
      </w:divBdr>
    </w:div>
    <w:div w:id="551117861">
      <w:bodyDiv w:val="1"/>
      <w:marLeft w:val="0"/>
      <w:marRight w:val="0"/>
      <w:marTop w:val="0"/>
      <w:marBottom w:val="0"/>
      <w:divBdr>
        <w:top w:val="none" w:sz="0" w:space="0" w:color="auto"/>
        <w:left w:val="none" w:sz="0" w:space="0" w:color="auto"/>
        <w:bottom w:val="none" w:sz="0" w:space="0" w:color="auto"/>
        <w:right w:val="none" w:sz="0" w:space="0" w:color="auto"/>
      </w:divBdr>
    </w:div>
    <w:div w:id="589975052">
      <w:bodyDiv w:val="1"/>
      <w:marLeft w:val="0"/>
      <w:marRight w:val="0"/>
      <w:marTop w:val="0"/>
      <w:marBottom w:val="0"/>
      <w:divBdr>
        <w:top w:val="none" w:sz="0" w:space="0" w:color="auto"/>
        <w:left w:val="none" w:sz="0" w:space="0" w:color="auto"/>
        <w:bottom w:val="none" w:sz="0" w:space="0" w:color="auto"/>
        <w:right w:val="none" w:sz="0" w:space="0" w:color="auto"/>
      </w:divBdr>
    </w:div>
    <w:div w:id="653996722">
      <w:bodyDiv w:val="1"/>
      <w:marLeft w:val="0"/>
      <w:marRight w:val="0"/>
      <w:marTop w:val="0"/>
      <w:marBottom w:val="0"/>
      <w:divBdr>
        <w:top w:val="none" w:sz="0" w:space="0" w:color="auto"/>
        <w:left w:val="none" w:sz="0" w:space="0" w:color="auto"/>
        <w:bottom w:val="none" w:sz="0" w:space="0" w:color="auto"/>
        <w:right w:val="none" w:sz="0" w:space="0" w:color="auto"/>
      </w:divBdr>
    </w:div>
    <w:div w:id="682779426">
      <w:bodyDiv w:val="1"/>
      <w:marLeft w:val="0"/>
      <w:marRight w:val="0"/>
      <w:marTop w:val="0"/>
      <w:marBottom w:val="0"/>
      <w:divBdr>
        <w:top w:val="none" w:sz="0" w:space="0" w:color="auto"/>
        <w:left w:val="none" w:sz="0" w:space="0" w:color="auto"/>
        <w:bottom w:val="none" w:sz="0" w:space="0" w:color="auto"/>
        <w:right w:val="none" w:sz="0" w:space="0" w:color="auto"/>
      </w:divBdr>
    </w:div>
    <w:div w:id="841702571">
      <w:bodyDiv w:val="1"/>
      <w:marLeft w:val="0"/>
      <w:marRight w:val="0"/>
      <w:marTop w:val="0"/>
      <w:marBottom w:val="0"/>
      <w:divBdr>
        <w:top w:val="none" w:sz="0" w:space="0" w:color="auto"/>
        <w:left w:val="none" w:sz="0" w:space="0" w:color="auto"/>
        <w:bottom w:val="none" w:sz="0" w:space="0" w:color="auto"/>
        <w:right w:val="none" w:sz="0" w:space="0" w:color="auto"/>
      </w:divBdr>
    </w:div>
    <w:div w:id="875318525">
      <w:bodyDiv w:val="1"/>
      <w:marLeft w:val="0"/>
      <w:marRight w:val="0"/>
      <w:marTop w:val="0"/>
      <w:marBottom w:val="0"/>
      <w:divBdr>
        <w:top w:val="none" w:sz="0" w:space="0" w:color="auto"/>
        <w:left w:val="none" w:sz="0" w:space="0" w:color="auto"/>
        <w:bottom w:val="none" w:sz="0" w:space="0" w:color="auto"/>
        <w:right w:val="none" w:sz="0" w:space="0" w:color="auto"/>
      </w:divBdr>
    </w:div>
    <w:div w:id="916017992">
      <w:bodyDiv w:val="1"/>
      <w:marLeft w:val="0"/>
      <w:marRight w:val="0"/>
      <w:marTop w:val="0"/>
      <w:marBottom w:val="0"/>
      <w:divBdr>
        <w:top w:val="none" w:sz="0" w:space="0" w:color="auto"/>
        <w:left w:val="none" w:sz="0" w:space="0" w:color="auto"/>
        <w:bottom w:val="none" w:sz="0" w:space="0" w:color="auto"/>
        <w:right w:val="none" w:sz="0" w:space="0" w:color="auto"/>
      </w:divBdr>
    </w:div>
    <w:div w:id="939097903">
      <w:bodyDiv w:val="1"/>
      <w:marLeft w:val="0"/>
      <w:marRight w:val="0"/>
      <w:marTop w:val="0"/>
      <w:marBottom w:val="0"/>
      <w:divBdr>
        <w:top w:val="none" w:sz="0" w:space="0" w:color="auto"/>
        <w:left w:val="none" w:sz="0" w:space="0" w:color="auto"/>
        <w:bottom w:val="none" w:sz="0" w:space="0" w:color="auto"/>
        <w:right w:val="none" w:sz="0" w:space="0" w:color="auto"/>
      </w:divBdr>
    </w:div>
    <w:div w:id="953099381">
      <w:bodyDiv w:val="1"/>
      <w:marLeft w:val="0"/>
      <w:marRight w:val="0"/>
      <w:marTop w:val="0"/>
      <w:marBottom w:val="0"/>
      <w:divBdr>
        <w:top w:val="none" w:sz="0" w:space="0" w:color="auto"/>
        <w:left w:val="none" w:sz="0" w:space="0" w:color="auto"/>
        <w:bottom w:val="none" w:sz="0" w:space="0" w:color="auto"/>
        <w:right w:val="none" w:sz="0" w:space="0" w:color="auto"/>
      </w:divBdr>
    </w:div>
    <w:div w:id="978194258">
      <w:bodyDiv w:val="1"/>
      <w:marLeft w:val="0"/>
      <w:marRight w:val="0"/>
      <w:marTop w:val="0"/>
      <w:marBottom w:val="0"/>
      <w:divBdr>
        <w:top w:val="none" w:sz="0" w:space="0" w:color="auto"/>
        <w:left w:val="none" w:sz="0" w:space="0" w:color="auto"/>
        <w:bottom w:val="none" w:sz="0" w:space="0" w:color="auto"/>
        <w:right w:val="none" w:sz="0" w:space="0" w:color="auto"/>
      </w:divBdr>
    </w:div>
    <w:div w:id="1065952623">
      <w:bodyDiv w:val="1"/>
      <w:marLeft w:val="0"/>
      <w:marRight w:val="0"/>
      <w:marTop w:val="0"/>
      <w:marBottom w:val="0"/>
      <w:divBdr>
        <w:top w:val="none" w:sz="0" w:space="0" w:color="auto"/>
        <w:left w:val="none" w:sz="0" w:space="0" w:color="auto"/>
        <w:bottom w:val="none" w:sz="0" w:space="0" w:color="auto"/>
        <w:right w:val="none" w:sz="0" w:space="0" w:color="auto"/>
      </w:divBdr>
    </w:div>
    <w:div w:id="1071345811">
      <w:bodyDiv w:val="1"/>
      <w:marLeft w:val="0"/>
      <w:marRight w:val="0"/>
      <w:marTop w:val="0"/>
      <w:marBottom w:val="0"/>
      <w:divBdr>
        <w:top w:val="none" w:sz="0" w:space="0" w:color="auto"/>
        <w:left w:val="none" w:sz="0" w:space="0" w:color="auto"/>
        <w:bottom w:val="none" w:sz="0" w:space="0" w:color="auto"/>
        <w:right w:val="none" w:sz="0" w:space="0" w:color="auto"/>
      </w:divBdr>
    </w:div>
    <w:div w:id="1345205831">
      <w:bodyDiv w:val="1"/>
      <w:marLeft w:val="0"/>
      <w:marRight w:val="0"/>
      <w:marTop w:val="0"/>
      <w:marBottom w:val="0"/>
      <w:divBdr>
        <w:top w:val="none" w:sz="0" w:space="0" w:color="auto"/>
        <w:left w:val="none" w:sz="0" w:space="0" w:color="auto"/>
        <w:bottom w:val="none" w:sz="0" w:space="0" w:color="auto"/>
        <w:right w:val="none" w:sz="0" w:space="0" w:color="auto"/>
      </w:divBdr>
    </w:div>
    <w:div w:id="1651985893">
      <w:bodyDiv w:val="1"/>
      <w:marLeft w:val="0"/>
      <w:marRight w:val="0"/>
      <w:marTop w:val="0"/>
      <w:marBottom w:val="0"/>
      <w:divBdr>
        <w:top w:val="none" w:sz="0" w:space="0" w:color="auto"/>
        <w:left w:val="none" w:sz="0" w:space="0" w:color="auto"/>
        <w:bottom w:val="none" w:sz="0" w:space="0" w:color="auto"/>
        <w:right w:val="none" w:sz="0" w:space="0" w:color="auto"/>
      </w:divBdr>
    </w:div>
    <w:div w:id="1656298336">
      <w:bodyDiv w:val="1"/>
      <w:marLeft w:val="0"/>
      <w:marRight w:val="0"/>
      <w:marTop w:val="0"/>
      <w:marBottom w:val="0"/>
      <w:divBdr>
        <w:top w:val="none" w:sz="0" w:space="0" w:color="auto"/>
        <w:left w:val="none" w:sz="0" w:space="0" w:color="auto"/>
        <w:bottom w:val="none" w:sz="0" w:space="0" w:color="auto"/>
        <w:right w:val="none" w:sz="0" w:space="0" w:color="auto"/>
      </w:divBdr>
    </w:div>
    <w:div w:id="1673945434">
      <w:bodyDiv w:val="1"/>
      <w:marLeft w:val="0"/>
      <w:marRight w:val="0"/>
      <w:marTop w:val="0"/>
      <w:marBottom w:val="0"/>
      <w:divBdr>
        <w:top w:val="none" w:sz="0" w:space="0" w:color="auto"/>
        <w:left w:val="none" w:sz="0" w:space="0" w:color="auto"/>
        <w:bottom w:val="none" w:sz="0" w:space="0" w:color="auto"/>
        <w:right w:val="none" w:sz="0" w:space="0" w:color="auto"/>
      </w:divBdr>
    </w:div>
    <w:div w:id="1721589647">
      <w:bodyDiv w:val="1"/>
      <w:marLeft w:val="0"/>
      <w:marRight w:val="0"/>
      <w:marTop w:val="0"/>
      <w:marBottom w:val="0"/>
      <w:divBdr>
        <w:top w:val="none" w:sz="0" w:space="0" w:color="auto"/>
        <w:left w:val="none" w:sz="0" w:space="0" w:color="auto"/>
        <w:bottom w:val="none" w:sz="0" w:space="0" w:color="auto"/>
        <w:right w:val="none" w:sz="0" w:space="0" w:color="auto"/>
      </w:divBdr>
    </w:div>
    <w:div w:id="1875196382">
      <w:bodyDiv w:val="1"/>
      <w:marLeft w:val="0"/>
      <w:marRight w:val="0"/>
      <w:marTop w:val="0"/>
      <w:marBottom w:val="0"/>
      <w:divBdr>
        <w:top w:val="none" w:sz="0" w:space="0" w:color="auto"/>
        <w:left w:val="none" w:sz="0" w:space="0" w:color="auto"/>
        <w:bottom w:val="none" w:sz="0" w:space="0" w:color="auto"/>
        <w:right w:val="none" w:sz="0" w:space="0" w:color="auto"/>
      </w:divBdr>
    </w:div>
    <w:div w:id="2055807880">
      <w:bodyDiv w:val="1"/>
      <w:marLeft w:val="0"/>
      <w:marRight w:val="0"/>
      <w:marTop w:val="0"/>
      <w:marBottom w:val="0"/>
      <w:divBdr>
        <w:top w:val="none" w:sz="0" w:space="0" w:color="auto"/>
        <w:left w:val="none" w:sz="0" w:space="0" w:color="auto"/>
        <w:bottom w:val="none" w:sz="0" w:space="0" w:color="auto"/>
        <w:right w:val="none" w:sz="0" w:space="0" w:color="auto"/>
      </w:divBdr>
    </w:div>
    <w:div w:id="2098599701">
      <w:bodyDiv w:val="1"/>
      <w:marLeft w:val="0"/>
      <w:marRight w:val="0"/>
      <w:marTop w:val="0"/>
      <w:marBottom w:val="0"/>
      <w:divBdr>
        <w:top w:val="none" w:sz="0" w:space="0" w:color="auto"/>
        <w:left w:val="none" w:sz="0" w:space="0" w:color="auto"/>
        <w:bottom w:val="none" w:sz="0" w:space="0" w:color="auto"/>
        <w:right w:val="none" w:sz="0" w:space="0" w:color="auto"/>
      </w:divBdr>
    </w:div>
    <w:div w:id="21178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2413-15D7-437C-B501-312529AB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3692</Words>
  <Characters>24580</Characters>
  <Application>Microsoft Office Word</Application>
  <DocSecurity>0</DocSecurity>
  <Lines>204</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MICEX</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Сергей Петрович</dc:creator>
  <cp:keywords/>
  <dc:description/>
  <cp:lastModifiedBy>Криворотова Ольга Владимировна</cp:lastModifiedBy>
  <cp:revision>25</cp:revision>
  <cp:lastPrinted>2018-02-14T15:37:00Z</cp:lastPrinted>
  <dcterms:created xsi:type="dcterms:W3CDTF">2019-04-11T10:06:00Z</dcterms:created>
  <dcterms:modified xsi:type="dcterms:W3CDTF">2019-04-15T13:09:00Z</dcterms:modified>
</cp:coreProperties>
</file>