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8"/>
        <w:tblW w:w="16018" w:type="dxa"/>
        <w:tblInd w:w="-572" w:type="dxa"/>
        <w:tblLook w:val="04A0" w:firstRow="1" w:lastRow="0" w:firstColumn="1" w:lastColumn="0" w:noHBand="0" w:noVBand="1"/>
      </w:tblPr>
      <w:tblGrid>
        <w:gridCol w:w="3312"/>
        <w:gridCol w:w="3209"/>
        <w:gridCol w:w="9497"/>
      </w:tblGrid>
      <w:tr w:rsidR="00F60A3D" w:rsidRPr="002253B6" w14:paraId="4CACA77E" w14:textId="77777777" w:rsidTr="00BF433A">
        <w:trPr>
          <w:trHeight w:val="704"/>
        </w:trPr>
        <w:tc>
          <w:tcPr>
            <w:tcW w:w="3312" w:type="dxa"/>
            <w:shd w:val="clear" w:color="auto" w:fill="C0504D" w:themeFill="accent2"/>
            <w:vAlign w:val="center"/>
          </w:tcPr>
          <w:p w14:paraId="7632E0EB" w14:textId="77777777" w:rsidR="00F60A3D" w:rsidRPr="002253B6" w:rsidRDefault="00F60A3D" w:rsidP="00D42E7F">
            <w:pPr>
              <w:spacing w:before="240" w:after="240"/>
              <w:jc w:val="center"/>
              <w:rPr>
                <w:rFonts w:ascii="Arial" w:hAnsi="Arial" w:cs="Arial"/>
                <w:b/>
                <w:color w:val="000000" w:themeColor="text1"/>
                <w:sz w:val="22"/>
                <w:szCs w:val="22"/>
              </w:rPr>
            </w:pPr>
            <w:r w:rsidRPr="002253B6">
              <w:rPr>
                <w:rFonts w:ascii="Arial" w:hAnsi="Arial" w:cs="Arial"/>
                <w:b/>
                <w:color w:val="000000" w:themeColor="text1"/>
                <w:sz w:val="22"/>
                <w:szCs w:val="22"/>
              </w:rPr>
              <w:t>Изменения</w:t>
            </w:r>
          </w:p>
        </w:tc>
        <w:tc>
          <w:tcPr>
            <w:tcW w:w="3209" w:type="dxa"/>
            <w:shd w:val="clear" w:color="auto" w:fill="C0504D" w:themeFill="accent2"/>
            <w:vAlign w:val="center"/>
          </w:tcPr>
          <w:p w14:paraId="18EB9F85" w14:textId="77777777" w:rsidR="00F60A3D" w:rsidRPr="002253B6" w:rsidRDefault="00F60A3D" w:rsidP="007E40C7">
            <w:pPr>
              <w:spacing w:before="240" w:after="240"/>
              <w:ind w:right="-96"/>
              <w:jc w:val="center"/>
              <w:rPr>
                <w:rFonts w:ascii="Arial" w:hAnsi="Arial" w:cs="Arial"/>
                <w:b/>
                <w:color w:val="000000" w:themeColor="text1"/>
                <w:sz w:val="22"/>
                <w:szCs w:val="22"/>
              </w:rPr>
            </w:pPr>
            <w:r w:rsidRPr="002253B6">
              <w:rPr>
                <w:rFonts w:ascii="Arial" w:hAnsi="Arial" w:cs="Arial"/>
                <w:b/>
                <w:color w:val="000000" w:themeColor="text1"/>
                <w:sz w:val="22"/>
                <w:szCs w:val="22"/>
              </w:rPr>
              <w:t>Пункт Правил клиринга</w:t>
            </w:r>
          </w:p>
        </w:tc>
        <w:tc>
          <w:tcPr>
            <w:tcW w:w="9497" w:type="dxa"/>
            <w:shd w:val="clear" w:color="auto" w:fill="C0504D" w:themeFill="accent2"/>
            <w:vAlign w:val="center"/>
          </w:tcPr>
          <w:p w14:paraId="748DCE92" w14:textId="15F4D8BA" w:rsidR="00F60A3D" w:rsidRPr="002253B6" w:rsidRDefault="00F60A3D" w:rsidP="00BF433A">
            <w:pPr>
              <w:spacing w:before="240" w:after="240"/>
              <w:jc w:val="center"/>
              <w:rPr>
                <w:rFonts w:ascii="Arial" w:hAnsi="Arial" w:cs="Arial"/>
                <w:b/>
                <w:color w:val="000000" w:themeColor="text1"/>
                <w:sz w:val="22"/>
                <w:szCs w:val="22"/>
              </w:rPr>
            </w:pPr>
            <w:r w:rsidRPr="002253B6">
              <w:rPr>
                <w:rFonts w:ascii="Arial" w:hAnsi="Arial" w:cs="Arial"/>
                <w:b/>
                <w:color w:val="000000" w:themeColor="text1"/>
                <w:sz w:val="22"/>
                <w:szCs w:val="22"/>
              </w:rPr>
              <w:t>Описание изменений</w:t>
            </w:r>
          </w:p>
        </w:tc>
      </w:tr>
      <w:tr w:rsidR="00F60A3D" w:rsidRPr="002253B6" w14:paraId="118FBBBD" w14:textId="77777777" w:rsidTr="00F60A3D">
        <w:tc>
          <w:tcPr>
            <w:tcW w:w="3312" w:type="dxa"/>
            <w:shd w:val="clear" w:color="auto" w:fill="F2DBDB" w:themeFill="accent2" w:themeFillTint="33"/>
          </w:tcPr>
          <w:p w14:paraId="34BF08F5" w14:textId="2E22839D" w:rsidR="00F60A3D" w:rsidRPr="002253B6" w:rsidRDefault="00F60A3D" w:rsidP="00870C3C">
            <w:pPr>
              <w:pStyle w:val="af4"/>
              <w:numPr>
                <w:ilvl w:val="0"/>
                <w:numId w:val="7"/>
              </w:numPr>
              <w:spacing w:before="240"/>
              <w:ind w:left="323"/>
              <w:rPr>
                <w:rFonts w:ascii="Arial" w:hAnsi="Arial" w:cs="Arial"/>
                <w:b/>
                <w:color w:val="000000" w:themeColor="text1"/>
                <w:sz w:val="22"/>
                <w:szCs w:val="22"/>
              </w:rPr>
            </w:pPr>
            <w:r w:rsidRPr="002253B6">
              <w:rPr>
                <w:rFonts w:ascii="Arial" w:hAnsi="Arial" w:cs="Arial"/>
                <w:b/>
                <w:color w:val="000000" w:themeColor="text1"/>
                <w:sz w:val="22"/>
                <w:szCs w:val="22"/>
              </w:rPr>
              <w:t>Участие Федерального казначейства в торгах на валютном рынке</w:t>
            </w:r>
          </w:p>
        </w:tc>
        <w:tc>
          <w:tcPr>
            <w:tcW w:w="3209" w:type="dxa"/>
          </w:tcPr>
          <w:p w14:paraId="53171632" w14:textId="4C0D5BA1" w:rsidR="00F60A3D" w:rsidRPr="002253B6" w:rsidRDefault="00F60A3D" w:rsidP="002B1C4F">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t>Пункты 11.7-11.8, 12.1-12.3, 13.6. 30.19, 36.3, 38.4, подпункт 42.2.6, общей части Правил клиринга;</w:t>
            </w:r>
          </w:p>
          <w:p w14:paraId="1FC76C55" w14:textId="1CC0D452" w:rsidR="00F60A3D" w:rsidRPr="002253B6" w:rsidRDefault="00F60A3D" w:rsidP="002B1C4F">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t>Пункты 4.1, 9.7, статья 13 Правил клиринга на валютном рынке.</w:t>
            </w:r>
          </w:p>
        </w:tc>
        <w:tc>
          <w:tcPr>
            <w:tcW w:w="9497" w:type="dxa"/>
          </w:tcPr>
          <w:p w14:paraId="6E7CE58F" w14:textId="753575FC" w:rsidR="003F14B8" w:rsidRPr="002253B6" w:rsidRDefault="00F60A3D" w:rsidP="003F14B8">
            <w:pPr>
              <w:spacing w:before="240"/>
              <w:ind w:right="147"/>
              <w:jc w:val="both"/>
              <w:rPr>
                <w:rFonts w:ascii="Arial" w:hAnsi="Arial" w:cs="Arial"/>
                <w:color w:val="000000" w:themeColor="text1"/>
                <w:sz w:val="22"/>
                <w:szCs w:val="22"/>
              </w:rPr>
            </w:pPr>
            <w:r w:rsidRPr="002253B6">
              <w:rPr>
                <w:rFonts w:ascii="Arial" w:hAnsi="Arial" w:cs="Arial"/>
                <w:color w:val="000000" w:themeColor="text1"/>
                <w:sz w:val="22"/>
                <w:szCs w:val="22"/>
              </w:rPr>
              <w:t xml:space="preserve">На валютном рынке вводится новый тип Участника клиринга – Федеральное казначейство (категория – «К»). </w:t>
            </w:r>
          </w:p>
          <w:p w14:paraId="2BF9D807" w14:textId="15984087" w:rsidR="00D91659" w:rsidRPr="002253B6" w:rsidRDefault="00D91659" w:rsidP="00086E4B">
            <w:pPr>
              <w:spacing w:before="240"/>
              <w:ind w:right="147"/>
              <w:jc w:val="both"/>
              <w:rPr>
                <w:rFonts w:ascii="Arial" w:hAnsi="Arial" w:cs="Arial"/>
                <w:color w:val="000000" w:themeColor="text1"/>
                <w:sz w:val="22"/>
                <w:szCs w:val="22"/>
              </w:rPr>
            </w:pPr>
          </w:p>
        </w:tc>
      </w:tr>
      <w:tr w:rsidR="00F60A3D" w:rsidRPr="002253B6" w14:paraId="703F441F" w14:textId="77777777" w:rsidTr="00F60A3D">
        <w:tc>
          <w:tcPr>
            <w:tcW w:w="3312" w:type="dxa"/>
            <w:shd w:val="clear" w:color="auto" w:fill="F2DBDB" w:themeFill="accent2" w:themeFillTint="33"/>
          </w:tcPr>
          <w:p w14:paraId="5094B0EE" w14:textId="77777777" w:rsidR="00F60A3D" w:rsidRDefault="00F60A3D" w:rsidP="00870C3C">
            <w:pPr>
              <w:pStyle w:val="af4"/>
              <w:numPr>
                <w:ilvl w:val="0"/>
                <w:numId w:val="7"/>
              </w:numPr>
              <w:spacing w:before="240"/>
              <w:ind w:left="323" w:hanging="323"/>
              <w:rPr>
                <w:rFonts w:ascii="Arial" w:hAnsi="Arial" w:cs="Arial"/>
                <w:b/>
                <w:bCs/>
                <w:color w:val="000000" w:themeColor="text1"/>
                <w:sz w:val="22"/>
                <w:szCs w:val="22"/>
              </w:rPr>
            </w:pPr>
            <w:r w:rsidRPr="002253B6">
              <w:rPr>
                <w:rFonts w:ascii="Arial" w:hAnsi="Arial" w:cs="Arial"/>
                <w:b/>
                <w:bCs/>
                <w:color w:val="000000" w:themeColor="text1"/>
                <w:sz w:val="22"/>
                <w:szCs w:val="22"/>
              </w:rPr>
              <w:t>Поставка по фьючерсам на ценные бумаги и драгоценные металлы без двойного Обеспечения</w:t>
            </w:r>
          </w:p>
          <w:p w14:paraId="5221FA15" w14:textId="0DA1D5BF" w:rsidR="002E4F23" w:rsidRPr="002E4F23" w:rsidRDefault="002E4F23" w:rsidP="002E4F23">
            <w:pPr>
              <w:pStyle w:val="af4"/>
              <w:spacing w:before="240"/>
              <w:ind w:left="323"/>
              <w:rPr>
                <w:rFonts w:ascii="Arial" w:hAnsi="Arial" w:cs="Arial"/>
                <w:b/>
                <w:bCs/>
                <w:color w:val="FF0000"/>
                <w:sz w:val="22"/>
                <w:szCs w:val="22"/>
              </w:rPr>
            </w:pPr>
            <w:r>
              <w:rPr>
                <w:rFonts w:ascii="Arial" w:hAnsi="Arial" w:cs="Arial"/>
                <w:b/>
                <w:bCs/>
                <w:color w:val="FF0000"/>
                <w:sz w:val="22"/>
                <w:szCs w:val="22"/>
              </w:rPr>
              <w:t>О технической готовности будет сообщено дополнительно</w:t>
            </w:r>
          </w:p>
        </w:tc>
        <w:tc>
          <w:tcPr>
            <w:tcW w:w="3209" w:type="dxa"/>
          </w:tcPr>
          <w:p w14:paraId="7C83C8D9" w14:textId="69E9E80A" w:rsidR="00F60A3D" w:rsidRPr="002253B6" w:rsidRDefault="00F60A3D" w:rsidP="00497905">
            <w:pPr>
              <w:spacing w:before="240"/>
              <w:jc w:val="both"/>
              <w:rPr>
                <w:rFonts w:ascii="Arial" w:hAnsi="Arial" w:cs="Arial"/>
                <w:bCs/>
                <w:color w:val="000000" w:themeColor="text1"/>
                <w:sz w:val="22"/>
                <w:szCs w:val="22"/>
              </w:rPr>
            </w:pPr>
            <w:r w:rsidRPr="002253B6">
              <w:rPr>
                <w:rFonts w:ascii="Arial" w:hAnsi="Arial" w:cs="Arial"/>
                <w:bCs/>
                <w:color w:val="000000" w:themeColor="text1"/>
                <w:sz w:val="22"/>
                <w:szCs w:val="22"/>
              </w:rPr>
              <w:t>Пункты</w:t>
            </w:r>
            <w:r w:rsidR="002E4F23">
              <w:rPr>
                <w:rFonts w:ascii="Arial" w:hAnsi="Arial" w:cs="Arial"/>
                <w:bCs/>
                <w:color w:val="000000" w:themeColor="text1"/>
                <w:sz w:val="22"/>
                <w:szCs w:val="22"/>
              </w:rPr>
              <w:t xml:space="preserve"> 33.5, 33.9-33.11, 34.13-34.14 </w:t>
            </w:r>
            <w:r w:rsidRPr="002253B6">
              <w:rPr>
                <w:rFonts w:ascii="Arial" w:hAnsi="Arial" w:cs="Arial"/>
                <w:bCs/>
                <w:color w:val="000000" w:themeColor="text1"/>
                <w:sz w:val="22"/>
                <w:szCs w:val="22"/>
              </w:rPr>
              <w:t>Правил клиринга на срочном рынке.</w:t>
            </w:r>
          </w:p>
        </w:tc>
        <w:tc>
          <w:tcPr>
            <w:tcW w:w="9497" w:type="dxa"/>
          </w:tcPr>
          <w:p w14:paraId="4D77CA28" w14:textId="77777777" w:rsidR="002E4F23" w:rsidRDefault="00F60A3D" w:rsidP="00C4670F">
            <w:pPr>
              <w:spacing w:before="240"/>
              <w:jc w:val="both"/>
              <w:rPr>
                <w:rFonts w:ascii="Arial" w:hAnsi="Arial" w:cs="Arial"/>
                <w:sz w:val="22"/>
                <w:szCs w:val="22"/>
              </w:rPr>
            </w:pPr>
            <w:r w:rsidRPr="002253B6">
              <w:rPr>
                <w:rFonts w:ascii="Arial" w:hAnsi="Arial" w:cs="Arial"/>
                <w:sz w:val="22"/>
                <w:szCs w:val="22"/>
              </w:rPr>
              <w:t xml:space="preserve">На данный момент технология исполнения поставочных срочных контрактов построена таким образом, что от Участника клиринга в момент исполнения поставочных срочных контрактов требуется наличие обеспечения и на </w:t>
            </w:r>
            <w:r>
              <w:rPr>
                <w:rFonts w:ascii="Arial" w:hAnsi="Arial" w:cs="Arial"/>
                <w:sz w:val="22"/>
                <w:szCs w:val="22"/>
              </w:rPr>
              <w:t>с</w:t>
            </w:r>
            <w:r w:rsidRPr="002253B6">
              <w:rPr>
                <w:rFonts w:ascii="Arial" w:hAnsi="Arial" w:cs="Arial"/>
                <w:sz w:val="22"/>
                <w:szCs w:val="22"/>
              </w:rPr>
              <w:t>рочном рынке,</w:t>
            </w:r>
            <w:r>
              <w:rPr>
                <w:rFonts w:ascii="Arial" w:hAnsi="Arial" w:cs="Arial"/>
                <w:sz w:val="22"/>
                <w:szCs w:val="22"/>
              </w:rPr>
              <w:t xml:space="preserve"> и на ф</w:t>
            </w:r>
            <w:r w:rsidRPr="002253B6">
              <w:rPr>
                <w:rFonts w:ascii="Arial" w:hAnsi="Arial" w:cs="Arial"/>
                <w:sz w:val="22"/>
                <w:szCs w:val="22"/>
              </w:rPr>
              <w:t>ондовом</w:t>
            </w:r>
            <w:r>
              <w:rPr>
                <w:rFonts w:ascii="Arial" w:hAnsi="Arial" w:cs="Arial"/>
                <w:sz w:val="22"/>
                <w:szCs w:val="22"/>
              </w:rPr>
              <w:t xml:space="preserve"> </w:t>
            </w:r>
            <w:r w:rsidRPr="002253B6">
              <w:rPr>
                <w:rFonts w:ascii="Arial" w:hAnsi="Arial" w:cs="Arial"/>
                <w:sz w:val="22"/>
                <w:szCs w:val="22"/>
              </w:rPr>
              <w:t>/</w:t>
            </w:r>
            <w:r>
              <w:rPr>
                <w:rFonts w:ascii="Arial" w:hAnsi="Arial" w:cs="Arial"/>
                <w:sz w:val="22"/>
                <w:szCs w:val="22"/>
              </w:rPr>
              <w:t xml:space="preserve"> в</w:t>
            </w:r>
            <w:r w:rsidRPr="002253B6">
              <w:rPr>
                <w:rFonts w:ascii="Arial" w:hAnsi="Arial" w:cs="Arial"/>
                <w:sz w:val="22"/>
                <w:szCs w:val="22"/>
              </w:rPr>
              <w:t xml:space="preserve">алютном рынке. </w:t>
            </w:r>
          </w:p>
          <w:p w14:paraId="7B450813" w14:textId="79D73838" w:rsidR="00F60A3D" w:rsidRPr="002253B6" w:rsidRDefault="002E4F23" w:rsidP="00C4670F">
            <w:pPr>
              <w:spacing w:before="240"/>
              <w:jc w:val="both"/>
              <w:rPr>
                <w:rFonts w:ascii="Arial" w:hAnsi="Arial" w:cs="Arial"/>
                <w:sz w:val="22"/>
                <w:szCs w:val="22"/>
              </w:rPr>
            </w:pPr>
            <w:r>
              <w:rPr>
                <w:rFonts w:ascii="Arial" w:hAnsi="Arial" w:cs="Arial"/>
                <w:sz w:val="22"/>
                <w:szCs w:val="22"/>
              </w:rPr>
              <w:t>Н</w:t>
            </w:r>
            <w:r w:rsidR="00F60A3D" w:rsidRPr="002253B6">
              <w:rPr>
                <w:rFonts w:ascii="Arial" w:hAnsi="Arial" w:cs="Arial"/>
                <w:sz w:val="22"/>
                <w:szCs w:val="22"/>
              </w:rPr>
              <w:t>овой технологией</w:t>
            </w:r>
            <w:r>
              <w:rPr>
                <w:rFonts w:ascii="Arial" w:hAnsi="Arial" w:cs="Arial"/>
                <w:sz w:val="22"/>
                <w:szCs w:val="22"/>
              </w:rPr>
              <w:t xml:space="preserve"> предусмотрено</w:t>
            </w:r>
            <w:r w:rsidR="00F60A3D" w:rsidRPr="002253B6">
              <w:rPr>
                <w:rFonts w:ascii="Arial" w:hAnsi="Arial" w:cs="Arial"/>
                <w:sz w:val="22"/>
                <w:szCs w:val="22"/>
              </w:rPr>
              <w:t xml:space="preserve">, </w:t>
            </w:r>
            <w:r>
              <w:rPr>
                <w:rFonts w:ascii="Arial" w:hAnsi="Arial" w:cs="Arial"/>
                <w:sz w:val="22"/>
                <w:szCs w:val="22"/>
              </w:rPr>
              <w:t xml:space="preserve">что </w:t>
            </w:r>
            <w:r w:rsidR="00F60A3D" w:rsidRPr="002253B6">
              <w:rPr>
                <w:rFonts w:ascii="Arial" w:hAnsi="Arial" w:cs="Arial"/>
                <w:sz w:val="22"/>
                <w:szCs w:val="22"/>
              </w:rPr>
              <w:t>по Расчетным кодам Единого пула одновременно с заключением сделок в целях исполнения обязательств по поставочным с</w:t>
            </w:r>
            <w:r w:rsidR="00F60A3D" w:rsidRPr="002253B6">
              <w:rPr>
                <w:rFonts w:ascii="Arial" w:hAnsi="Arial" w:cs="Arial"/>
                <w:color w:val="000000" w:themeColor="text1"/>
                <w:sz w:val="22"/>
                <w:szCs w:val="22"/>
              </w:rPr>
              <w:t>рочным контрактам</w:t>
            </w:r>
            <w:r w:rsidR="00F60A3D" w:rsidRPr="002253B6">
              <w:rPr>
                <w:rFonts w:ascii="Arial" w:hAnsi="Arial" w:cs="Arial"/>
                <w:sz w:val="22"/>
                <w:szCs w:val="22"/>
              </w:rPr>
              <w:t xml:space="preserve"> передаются профили активов:</w:t>
            </w:r>
          </w:p>
          <w:p w14:paraId="3FCC39A2" w14:textId="31AE88C6" w:rsidR="00F60A3D" w:rsidRPr="002253B6" w:rsidRDefault="00F60A3D" w:rsidP="0063281D">
            <w:pPr>
              <w:spacing w:before="120"/>
              <w:jc w:val="both"/>
              <w:rPr>
                <w:rFonts w:ascii="Arial" w:hAnsi="Arial" w:cs="Arial"/>
                <w:color w:val="000000"/>
                <w:sz w:val="22"/>
                <w:szCs w:val="22"/>
              </w:rPr>
            </w:pPr>
            <w:r>
              <w:rPr>
                <w:rFonts w:ascii="Arial" w:hAnsi="Arial" w:cs="Arial"/>
                <w:sz w:val="22"/>
                <w:szCs w:val="22"/>
              </w:rPr>
              <w:t xml:space="preserve">- </w:t>
            </w:r>
            <w:r w:rsidRPr="002253B6">
              <w:rPr>
                <w:rFonts w:ascii="Arial" w:hAnsi="Arial" w:cs="Arial"/>
                <w:sz w:val="22"/>
                <w:szCs w:val="22"/>
              </w:rPr>
              <w:t>в клиринговой системе срочного рынка п</w:t>
            </w:r>
            <w:r w:rsidRPr="002253B6">
              <w:rPr>
                <w:rFonts w:ascii="Arial" w:hAnsi="Arial" w:cs="Arial"/>
                <w:color w:val="000000"/>
                <w:sz w:val="22"/>
                <w:szCs w:val="22"/>
              </w:rPr>
              <w:t>рофили активов, в которых Участник клиринга имеет обязательство, уменьшаются на объем указанных обязательств, профили активов, в которых Участник клиринга имеет требования</w:t>
            </w:r>
            <w:r w:rsidRPr="002253B6">
              <w:rPr>
                <w:rFonts w:ascii="Arial" w:hAnsi="Arial" w:cs="Arial"/>
                <w:color w:val="000000" w:themeColor="text1"/>
                <w:sz w:val="22"/>
                <w:szCs w:val="22"/>
              </w:rPr>
              <w:t xml:space="preserve">, </w:t>
            </w:r>
            <w:r w:rsidRPr="002253B6">
              <w:rPr>
                <w:rFonts w:ascii="Arial" w:hAnsi="Arial" w:cs="Arial"/>
                <w:color w:val="000000"/>
                <w:sz w:val="22"/>
                <w:szCs w:val="22"/>
              </w:rPr>
              <w:t>увеличиваются на объем указанных требований;</w:t>
            </w:r>
          </w:p>
          <w:p w14:paraId="41EAA5CE" w14:textId="40C31F9E" w:rsidR="00F60A3D" w:rsidRPr="002253B6" w:rsidRDefault="00F60A3D" w:rsidP="0063281D">
            <w:pPr>
              <w:spacing w:before="120"/>
              <w:jc w:val="both"/>
              <w:rPr>
                <w:rFonts w:ascii="Arial" w:hAnsi="Arial" w:cs="Arial"/>
                <w:color w:val="000000"/>
                <w:sz w:val="22"/>
                <w:szCs w:val="22"/>
              </w:rPr>
            </w:pPr>
            <w:r>
              <w:rPr>
                <w:rFonts w:ascii="Arial" w:hAnsi="Arial" w:cs="Arial"/>
                <w:color w:val="000000"/>
                <w:sz w:val="22"/>
                <w:szCs w:val="22"/>
              </w:rPr>
              <w:t xml:space="preserve">- </w:t>
            </w:r>
            <w:r w:rsidRPr="002253B6">
              <w:rPr>
                <w:rFonts w:ascii="Arial" w:hAnsi="Arial" w:cs="Arial"/>
                <w:color w:val="000000"/>
                <w:sz w:val="22"/>
                <w:szCs w:val="22"/>
              </w:rPr>
              <w:t xml:space="preserve">профили активов, учитываемые в клиринговой системе фондового/валютного рынка, изменяются противоположно изменению профилей активов в клиринговой системе срочного рынка. </w:t>
            </w:r>
          </w:p>
          <w:p w14:paraId="37460D11" w14:textId="037633A2" w:rsidR="00F60A3D" w:rsidRPr="002253B6" w:rsidRDefault="00F60A3D" w:rsidP="0063281D">
            <w:pPr>
              <w:spacing w:before="120"/>
              <w:jc w:val="both"/>
              <w:rPr>
                <w:rFonts w:ascii="Arial" w:hAnsi="Arial" w:cs="Arial"/>
                <w:sz w:val="22"/>
                <w:szCs w:val="22"/>
              </w:rPr>
            </w:pPr>
            <w:r w:rsidRPr="002253B6">
              <w:rPr>
                <w:rFonts w:ascii="Arial" w:hAnsi="Arial" w:cs="Arial"/>
                <w:color w:val="000000"/>
                <w:sz w:val="22"/>
                <w:szCs w:val="22"/>
              </w:rPr>
              <w:t>Таким образом</w:t>
            </w:r>
            <w:r>
              <w:rPr>
                <w:rFonts w:ascii="Arial" w:hAnsi="Arial" w:cs="Arial"/>
                <w:color w:val="000000"/>
                <w:sz w:val="22"/>
                <w:szCs w:val="22"/>
              </w:rPr>
              <w:t>,</w:t>
            </w:r>
            <w:r w:rsidRPr="002253B6">
              <w:rPr>
                <w:rFonts w:ascii="Arial" w:hAnsi="Arial" w:cs="Arial"/>
                <w:color w:val="000000"/>
                <w:sz w:val="22"/>
                <w:szCs w:val="22"/>
              </w:rPr>
              <w:t xml:space="preserve"> </w:t>
            </w:r>
            <w:r w:rsidRPr="002253B6">
              <w:rPr>
                <w:rFonts w:ascii="Arial" w:hAnsi="Arial" w:cs="Arial"/>
                <w:sz w:val="22"/>
                <w:szCs w:val="22"/>
              </w:rPr>
              <w:t>не требуется наличия обеспечения в двойном размере. Участник клиринга вправе выбрать способ исполнения</w:t>
            </w:r>
            <w:r>
              <w:rPr>
                <w:rFonts w:ascii="Arial" w:hAnsi="Arial" w:cs="Arial"/>
                <w:sz w:val="22"/>
                <w:szCs w:val="22"/>
              </w:rPr>
              <w:t xml:space="preserve"> поставочных срочных контрактов:</w:t>
            </w:r>
            <w:r w:rsidRPr="002253B6">
              <w:rPr>
                <w:rFonts w:ascii="Arial" w:hAnsi="Arial" w:cs="Arial"/>
                <w:sz w:val="22"/>
                <w:szCs w:val="22"/>
              </w:rPr>
              <w:t xml:space="preserve"> с использованием действующей технологии или с использованием новой технологии поставки.</w:t>
            </w:r>
          </w:p>
          <w:p w14:paraId="66BD2923" w14:textId="7FE50B45" w:rsidR="00F60A3D" w:rsidRPr="002253B6" w:rsidRDefault="00F60A3D" w:rsidP="001E6C49">
            <w:pPr>
              <w:spacing w:before="120"/>
              <w:jc w:val="both"/>
              <w:rPr>
                <w:rFonts w:ascii="Arial" w:hAnsi="Arial" w:cs="Arial"/>
                <w:sz w:val="22"/>
                <w:szCs w:val="22"/>
              </w:rPr>
            </w:pPr>
            <w:r w:rsidRPr="002253B6">
              <w:rPr>
                <w:rFonts w:ascii="Arial" w:hAnsi="Arial" w:cs="Arial"/>
                <w:color w:val="000000" w:themeColor="text1"/>
                <w:sz w:val="22"/>
                <w:szCs w:val="22"/>
              </w:rPr>
              <w:t>В Правила клиринга внесено уточнение, указывающее, что сделка купли-продажи ценных бумаг, заключаемая на фондовом рынке Московской Биржи при исполнении поставочных Срочных контрактов</w:t>
            </w:r>
            <w:r w:rsidRPr="002253B6">
              <w:rPr>
                <w:rFonts w:ascii="Arial" w:hAnsi="Arial" w:cs="Arial"/>
                <w:sz w:val="22"/>
                <w:szCs w:val="22"/>
              </w:rPr>
              <w:t xml:space="preserve"> с использованием новой технологии поставки</w:t>
            </w:r>
            <w:r w:rsidRPr="002253B6">
              <w:rPr>
                <w:rFonts w:ascii="Arial" w:hAnsi="Arial" w:cs="Arial"/>
                <w:color w:val="000000" w:themeColor="text1"/>
                <w:sz w:val="22"/>
                <w:szCs w:val="22"/>
              </w:rPr>
              <w:t xml:space="preserve">, имеет код расчетов </w:t>
            </w:r>
            <w:proofErr w:type="spellStart"/>
            <w:r w:rsidRPr="002253B6">
              <w:rPr>
                <w:rFonts w:ascii="Arial" w:hAnsi="Arial" w:cs="Arial"/>
                <w:color w:val="000000" w:themeColor="text1"/>
                <w:sz w:val="22"/>
                <w:szCs w:val="22"/>
                <w:lang w:val="en-US"/>
              </w:rPr>
              <w:t>Nn</w:t>
            </w:r>
            <w:proofErr w:type="spellEnd"/>
            <w:r>
              <w:rPr>
                <w:rFonts w:ascii="Arial" w:hAnsi="Arial" w:cs="Arial"/>
                <w:color w:val="000000" w:themeColor="text1"/>
                <w:sz w:val="22"/>
                <w:szCs w:val="22"/>
              </w:rPr>
              <w:t>.</w:t>
            </w:r>
          </w:p>
        </w:tc>
      </w:tr>
      <w:tr w:rsidR="00F60A3D" w:rsidRPr="002253B6" w14:paraId="1A189BC3" w14:textId="77777777" w:rsidTr="00F60A3D">
        <w:tc>
          <w:tcPr>
            <w:tcW w:w="3312" w:type="dxa"/>
            <w:shd w:val="clear" w:color="auto" w:fill="F2DBDB" w:themeFill="accent2" w:themeFillTint="33"/>
          </w:tcPr>
          <w:p w14:paraId="27494819" w14:textId="77777777" w:rsidR="00F60A3D" w:rsidRPr="002253B6" w:rsidRDefault="00F60A3D" w:rsidP="00870C3C">
            <w:pPr>
              <w:pStyle w:val="af4"/>
              <w:numPr>
                <w:ilvl w:val="0"/>
                <w:numId w:val="7"/>
              </w:numPr>
              <w:spacing w:before="240"/>
              <w:ind w:left="323"/>
              <w:rPr>
                <w:rFonts w:ascii="Arial" w:hAnsi="Arial" w:cs="Arial"/>
                <w:b/>
                <w:color w:val="000000" w:themeColor="text1"/>
                <w:sz w:val="22"/>
                <w:szCs w:val="22"/>
              </w:rPr>
            </w:pPr>
            <w:r w:rsidRPr="002253B6">
              <w:rPr>
                <w:rFonts w:ascii="Arial" w:hAnsi="Arial" w:cs="Arial"/>
                <w:b/>
                <w:color w:val="000000" w:themeColor="text1"/>
                <w:sz w:val="22"/>
                <w:szCs w:val="22"/>
              </w:rPr>
              <w:lastRenderedPageBreak/>
              <w:t xml:space="preserve">Изменения в порядок ликвидационного </w:t>
            </w:r>
            <w:proofErr w:type="spellStart"/>
            <w:r w:rsidRPr="002253B6">
              <w:rPr>
                <w:rFonts w:ascii="Arial" w:hAnsi="Arial" w:cs="Arial"/>
                <w:b/>
                <w:color w:val="000000" w:themeColor="text1"/>
                <w:sz w:val="22"/>
                <w:szCs w:val="22"/>
              </w:rPr>
              <w:t>неттинга</w:t>
            </w:r>
            <w:proofErr w:type="spellEnd"/>
          </w:p>
          <w:p w14:paraId="71C631CA" w14:textId="07B4345B" w:rsidR="00F60A3D" w:rsidRPr="002253B6" w:rsidRDefault="00F60A3D" w:rsidP="00EF0F3D">
            <w:pPr>
              <w:spacing w:before="240"/>
              <w:ind w:left="360"/>
              <w:rPr>
                <w:rFonts w:ascii="Arial" w:hAnsi="Arial" w:cs="Arial"/>
                <w:b/>
                <w:color w:val="000000" w:themeColor="text1"/>
                <w:sz w:val="22"/>
                <w:szCs w:val="22"/>
              </w:rPr>
            </w:pPr>
          </w:p>
        </w:tc>
        <w:tc>
          <w:tcPr>
            <w:tcW w:w="3209" w:type="dxa"/>
          </w:tcPr>
          <w:p w14:paraId="5B4BC74A" w14:textId="2992C235" w:rsidR="00F60A3D" w:rsidRPr="002253B6" w:rsidRDefault="00F60A3D" w:rsidP="002B1C4F">
            <w:pPr>
              <w:spacing w:before="240"/>
              <w:rPr>
                <w:rFonts w:ascii="Arial" w:hAnsi="Arial" w:cs="Arial"/>
                <w:bCs/>
                <w:color w:val="000000" w:themeColor="text1"/>
                <w:sz w:val="22"/>
                <w:szCs w:val="22"/>
              </w:rPr>
            </w:pPr>
            <w:r w:rsidRPr="002253B6">
              <w:rPr>
                <w:rFonts w:ascii="Arial" w:hAnsi="Arial" w:cs="Arial"/>
                <w:bCs/>
                <w:color w:val="000000" w:themeColor="text1"/>
                <w:sz w:val="22"/>
                <w:szCs w:val="22"/>
              </w:rPr>
              <w:t>Пункты 55.11, 55.12, 55.13, 55.14, 55.15, подпункты 55.15.1, 56.5.1, 56.5.3-56.5.9, пункт 56.8 общей части Правил клиринга.</w:t>
            </w:r>
          </w:p>
          <w:p w14:paraId="33AF154A" w14:textId="5D7BDE1E" w:rsidR="00F60A3D" w:rsidRPr="002253B6" w:rsidRDefault="00F60A3D" w:rsidP="002B1C4F">
            <w:pPr>
              <w:spacing w:before="240"/>
              <w:rPr>
                <w:rFonts w:ascii="Arial" w:hAnsi="Arial" w:cs="Arial"/>
                <w:bCs/>
                <w:color w:val="000000" w:themeColor="text1"/>
                <w:sz w:val="22"/>
                <w:szCs w:val="22"/>
              </w:rPr>
            </w:pPr>
            <w:r w:rsidRPr="002253B6">
              <w:rPr>
                <w:rFonts w:ascii="Arial" w:hAnsi="Arial" w:cs="Arial"/>
                <w:bCs/>
                <w:color w:val="000000" w:themeColor="text1"/>
                <w:sz w:val="22"/>
                <w:szCs w:val="22"/>
              </w:rPr>
              <w:t>Подпункты 55.11.4, 55.11.5, 55.11.6, 55.11.7, 56.5.4, 56.5.5, 56.5.7, пункты г, д подпункта 57.4.3 общей части Правил клиринга.</w:t>
            </w:r>
          </w:p>
          <w:p w14:paraId="5B70F73C" w14:textId="73068169" w:rsidR="00F60A3D" w:rsidRPr="002253B6" w:rsidRDefault="00F60A3D" w:rsidP="002B1C4F">
            <w:pPr>
              <w:spacing w:before="240"/>
              <w:rPr>
                <w:rFonts w:ascii="Arial" w:hAnsi="Arial" w:cs="Arial"/>
                <w:bCs/>
                <w:color w:val="000000" w:themeColor="text1"/>
                <w:sz w:val="22"/>
                <w:szCs w:val="22"/>
              </w:rPr>
            </w:pPr>
            <w:r w:rsidRPr="002253B6">
              <w:rPr>
                <w:rFonts w:ascii="Arial" w:hAnsi="Arial" w:cs="Arial"/>
                <w:bCs/>
                <w:color w:val="000000" w:themeColor="text1"/>
                <w:sz w:val="22"/>
                <w:szCs w:val="22"/>
              </w:rPr>
              <w:t>Пункт 55.3, 55.10, 56.1, подпункты 56.4.3, 57.4.3 общей части Правил клиринга.</w:t>
            </w:r>
          </w:p>
        </w:tc>
        <w:tc>
          <w:tcPr>
            <w:tcW w:w="9497" w:type="dxa"/>
          </w:tcPr>
          <w:p w14:paraId="3E1B4907" w14:textId="77777777" w:rsidR="00F60A3D" w:rsidRDefault="00F60A3D" w:rsidP="00870C3C">
            <w:pPr>
              <w:pStyle w:val="af4"/>
              <w:numPr>
                <w:ilvl w:val="0"/>
                <w:numId w:val="10"/>
              </w:numPr>
              <w:tabs>
                <w:tab w:val="left" w:pos="390"/>
              </w:tabs>
              <w:spacing w:before="240"/>
              <w:ind w:left="0" w:firstLine="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В порядок расчета нетто-обязательства / нетто-требования в ходе ликвидационного </w:t>
            </w:r>
            <w:proofErr w:type="spellStart"/>
            <w:r w:rsidRPr="002253B6">
              <w:rPr>
                <w:rFonts w:ascii="Arial" w:hAnsi="Arial" w:cs="Arial"/>
                <w:color w:val="000000" w:themeColor="text1"/>
                <w:sz w:val="22"/>
                <w:szCs w:val="22"/>
              </w:rPr>
              <w:t>неттинга</w:t>
            </w:r>
            <w:proofErr w:type="spellEnd"/>
            <w:r w:rsidRPr="002253B6">
              <w:rPr>
                <w:rFonts w:ascii="Arial" w:hAnsi="Arial" w:cs="Arial"/>
                <w:color w:val="000000" w:themeColor="text1"/>
                <w:sz w:val="22"/>
                <w:szCs w:val="22"/>
              </w:rPr>
              <w:t xml:space="preserve"> внесены изменения, позволяющие учитывать «покрытые продажи»: если у участника клиринга есть нетто-обязательство в определенном активе и такой актив, то, в первую очередь, при расчете такое нетто-обязательство «зачитывается» с таким активом, далее расчет продолжается в соответствии с действующим порядком.</w:t>
            </w:r>
          </w:p>
          <w:p w14:paraId="0D07542C" w14:textId="6663D151" w:rsidR="00F60A3D" w:rsidRPr="00362958" w:rsidRDefault="00F60A3D" w:rsidP="00362958">
            <w:pPr>
              <w:pStyle w:val="af4"/>
              <w:numPr>
                <w:ilvl w:val="0"/>
                <w:numId w:val="10"/>
              </w:numPr>
              <w:tabs>
                <w:tab w:val="left" w:pos="390"/>
              </w:tabs>
              <w:spacing w:before="120"/>
              <w:ind w:left="0" w:firstLine="0"/>
              <w:jc w:val="both"/>
              <w:rPr>
                <w:rFonts w:ascii="Arial" w:hAnsi="Arial" w:cs="Arial"/>
                <w:color w:val="000000" w:themeColor="text1"/>
                <w:sz w:val="22"/>
                <w:szCs w:val="22"/>
              </w:rPr>
            </w:pPr>
            <w:r w:rsidRPr="00686CA6">
              <w:rPr>
                <w:rFonts w:ascii="Arial" w:hAnsi="Arial" w:cs="Arial"/>
                <w:color w:val="000000" w:themeColor="text1"/>
                <w:sz w:val="22"/>
                <w:szCs w:val="22"/>
              </w:rPr>
              <w:t xml:space="preserve">Определены особенности ликвидационного </w:t>
            </w:r>
            <w:proofErr w:type="spellStart"/>
            <w:r w:rsidRPr="00686CA6">
              <w:rPr>
                <w:rFonts w:ascii="Arial" w:hAnsi="Arial" w:cs="Arial"/>
                <w:color w:val="000000" w:themeColor="text1"/>
                <w:sz w:val="22"/>
                <w:szCs w:val="22"/>
              </w:rPr>
              <w:t>неттинга</w:t>
            </w:r>
            <w:proofErr w:type="spellEnd"/>
            <w:r w:rsidRPr="00686CA6">
              <w:rPr>
                <w:rFonts w:ascii="Arial" w:hAnsi="Arial" w:cs="Arial"/>
                <w:color w:val="000000" w:themeColor="text1"/>
                <w:sz w:val="22"/>
                <w:szCs w:val="22"/>
              </w:rPr>
              <w:t xml:space="preserve"> по депозитам с ЦК: сумма депозита, включаемая в расчет нетто-обязательства / нетто-требования</w:t>
            </w:r>
            <w:r>
              <w:rPr>
                <w:rFonts w:ascii="Arial" w:hAnsi="Arial" w:cs="Arial"/>
                <w:color w:val="000000" w:themeColor="text1"/>
                <w:sz w:val="22"/>
                <w:szCs w:val="22"/>
              </w:rPr>
              <w:t>,</w:t>
            </w:r>
            <w:r w:rsidRPr="00686CA6">
              <w:rPr>
                <w:rFonts w:ascii="Arial" w:hAnsi="Arial" w:cs="Arial"/>
                <w:color w:val="000000" w:themeColor="text1"/>
                <w:sz w:val="22"/>
                <w:szCs w:val="22"/>
              </w:rPr>
              <w:t xml:space="preserve"> рассчитывается исходя</w:t>
            </w:r>
            <w:r w:rsidR="00362958">
              <w:rPr>
                <w:rFonts w:ascii="Arial" w:hAnsi="Arial" w:cs="Arial"/>
                <w:color w:val="000000" w:themeColor="text1"/>
                <w:sz w:val="22"/>
                <w:szCs w:val="22"/>
              </w:rPr>
              <w:t xml:space="preserve"> из фактического срока депозита</w:t>
            </w:r>
            <w:r w:rsidRPr="00686CA6">
              <w:rPr>
                <w:rFonts w:ascii="Arial" w:hAnsi="Arial" w:cs="Arial"/>
                <w:color w:val="000000" w:themeColor="text1"/>
                <w:sz w:val="22"/>
                <w:szCs w:val="22"/>
              </w:rPr>
              <w:t xml:space="preserve"> </w:t>
            </w:r>
            <w:r w:rsidR="00362958" w:rsidRPr="00362958">
              <w:rPr>
                <w:rFonts w:ascii="Arial" w:hAnsi="Arial" w:cs="Arial"/>
                <w:color w:val="000000" w:themeColor="text1"/>
                <w:sz w:val="22"/>
                <w:szCs w:val="22"/>
              </w:rPr>
              <w:t>с учетом суммы про</w:t>
            </w:r>
            <w:r w:rsidR="00362958">
              <w:rPr>
                <w:rFonts w:ascii="Arial" w:hAnsi="Arial" w:cs="Arial"/>
                <w:color w:val="000000" w:themeColor="text1"/>
                <w:sz w:val="22"/>
                <w:szCs w:val="22"/>
              </w:rPr>
              <w:t>центов по балансирующим сделкам</w:t>
            </w:r>
            <w:r w:rsidRPr="00362958">
              <w:rPr>
                <w:rFonts w:ascii="Arial" w:hAnsi="Arial" w:cs="Arial"/>
                <w:color w:val="000000" w:themeColor="text1"/>
                <w:sz w:val="22"/>
                <w:szCs w:val="22"/>
              </w:rPr>
              <w:t>.</w:t>
            </w:r>
          </w:p>
          <w:p w14:paraId="2DDFA84C" w14:textId="055CB33A" w:rsidR="00F60A3D" w:rsidRPr="00686CA6" w:rsidRDefault="00F60A3D" w:rsidP="00870C3C">
            <w:pPr>
              <w:pStyle w:val="af4"/>
              <w:numPr>
                <w:ilvl w:val="0"/>
                <w:numId w:val="10"/>
              </w:numPr>
              <w:tabs>
                <w:tab w:val="left" w:pos="390"/>
              </w:tabs>
              <w:spacing w:before="120"/>
              <w:ind w:left="0" w:firstLine="0"/>
              <w:jc w:val="both"/>
              <w:rPr>
                <w:rFonts w:ascii="Arial" w:hAnsi="Arial" w:cs="Arial"/>
                <w:color w:val="000000" w:themeColor="text1"/>
                <w:sz w:val="22"/>
                <w:szCs w:val="22"/>
              </w:rPr>
            </w:pPr>
            <w:r w:rsidRPr="00686CA6">
              <w:rPr>
                <w:rFonts w:ascii="Arial" w:hAnsi="Arial" w:cs="Arial"/>
                <w:color w:val="000000" w:themeColor="text1"/>
                <w:sz w:val="22"/>
                <w:szCs w:val="22"/>
              </w:rPr>
              <w:t xml:space="preserve">Внесены изменения в целях установления единообразного подхода к основаниям проведения ликвидационного </w:t>
            </w:r>
            <w:proofErr w:type="spellStart"/>
            <w:r w:rsidRPr="00686CA6">
              <w:rPr>
                <w:rFonts w:ascii="Arial" w:hAnsi="Arial" w:cs="Arial"/>
                <w:color w:val="000000" w:themeColor="text1"/>
                <w:sz w:val="22"/>
                <w:szCs w:val="22"/>
              </w:rPr>
              <w:t>неттинга</w:t>
            </w:r>
            <w:proofErr w:type="spellEnd"/>
            <w:r w:rsidRPr="00686CA6">
              <w:rPr>
                <w:rFonts w:ascii="Arial" w:hAnsi="Arial" w:cs="Arial"/>
                <w:color w:val="000000" w:themeColor="text1"/>
                <w:sz w:val="22"/>
                <w:szCs w:val="22"/>
              </w:rPr>
              <w:t xml:space="preserve"> по обязательствам, возникающим на биржевом и внебиржевом рынках. Данные изменения внесены, в том числе по рекомендации представительства международной юридической фирмы </w:t>
            </w:r>
            <w:proofErr w:type="spellStart"/>
            <w:r w:rsidRPr="00686CA6">
              <w:rPr>
                <w:rFonts w:ascii="Arial" w:hAnsi="Arial" w:cs="Arial"/>
                <w:color w:val="000000" w:themeColor="text1"/>
                <w:sz w:val="22"/>
                <w:szCs w:val="22"/>
              </w:rPr>
              <w:t>Сlifford</w:t>
            </w:r>
            <w:proofErr w:type="spellEnd"/>
            <w:r w:rsidRPr="00686CA6">
              <w:rPr>
                <w:rFonts w:ascii="Arial" w:hAnsi="Arial" w:cs="Arial"/>
                <w:color w:val="000000" w:themeColor="text1"/>
                <w:sz w:val="22"/>
                <w:szCs w:val="22"/>
              </w:rPr>
              <w:t xml:space="preserve"> </w:t>
            </w:r>
            <w:proofErr w:type="spellStart"/>
            <w:r w:rsidRPr="00686CA6">
              <w:rPr>
                <w:rFonts w:ascii="Arial" w:hAnsi="Arial" w:cs="Arial"/>
                <w:color w:val="000000" w:themeColor="text1"/>
                <w:sz w:val="22"/>
                <w:szCs w:val="22"/>
              </w:rPr>
              <w:t>Сhance</w:t>
            </w:r>
            <w:proofErr w:type="spellEnd"/>
            <w:r w:rsidRPr="00686CA6">
              <w:rPr>
                <w:rFonts w:ascii="Arial" w:hAnsi="Arial" w:cs="Arial"/>
                <w:color w:val="000000" w:themeColor="text1"/>
                <w:sz w:val="22"/>
                <w:szCs w:val="22"/>
              </w:rPr>
              <w:t xml:space="preserve">. Так, в качестве безусловного основания для проведения ликвидационного </w:t>
            </w:r>
            <w:proofErr w:type="spellStart"/>
            <w:r w:rsidRPr="00686CA6">
              <w:rPr>
                <w:rFonts w:ascii="Arial" w:hAnsi="Arial" w:cs="Arial"/>
                <w:color w:val="000000" w:themeColor="text1"/>
                <w:sz w:val="22"/>
                <w:szCs w:val="22"/>
              </w:rPr>
              <w:t>неттинга</w:t>
            </w:r>
            <w:proofErr w:type="spellEnd"/>
            <w:r w:rsidRPr="00686CA6">
              <w:rPr>
                <w:rFonts w:ascii="Arial" w:hAnsi="Arial" w:cs="Arial"/>
                <w:color w:val="000000" w:themeColor="text1"/>
                <w:sz w:val="22"/>
                <w:szCs w:val="22"/>
              </w:rPr>
              <w:t xml:space="preserve"> в отношении участника клиринга определено введение моратория на удовлетворение требований кредиторов по денежным обязательствам.</w:t>
            </w:r>
          </w:p>
        </w:tc>
      </w:tr>
      <w:tr w:rsidR="00F60A3D" w:rsidRPr="002253B6" w14:paraId="05DB4323" w14:textId="77777777" w:rsidTr="00F60A3D">
        <w:tc>
          <w:tcPr>
            <w:tcW w:w="3312" w:type="dxa"/>
            <w:shd w:val="clear" w:color="auto" w:fill="F2DBDB" w:themeFill="accent2" w:themeFillTint="33"/>
          </w:tcPr>
          <w:p w14:paraId="07BDBA8B" w14:textId="7931D0E9" w:rsidR="00F60A3D" w:rsidRPr="002253B6" w:rsidRDefault="00F60A3D" w:rsidP="00870C3C">
            <w:pPr>
              <w:pStyle w:val="af4"/>
              <w:numPr>
                <w:ilvl w:val="0"/>
                <w:numId w:val="7"/>
              </w:numPr>
              <w:spacing w:before="240"/>
              <w:ind w:left="323" w:hanging="323"/>
              <w:rPr>
                <w:rFonts w:ascii="Arial" w:hAnsi="Arial" w:cs="Arial"/>
                <w:b/>
                <w:color w:val="000000" w:themeColor="text1"/>
                <w:sz w:val="22"/>
                <w:szCs w:val="22"/>
              </w:rPr>
            </w:pPr>
            <w:r w:rsidRPr="002253B6">
              <w:rPr>
                <w:rFonts w:ascii="Arial" w:hAnsi="Arial" w:cs="Arial"/>
                <w:b/>
                <w:color w:val="000000" w:themeColor="text1"/>
                <w:sz w:val="22"/>
                <w:szCs w:val="22"/>
              </w:rPr>
              <w:t>Изменения в порядок заключения сделок, направленных на закрытие позиций Недобросовестного участника клиринга:</w:t>
            </w:r>
          </w:p>
          <w:p w14:paraId="14AA16FA" w14:textId="77777777" w:rsidR="00F60A3D" w:rsidRPr="002253B6" w:rsidRDefault="00F60A3D" w:rsidP="00992258">
            <w:pPr>
              <w:pStyle w:val="af4"/>
              <w:spacing w:before="240"/>
              <w:ind w:left="323"/>
              <w:rPr>
                <w:rFonts w:ascii="Arial" w:hAnsi="Arial" w:cs="Arial"/>
                <w:b/>
                <w:color w:val="000000" w:themeColor="text1"/>
                <w:sz w:val="22"/>
                <w:szCs w:val="22"/>
              </w:rPr>
            </w:pPr>
            <w:r w:rsidRPr="002253B6">
              <w:rPr>
                <w:rFonts w:ascii="Arial" w:hAnsi="Arial" w:cs="Arial"/>
                <w:b/>
                <w:color w:val="000000" w:themeColor="text1"/>
                <w:sz w:val="22"/>
                <w:szCs w:val="22"/>
              </w:rPr>
              <w:t>- сделки заключаются на основании заявок;</w:t>
            </w:r>
          </w:p>
          <w:p w14:paraId="3D1C4655" w14:textId="5C403C4D" w:rsidR="00F60A3D" w:rsidRPr="002253B6" w:rsidRDefault="00F60A3D" w:rsidP="00992258">
            <w:pPr>
              <w:pStyle w:val="af4"/>
              <w:spacing w:before="240"/>
              <w:ind w:left="323"/>
              <w:rPr>
                <w:rFonts w:ascii="Arial" w:hAnsi="Arial" w:cs="Arial"/>
                <w:b/>
                <w:color w:val="000000" w:themeColor="text1"/>
                <w:sz w:val="22"/>
                <w:szCs w:val="22"/>
              </w:rPr>
            </w:pPr>
            <w:r w:rsidRPr="002253B6">
              <w:rPr>
                <w:rFonts w:ascii="Arial" w:hAnsi="Arial" w:cs="Arial"/>
                <w:b/>
                <w:color w:val="000000" w:themeColor="text1"/>
                <w:sz w:val="22"/>
                <w:szCs w:val="22"/>
              </w:rPr>
              <w:t>- если сделка не Y0, то заключаем закрывающую сделку и продолжаем «катить» сделкой своп или РЕПО до даты исполнения закрывающей сделки.</w:t>
            </w:r>
          </w:p>
        </w:tc>
        <w:tc>
          <w:tcPr>
            <w:tcW w:w="3209" w:type="dxa"/>
          </w:tcPr>
          <w:p w14:paraId="71B441D0" w14:textId="4038B40A" w:rsidR="00F60A3D" w:rsidRPr="002253B6" w:rsidRDefault="00F60A3D" w:rsidP="00414C4B">
            <w:pPr>
              <w:spacing w:before="240"/>
              <w:rPr>
                <w:rFonts w:ascii="Arial" w:hAnsi="Arial" w:cs="Arial"/>
                <w:color w:val="000000" w:themeColor="text1"/>
                <w:sz w:val="22"/>
                <w:szCs w:val="22"/>
              </w:rPr>
            </w:pPr>
            <w:r w:rsidRPr="002253B6">
              <w:rPr>
                <w:rFonts w:ascii="Arial" w:hAnsi="Arial" w:cs="Arial"/>
                <w:color w:val="000000" w:themeColor="text1"/>
                <w:sz w:val="22"/>
                <w:szCs w:val="22"/>
              </w:rPr>
              <w:t>Пункты 26.1-26.6, пункт 26.8, подпункты 33.8.3, 33.8.4, пункты 33.10, 41.2, 41.4-41.6, подпункты 41.8.4-41.8.6, пункты 42.3- 42.5, 43.4, 43.5, 43.6, 43.7, 44.1, подпункт 44.2.1, пункт 46.1, подпункт 46.2.1, пункты 47.10, 47.11, 47.12 общей части Правил клиринга,</w:t>
            </w:r>
          </w:p>
          <w:p w14:paraId="2B4DC94A" w14:textId="1FC63069" w:rsidR="00F60A3D" w:rsidRPr="002253B6" w:rsidRDefault="00F60A3D" w:rsidP="00686CA6">
            <w:pPr>
              <w:spacing w:before="120"/>
              <w:rPr>
                <w:rFonts w:ascii="Arial" w:hAnsi="Arial" w:cs="Arial"/>
                <w:color w:val="000000" w:themeColor="text1"/>
                <w:sz w:val="22"/>
                <w:szCs w:val="22"/>
              </w:rPr>
            </w:pPr>
            <w:r w:rsidRPr="002253B6">
              <w:rPr>
                <w:rFonts w:ascii="Arial" w:hAnsi="Arial" w:cs="Arial"/>
                <w:color w:val="000000" w:themeColor="text1"/>
                <w:sz w:val="22"/>
                <w:szCs w:val="22"/>
              </w:rPr>
              <w:t>Пункты 42.1, 42.3, 43.1, 43.5 общей части, пункты 3.1, 4.1, 5.1 приложения 6 к общей части Правил клиринга.</w:t>
            </w:r>
          </w:p>
          <w:p w14:paraId="0626C719" w14:textId="25E36997" w:rsidR="00F60A3D" w:rsidRPr="002253B6" w:rsidRDefault="00F60A3D" w:rsidP="00686CA6">
            <w:pPr>
              <w:spacing w:before="120"/>
              <w:rPr>
                <w:rFonts w:ascii="Arial" w:hAnsi="Arial" w:cs="Arial"/>
                <w:color w:val="000000" w:themeColor="text1"/>
                <w:sz w:val="22"/>
                <w:szCs w:val="22"/>
              </w:rPr>
            </w:pPr>
            <w:r w:rsidRPr="002253B6">
              <w:rPr>
                <w:rFonts w:ascii="Arial" w:hAnsi="Arial" w:cs="Arial"/>
                <w:color w:val="000000" w:themeColor="text1"/>
                <w:sz w:val="22"/>
                <w:szCs w:val="22"/>
              </w:rPr>
              <w:t xml:space="preserve">Пункт 25.9, подпункты 25.9.3-25.9.4 Правил </w:t>
            </w:r>
            <w:r w:rsidRPr="002253B6">
              <w:rPr>
                <w:rFonts w:ascii="Arial" w:hAnsi="Arial" w:cs="Arial"/>
                <w:color w:val="000000" w:themeColor="text1"/>
                <w:sz w:val="22"/>
                <w:szCs w:val="22"/>
              </w:rPr>
              <w:lastRenderedPageBreak/>
              <w:t xml:space="preserve">клиринга на фондовом рынке. </w:t>
            </w:r>
          </w:p>
          <w:p w14:paraId="622FF81E" w14:textId="1A43E4D6" w:rsidR="00F60A3D" w:rsidRPr="002253B6" w:rsidRDefault="00F60A3D" w:rsidP="00686CA6">
            <w:pPr>
              <w:spacing w:before="120"/>
              <w:rPr>
                <w:rFonts w:ascii="Arial" w:hAnsi="Arial" w:cs="Arial"/>
                <w:color w:val="000000" w:themeColor="text1"/>
                <w:sz w:val="22"/>
                <w:szCs w:val="22"/>
              </w:rPr>
            </w:pPr>
            <w:r w:rsidRPr="002253B6">
              <w:rPr>
                <w:rFonts w:ascii="Arial" w:hAnsi="Arial" w:cs="Arial"/>
                <w:color w:val="000000" w:themeColor="text1"/>
                <w:sz w:val="22"/>
                <w:szCs w:val="22"/>
              </w:rPr>
              <w:t>Пункты 28.2, 28.4-28.6, 28.9 Правил клиринга на срочном рынке.</w:t>
            </w:r>
          </w:p>
          <w:p w14:paraId="51A7BA66" w14:textId="32DD86B8" w:rsidR="00F60A3D" w:rsidRPr="002253B6" w:rsidRDefault="00F60A3D" w:rsidP="00686CA6">
            <w:pPr>
              <w:spacing w:before="120"/>
              <w:rPr>
                <w:rFonts w:ascii="Arial" w:hAnsi="Arial" w:cs="Arial"/>
                <w:color w:val="000000" w:themeColor="text1"/>
                <w:sz w:val="22"/>
                <w:szCs w:val="22"/>
              </w:rPr>
            </w:pPr>
            <w:r w:rsidRPr="002253B6">
              <w:rPr>
                <w:rFonts w:ascii="Arial" w:hAnsi="Arial" w:cs="Arial"/>
                <w:color w:val="000000" w:themeColor="text1"/>
                <w:sz w:val="22"/>
                <w:szCs w:val="22"/>
              </w:rPr>
              <w:t>Пункты 16.1, 16.3, 16.5, подпункт 16.6.2, пункты 17.3-17.5, подпункт 17.9.1 Правил клиринга на товарном рынке.</w:t>
            </w:r>
          </w:p>
        </w:tc>
        <w:tc>
          <w:tcPr>
            <w:tcW w:w="9497" w:type="dxa"/>
          </w:tcPr>
          <w:p w14:paraId="660202F8" w14:textId="77777777" w:rsidR="00F60A3D" w:rsidRPr="002253B6" w:rsidRDefault="00F60A3D" w:rsidP="00FD0A71">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lastRenderedPageBreak/>
              <w:t>В соответствии с действующей редакцией Правил клиринга закрывающие сделки заключаются без подачи заявок.</w:t>
            </w:r>
          </w:p>
          <w:p w14:paraId="4488E5EA" w14:textId="356A24DB" w:rsidR="00F60A3D" w:rsidRPr="002253B6" w:rsidRDefault="00F60A3D" w:rsidP="00EA1228">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В соответствии с изменениями, внесенными в Правила клиринга, закрывающие сделки заключаются на основании заявок: НКЦ заключает закрывающую сделку </w:t>
            </w:r>
            <w:r w:rsidRPr="002253B6">
              <w:rPr>
                <w:rFonts w:ascii="Arial" w:hAnsi="Arial" w:cs="Arial"/>
                <w:sz w:val="22"/>
                <w:szCs w:val="22"/>
              </w:rPr>
              <w:t xml:space="preserve">от имени Недобросовестного участника клиринга в отношении себя лично (за исключением заключения сделок по продаже обеспечения Участника клиринга при проведении ликвидационного </w:t>
            </w:r>
            <w:proofErr w:type="spellStart"/>
            <w:r w:rsidRPr="002253B6">
              <w:rPr>
                <w:rFonts w:ascii="Arial" w:hAnsi="Arial" w:cs="Arial"/>
                <w:sz w:val="22"/>
                <w:szCs w:val="22"/>
              </w:rPr>
              <w:t>неттинга</w:t>
            </w:r>
            <w:proofErr w:type="spellEnd"/>
            <w:r w:rsidRPr="002253B6">
              <w:rPr>
                <w:rFonts w:ascii="Arial" w:hAnsi="Arial" w:cs="Arial"/>
                <w:sz w:val="22"/>
                <w:szCs w:val="22"/>
              </w:rPr>
              <w:t>)</w:t>
            </w:r>
            <w:r w:rsidRPr="002253B6">
              <w:rPr>
                <w:rFonts w:ascii="Arial" w:hAnsi="Arial" w:cs="Arial"/>
                <w:color w:val="000000" w:themeColor="text1"/>
                <w:sz w:val="22"/>
                <w:szCs w:val="22"/>
              </w:rPr>
              <w:t>.</w:t>
            </w:r>
          </w:p>
          <w:p w14:paraId="2AA6B9FE" w14:textId="1762CE16" w:rsidR="00F60A3D" w:rsidRPr="002253B6" w:rsidRDefault="00F60A3D" w:rsidP="00EA1228">
            <w:pPr>
              <w:spacing w:before="240"/>
              <w:jc w:val="both"/>
              <w:rPr>
                <w:rFonts w:ascii="Arial" w:hAnsi="Arial" w:cs="Arial"/>
                <w:color w:val="000000" w:themeColor="text1"/>
                <w:sz w:val="22"/>
                <w:szCs w:val="22"/>
              </w:rPr>
            </w:pPr>
          </w:p>
        </w:tc>
      </w:tr>
      <w:tr w:rsidR="00F60A3D" w:rsidRPr="002253B6" w14:paraId="016B47E4" w14:textId="77777777" w:rsidTr="00F60A3D">
        <w:tc>
          <w:tcPr>
            <w:tcW w:w="3312" w:type="dxa"/>
            <w:shd w:val="clear" w:color="auto" w:fill="F2DBDB" w:themeFill="accent2" w:themeFillTint="33"/>
          </w:tcPr>
          <w:p w14:paraId="68AB8E2D" w14:textId="445E3D5B" w:rsidR="00F60A3D" w:rsidRPr="002253B6" w:rsidRDefault="00F60A3D" w:rsidP="00870C3C">
            <w:pPr>
              <w:pStyle w:val="af4"/>
              <w:numPr>
                <w:ilvl w:val="0"/>
                <w:numId w:val="7"/>
              </w:numPr>
              <w:spacing w:before="240"/>
              <w:ind w:left="323" w:hanging="323"/>
              <w:rPr>
                <w:rFonts w:ascii="Arial" w:hAnsi="Arial" w:cs="Arial"/>
                <w:b/>
                <w:bCs/>
                <w:color w:val="000000" w:themeColor="text1"/>
                <w:sz w:val="22"/>
                <w:szCs w:val="22"/>
              </w:rPr>
            </w:pPr>
            <w:r w:rsidRPr="002253B6">
              <w:rPr>
                <w:rFonts w:ascii="Arial" w:hAnsi="Arial" w:cs="Arial"/>
                <w:b/>
                <w:bCs/>
                <w:color w:val="000000" w:themeColor="text1"/>
                <w:sz w:val="22"/>
                <w:szCs w:val="22"/>
              </w:rPr>
              <w:lastRenderedPageBreak/>
              <w:t>Неприем в обеспечение Облигаций Банка России, учитываемых по Торгово-клиринговому счету Участника клиринга, не являющегося Кредитной организацией</w:t>
            </w:r>
          </w:p>
          <w:p w14:paraId="47AB44C5" w14:textId="49DEEBEC" w:rsidR="00F60A3D" w:rsidRPr="002253B6" w:rsidRDefault="00F60A3D" w:rsidP="00D940A2">
            <w:pPr>
              <w:spacing w:before="240"/>
              <w:ind w:left="360"/>
              <w:rPr>
                <w:rFonts w:ascii="Arial" w:hAnsi="Arial" w:cs="Arial"/>
                <w:b/>
                <w:bCs/>
                <w:color w:val="000000" w:themeColor="text1"/>
                <w:sz w:val="22"/>
                <w:szCs w:val="22"/>
              </w:rPr>
            </w:pPr>
          </w:p>
        </w:tc>
        <w:tc>
          <w:tcPr>
            <w:tcW w:w="3209" w:type="dxa"/>
          </w:tcPr>
          <w:p w14:paraId="107A161B" w14:textId="26703712" w:rsidR="00F60A3D" w:rsidRPr="002253B6" w:rsidRDefault="00F60A3D" w:rsidP="00787D75">
            <w:pPr>
              <w:spacing w:before="240"/>
              <w:rPr>
                <w:rFonts w:ascii="Arial" w:hAnsi="Arial" w:cs="Arial"/>
                <w:color w:val="000000" w:themeColor="text1"/>
                <w:sz w:val="22"/>
                <w:szCs w:val="22"/>
              </w:rPr>
            </w:pPr>
            <w:r w:rsidRPr="002253B6">
              <w:rPr>
                <w:rFonts w:ascii="Arial" w:hAnsi="Arial" w:cs="Arial"/>
                <w:bCs/>
                <w:color w:val="000000" w:themeColor="text1"/>
                <w:sz w:val="22"/>
                <w:szCs w:val="22"/>
              </w:rPr>
              <w:t>Подпункты 22.3.5, 22.8.4 общей части Правил клиринга.</w:t>
            </w:r>
          </w:p>
        </w:tc>
        <w:tc>
          <w:tcPr>
            <w:tcW w:w="9497" w:type="dxa"/>
          </w:tcPr>
          <w:p w14:paraId="795D3336" w14:textId="633C689D" w:rsidR="00F60A3D" w:rsidRPr="002253B6" w:rsidRDefault="00F60A3D" w:rsidP="00321F5F">
            <w:pPr>
              <w:autoSpaceDE w:val="0"/>
              <w:autoSpaceDN w:val="0"/>
              <w:adjustRightInd w:val="0"/>
              <w:spacing w:before="240"/>
              <w:jc w:val="both"/>
              <w:rPr>
                <w:rFonts w:ascii="Arial" w:eastAsia="Calibri" w:hAnsi="Arial" w:cs="Arial"/>
                <w:sz w:val="22"/>
                <w:szCs w:val="22"/>
              </w:rPr>
            </w:pPr>
            <w:r w:rsidRPr="002253B6">
              <w:rPr>
                <w:rFonts w:ascii="Arial" w:hAnsi="Arial" w:cs="Arial"/>
                <w:color w:val="000000" w:themeColor="text1"/>
                <w:sz w:val="22"/>
                <w:szCs w:val="22"/>
              </w:rPr>
              <w:t xml:space="preserve">Законодательством установлены ограничения на обращения </w:t>
            </w:r>
            <w:r>
              <w:rPr>
                <w:rFonts w:ascii="Arial" w:hAnsi="Arial" w:cs="Arial"/>
                <w:sz w:val="22"/>
                <w:szCs w:val="22"/>
              </w:rPr>
              <w:t>Облигаций Банка России:</w:t>
            </w:r>
            <w:r w:rsidRPr="002253B6">
              <w:rPr>
                <w:rFonts w:ascii="Arial" w:hAnsi="Arial" w:cs="Arial"/>
                <w:sz w:val="22"/>
                <w:szCs w:val="22"/>
              </w:rPr>
              <w:t xml:space="preserve"> </w:t>
            </w:r>
            <w:r w:rsidRPr="002253B6">
              <w:rPr>
                <w:rFonts w:ascii="Arial" w:eastAsia="Calibri" w:hAnsi="Arial" w:cs="Arial"/>
                <w:sz w:val="22"/>
                <w:szCs w:val="22"/>
              </w:rPr>
              <w:t>обращение Облигаций Банка России осуществля</w:t>
            </w:r>
            <w:r>
              <w:rPr>
                <w:rFonts w:ascii="Arial" w:eastAsia="Calibri" w:hAnsi="Arial" w:cs="Arial"/>
                <w:sz w:val="22"/>
                <w:szCs w:val="22"/>
              </w:rPr>
              <w:t>е</w:t>
            </w:r>
            <w:r w:rsidRPr="002253B6">
              <w:rPr>
                <w:rFonts w:ascii="Arial" w:eastAsia="Calibri" w:hAnsi="Arial" w:cs="Arial"/>
                <w:sz w:val="22"/>
                <w:szCs w:val="22"/>
              </w:rPr>
              <w:t xml:space="preserve">тся только среди российских кредитных организаций. В связи с этим указанные ценные бумаги не могут быть приняты в качестве обеспечения от </w:t>
            </w:r>
            <w:r w:rsidRPr="002253B6">
              <w:rPr>
                <w:rFonts w:ascii="Arial" w:hAnsi="Arial" w:cs="Arial"/>
                <w:sz w:val="22"/>
                <w:szCs w:val="22"/>
              </w:rPr>
              <w:t>Участника клиринга, не являющегося Кредитной организацией</w:t>
            </w:r>
            <w:r w:rsidRPr="002253B6">
              <w:rPr>
                <w:rFonts w:ascii="Arial" w:eastAsia="Calibri" w:hAnsi="Arial" w:cs="Arial"/>
                <w:sz w:val="22"/>
                <w:szCs w:val="22"/>
              </w:rPr>
              <w:t>, т.к. НКЦ не сможет в случае необходимости реализовать указанное обеспечение.</w:t>
            </w:r>
          </w:p>
          <w:p w14:paraId="36AEC9CC" w14:textId="2F2F6A0D" w:rsidR="00F60A3D" w:rsidRPr="002253B6" w:rsidRDefault="00F60A3D" w:rsidP="00296D06">
            <w:pPr>
              <w:spacing w:before="12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В связи этим, в Правила клиринга внесены положения, в соответствии с которыми </w:t>
            </w:r>
            <w:r w:rsidRPr="002253B6">
              <w:rPr>
                <w:rFonts w:ascii="Arial" w:hAnsi="Arial" w:cs="Arial"/>
                <w:sz w:val="22"/>
                <w:szCs w:val="22"/>
              </w:rPr>
              <w:t xml:space="preserve">Облигации Банка России не учитываются в качестве Обеспечения и взносов в Гарантийные фонды / Обеспечения под стресс Участника клиринга, не являющегося Кредитной организацией. </w:t>
            </w:r>
          </w:p>
        </w:tc>
      </w:tr>
      <w:tr w:rsidR="00F60A3D" w:rsidRPr="002253B6" w14:paraId="63385EE4" w14:textId="77777777" w:rsidTr="00F60A3D">
        <w:tc>
          <w:tcPr>
            <w:tcW w:w="3312" w:type="dxa"/>
            <w:shd w:val="clear" w:color="auto" w:fill="F2DBDB" w:themeFill="accent2" w:themeFillTint="33"/>
          </w:tcPr>
          <w:p w14:paraId="0BB1B4EC" w14:textId="1491BB0F" w:rsidR="002E4F23" w:rsidRDefault="00F60A3D" w:rsidP="00870C3C">
            <w:pPr>
              <w:pStyle w:val="af4"/>
              <w:numPr>
                <w:ilvl w:val="0"/>
                <w:numId w:val="7"/>
              </w:numPr>
              <w:spacing w:before="240"/>
              <w:ind w:left="323" w:hanging="323"/>
              <w:rPr>
                <w:rFonts w:ascii="Arial" w:hAnsi="Arial" w:cs="Arial"/>
                <w:b/>
                <w:bCs/>
                <w:color w:val="000000" w:themeColor="text1"/>
                <w:sz w:val="22"/>
                <w:szCs w:val="22"/>
              </w:rPr>
            </w:pPr>
            <w:r w:rsidRPr="002253B6">
              <w:rPr>
                <w:rFonts w:ascii="Arial" w:hAnsi="Arial" w:cs="Arial"/>
                <w:b/>
                <w:bCs/>
                <w:color w:val="000000" w:themeColor="text1"/>
                <w:sz w:val="22"/>
                <w:szCs w:val="22"/>
              </w:rPr>
              <w:t>Заявление Участника клиринга как основание прекращения допуска на одном или нескольких рынках.</w:t>
            </w:r>
          </w:p>
          <w:p w14:paraId="35C1EA8B" w14:textId="45CA37A8" w:rsidR="00F60A3D" w:rsidRPr="002E4F23" w:rsidRDefault="00F60A3D" w:rsidP="002E4F23">
            <w:pPr>
              <w:pStyle w:val="af4"/>
              <w:spacing w:before="240"/>
              <w:ind w:left="323"/>
              <w:rPr>
                <w:color w:val="FF0000"/>
              </w:rPr>
            </w:pPr>
          </w:p>
        </w:tc>
        <w:tc>
          <w:tcPr>
            <w:tcW w:w="3209" w:type="dxa"/>
            <w:shd w:val="clear" w:color="auto" w:fill="FFFFFF" w:themeFill="background1"/>
          </w:tcPr>
          <w:p w14:paraId="3B7672F7" w14:textId="6CAA0B41" w:rsidR="00F60A3D" w:rsidRPr="002253B6" w:rsidRDefault="00F60A3D" w:rsidP="002B1C4F">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t>Подпункт 14.12.11 общей части Правил клиринга.</w:t>
            </w:r>
          </w:p>
        </w:tc>
        <w:tc>
          <w:tcPr>
            <w:tcW w:w="9497" w:type="dxa"/>
          </w:tcPr>
          <w:p w14:paraId="5BE0CA18" w14:textId="19E9B00A" w:rsidR="00F60A3D" w:rsidRPr="002253B6" w:rsidRDefault="00F60A3D" w:rsidP="00C90AF0">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t>Добавлено основание, на основании которого Клиринговый центр прекращает допуск Участника клиринга к клиринговому обслуживани</w:t>
            </w:r>
            <w:r>
              <w:rPr>
                <w:rFonts w:ascii="Arial" w:hAnsi="Arial" w:cs="Arial"/>
                <w:color w:val="000000" w:themeColor="text1"/>
                <w:sz w:val="22"/>
                <w:szCs w:val="22"/>
              </w:rPr>
              <w:t>ю</w:t>
            </w:r>
            <w:r w:rsidRPr="002253B6">
              <w:rPr>
                <w:rFonts w:ascii="Arial" w:hAnsi="Arial" w:cs="Arial"/>
                <w:color w:val="000000" w:themeColor="text1"/>
                <w:sz w:val="22"/>
                <w:szCs w:val="22"/>
              </w:rPr>
              <w:t xml:space="preserve"> на одном или нескольких биржевых рынках:</w:t>
            </w:r>
          </w:p>
          <w:p w14:paraId="4A2539AC" w14:textId="3AB72A94" w:rsidR="00F60A3D" w:rsidRPr="002253B6" w:rsidRDefault="00F60A3D" w:rsidP="00686CA6">
            <w:pPr>
              <w:tabs>
                <w:tab w:val="left" w:pos="248"/>
              </w:tabs>
              <w:spacing w:before="120"/>
              <w:jc w:val="both"/>
              <w:rPr>
                <w:rFonts w:ascii="Arial" w:hAnsi="Arial" w:cs="Arial"/>
                <w:color w:val="000000" w:themeColor="text1"/>
                <w:sz w:val="22"/>
                <w:szCs w:val="22"/>
              </w:rPr>
            </w:pPr>
            <w:r w:rsidRPr="002253B6">
              <w:rPr>
                <w:rFonts w:ascii="Arial" w:hAnsi="Arial" w:cs="Arial"/>
                <w:color w:val="000000" w:themeColor="text1"/>
                <w:sz w:val="22"/>
                <w:szCs w:val="22"/>
              </w:rPr>
              <w:t>-</w:t>
            </w:r>
            <w:r w:rsidRPr="002253B6">
              <w:rPr>
                <w:rFonts w:ascii="Arial" w:hAnsi="Arial" w:cs="Arial"/>
                <w:color w:val="000000" w:themeColor="text1"/>
                <w:sz w:val="22"/>
                <w:szCs w:val="22"/>
              </w:rPr>
              <w:tab/>
              <w:t xml:space="preserve">предоставление Участником клиринга Заявления о прекращении допуска к клиринговому обслуживанию. Клиринговый центр прекращает допуск Участника клиринга на основании указанного заявления на биржевом рынке, указанном в заявлении, при выполнении условий для закрытия всех Расчетных кодов и Торгово-клиринговых счетов Участника клиринга, открытых Участнику клиринга на таком биржевом рынке на дату получения Клиринговым центром такого заявления. </w:t>
            </w:r>
          </w:p>
        </w:tc>
      </w:tr>
      <w:tr w:rsidR="00F60A3D" w:rsidRPr="002253B6" w14:paraId="781268AB" w14:textId="77777777" w:rsidTr="00F60A3D">
        <w:tc>
          <w:tcPr>
            <w:tcW w:w="3312" w:type="dxa"/>
            <w:shd w:val="clear" w:color="auto" w:fill="F2DBDB" w:themeFill="accent2" w:themeFillTint="33"/>
          </w:tcPr>
          <w:p w14:paraId="56254201" w14:textId="77777777" w:rsidR="002147AF" w:rsidRDefault="002E4F23" w:rsidP="00870C3C">
            <w:pPr>
              <w:pStyle w:val="af4"/>
              <w:numPr>
                <w:ilvl w:val="0"/>
                <w:numId w:val="7"/>
              </w:numPr>
              <w:spacing w:before="240"/>
              <w:ind w:left="323"/>
              <w:rPr>
                <w:rFonts w:ascii="Arial" w:hAnsi="Arial" w:cs="Arial"/>
                <w:b/>
                <w:bCs/>
                <w:color w:val="000000" w:themeColor="text1"/>
                <w:sz w:val="22"/>
                <w:szCs w:val="22"/>
              </w:rPr>
            </w:pPr>
            <w:r>
              <w:rPr>
                <w:rFonts w:ascii="Arial" w:hAnsi="Arial" w:cs="Arial"/>
                <w:b/>
                <w:bCs/>
                <w:color w:val="000000" w:themeColor="text1"/>
                <w:sz w:val="22"/>
                <w:szCs w:val="22"/>
              </w:rPr>
              <w:t>Предусмотрено еще одно время – 12:00</w:t>
            </w:r>
            <w:r w:rsidR="00F60A3D" w:rsidRPr="002253B6">
              <w:rPr>
                <w:rFonts w:ascii="Arial" w:hAnsi="Arial" w:cs="Arial"/>
                <w:b/>
                <w:bCs/>
                <w:color w:val="000000" w:themeColor="text1"/>
                <w:sz w:val="22"/>
                <w:szCs w:val="22"/>
              </w:rPr>
              <w:t xml:space="preserve"> для ранних расчетов и </w:t>
            </w:r>
            <w:r w:rsidR="00F60A3D" w:rsidRPr="002253B6">
              <w:rPr>
                <w:rFonts w:ascii="Arial" w:hAnsi="Arial" w:cs="Arial"/>
                <w:b/>
                <w:bCs/>
                <w:color w:val="000000" w:themeColor="text1"/>
                <w:sz w:val="22"/>
                <w:szCs w:val="22"/>
              </w:rPr>
              <w:lastRenderedPageBreak/>
              <w:t>раннего выхода из торгов TOM.</w:t>
            </w:r>
            <w:r>
              <w:rPr>
                <w:rFonts w:ascii="Arial" w:hAnsi="Arial" w:cs="Arial"/>
                <w:b/>
                <w:bCs/>
                <w:color w:val="000000" w:themeColor="text1"/>
                <w:sz w:val="22"/>
                <w:szCs w:val="22"/>
              </w:rPr>
              <w:t xml:space="preserve">                        </w:t>
            </w:r>
          </w:p>
          <w:p w14:paraId="049D43D9" w14:textId="6E61FF85" w:rsidR="00F60A3D" w:rsidRPr="002253B6" w:rsidRDefault="002E4F23" w:rsidP="002147AF">
            <w:pPr>
              <w:pStyle w:val="af4"/>
              <w:spacing w:before="240"/>
              <w:ind w:left="323"/>
              <w:rPr>
                <w:rFonts w:ascii="Arial" w:hAnsi="Arial" w:cs="Arial"/>
                <w:b/>
                <w:bCs/>
                <w:color w:val="000000" w:themeColor="text1"/>
                <w:sz w:val="22"/>
                <w:szCs w:val="22"/>
              </w:rPr>
            </w:pPr>
            <w:r w:rsidRPr="002E4F23">
              <w:rPr>
                <w:rFonts w:ascii="Arial" w:hAnsi="Arial" w:cs="Arial"/>
                <w:b/>
                <w:bCs/>
                <w:color w:val="FF0000"/>
                <w:sz w:val="22"/>
                <w:szCs w:val="22"/>
              </w:rPr>
              <w:t>О дате введения будет сообщено дополнительно</w:t>
            </w:r>
          </w:p>
        </w:tc>
        <w:tc>
          <w:tcPr>
            <w:tcW w:w="3209" w:type="dxa"/>
            <w:shd w:val="clear" w:color="auto" w:fill="FFFFFF" w:themeFill="background1"/>
          </w:tcPr>
          <w:p w14:paraId="20408857" w14:textId="1F1069CD" w:rsidR="00F60A3D" w:rsidRPr="002253B6" w:rsidRDefault="00F60A3D" w:rsidP="002B1C4F">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lastRenderedPageBreak/>
              <w:t>Пункты 3.1, 6.3, 6.5 приложения 6 к общей части Правил клиринга.</w:t>
            </w:r>
          </w:p>
        </w:tc>
        <w:tc>
          <w:tcPr>
            <w:tcW w:w="9497" w:type="dxa"/>
          </w:tcPr>
          <w:p w14:paraId="06C99D4A" w14:textId="6FF146F0" w:rsidR="00F60A3D" w:rsidRPr="002253B6" w:rsidRDefault="002E4F23" w:rsidP="008137A8">
            <w:pPr>
              <w:spacing w:before="240"/>
              <w:ind w:left="11"/>
              <w:jc w:val="both"/>
              <w:rPr>
                <w:rFonts w:ascii="Arial" w:hAnsi="Arial" w:cs="Arial"/>
                <w:color w:val="000000" w:themeColor="text1"/>
                <w:sz w:val="22"/>
                <w:szCs w:val="22"/>
              </w:rPr>
            </w:pPr>
            <w:r>
              <w:rPr>
                <w:rFonts w:ascii="Arial" w:hAnsi="Arial" w:cs="Arial"/>
                <w:color w:val="000000" w:themeColor="text1"/>
                <w:sz w:val="22"/>
                <w:szCs w:val="22"/>
              </w:rPr>
              <w:t>Предусмотрена возможность</w:t>
            </w:r>
            <w:r w:rsidR="00F60A3D" w:rsidRPr="002253B6">
              <w:rPr>
                <w:rFonts w:ascii="Arial" w:hAnsi="Arial" w:cs="Arial"/>
                <w:color w:val="000000" w:themeColor="text1"/>
                <w:sz w:val="22"/>
                <w:szCs w:val="22"/>
              </w:rPr>
              <w:t xml:space="preserve"> проведения по запросу Участника клиринга ранних расчетов и раннего завершения заключения сделок с Клиринговым центром в 12:00</w:t>
            </w:r>
            <w:r w:rsidR="00F60A3D">
              <w:rPr>
                <w:rFonts w:ascii="Arial" w:hAnsi="Arial" w:cs="Arial"/>
                <w:color w:val="000000" w:themeColor="text1"/>
                <w:sz w:val="22"/>
                <w:szCs w:val="22"/>
              </w:rPr>
              <w:t>.</w:t>
            </w:r>
          </w:p>
        </w:tc>
      </w:tr>
      <w:tr w:rsidR="00F60A3D" w:rsidRPr="002253B6" w14:paraId="3E0056BA" w14:textId="77777777" w:rsidTr="00F60A3D">
        <w:tc>
          <w:tcPr>
            <w:tcW w:w="3312" w:type="dxa"/>
            <w:shd w:val="clear" w:color="auto" w:fill="F2DBDB" w:themeFill="accent2" w:themeFillTint="33"/>
          </w:tcPr>
          <w:p w14:paraId="3CA796DC" w14:textId="78C5C2BE" w:rsidR="00E36106" w:rsidRDefault="00F60A3D" w:rsidP="002147AF">
            <w:pPr>
              <w:pStyle w:val="af4"/>
              <w:numPr>
                <w:ilvl w:val="0"/>
                <w:numId w:val="7"/>
              </w:numPr>
              <w:spacing w:before="240"/>
              <w:ind w:left="360"/>
              <w:rPr>
                <w:rFonts w:ascii="Arial" w:hAnsi="Arial" w:cs="Arial"/>
                <w:b/>
                <w:color w:val="000000" w:themeColor="text1"/>
                <w:sz w:val="22"/>
                <w:szCs w:val="22"/>
              </w:rPr>
            </w:pPr>
            <w:r w:rsidRPr="002253B6">
              <w:rPr>
                <w:rFonts w:ascii="Arial" w:hAnsi="Arial" w:cs="Arial"/>
                <w:b/>
                <w:color w:val="000000" w:themeColor="text1"/>
                <w:sz w:val="22"/>
                <w:szCs w:val="22"/>
              </w:rPr>
              <w:t xml:space="preserve">Порядок уплаты возвратной премии на срочном рынке. </w:t>
            </w:r>
            <w:r w:rsidR="0030012A">
              <w:rPr>
                <w:rFonts w:ascii="Arial" w:hAnsi="Arial" w:cs="Arial"/>
                <w:b/>
                <w:color w:val="000000" w:themeColor="text1"/>
                <w:sz w:val="22"/>
                <w:szCs w:val="22"/>
              </w:rPr>
              <w:t xml:space="preserve"> </w:t>
            </w:r>
          </w:p>
          <w:p w14:paraId="1595C779" w14:textId="6B983704" w:rsidR="0030012A" w:rsidRPr="002253B6" w:rsidRDefault="0030012A" w:rsidP="002147AF">
            <w:pPr>
              <w:pStyle w:val="af4"/>
              <w:spacing w:before="240"/>
              <w:ind w:left="360"/>
              <w:rPr>
                <w:rFonts w:ascii="Arial" w:hAnsi="Arial" w:cs="Arial"/>
                <w:b/>
                <w:color w:val="000000" w:themeColor="text1"/>
                <w:sz w:val="22"/>
                <w:szCs w:val="22"/>
              </w:rPr>
            </w:pPr>
            <w:r w:rsidRPr="0030012A">
              <w:rPr>
                <w:rFonts w:ascii="Arial" w:hAnsi="Arial" w:cs="Arial"/>
                <w:b/>
                <w:color w:val="FF0000"/>
                <w:sz w:val="22"/>
                <w:szCs w:val="22"/>
              </w:rPr>
              <w:t>С 1 ноября</w:t>
            </w:r>
            <w:r w:rsidR="00463F57">
              <w:rPr>
                <w:rFonts w:ascii="Arial" w:hAnsi="Arial" w:cs="Arial"/>
                <w:b/>
                <w:color w:val="FF0000"/>
                <w:sz w:val="22"/>
                <w:szCs w:val="22"/>
                <w:lang w:val="en-US"/>
              </w:rPr>
              <w:t xml:space="preserve"> </w:t>
            </w:r>
            <w:r w:rsidR="00463F57">
              <w:rPr>
                <w:rFonts w:ascii="Arial" w:hAnsi="Arial" w:cs="Arial"/>
                <w:b/>
                <w:color w:val="FF0000"/>
                <w:sz w:val="22"/>
                <w:szCs w:val="22"/>
              </w:rPr>
              <w:t>2018 г.</w:t>
            </w:r>
          </w:p>
        </w:tc>
        <w:tc>
          <w:tcPr>
            <w:tcW w:w="3209" w:type="dxa"/>
          </w:tcPr>
          <w:p w14:paraId="2E122A06" w14:textId="3AD7BE9F" w:rsidR="00F60A3D" w:rsidRPr="002253B6" w:rsidRDefault="00F60A3D" w:rsidP="00F02196">
            <w:pPr>
              <w:spacing w:before="240"/>
              <w:rPr>
                <w:rFonts w:ascii="Arial" w:hAnsi="Arial" w:cs="Arial"/>
                <w:color w:val="000000" w:themeColor="text1"/>
                <w:sz w:val="22"/>
                <w:szCs w:val="22"/>
              </w:rPr>
            </w:pPr>
            <w:r w:rsidRPr="002253B6">
              <w:rPr>
                <w:rFonts w:ascii="Arial" w:hAnsi="Arial" w:cs="Arial"/>
                <w:color w:val="000000" w:themeColor="text1"/>
                <w:sz w:val="22"/>
                <w:szCs w:val="22"/>
              </w:rPr>
              <w:t>Пункт 36.10 Правил клиринга на срочном рынке.</w:t>
            </w:r>
          </w:p>
        </w:tc>
        <w:tc>
          <w:tcPr>
            <w:tcW w:w="9497" w:type="dxa"/>
          </w:tcPr>
          <w:p w14:paraId="7B83AFB8" w14:textId="6CC37C6E" w:rsidR="00F60A3D" w:rsidRPr="00296D06" w:rsidRDefault="00F60A3D" w:rsidP="00296D06">
            <w:pPr>
              <w:pStyle w:val="af4"/>
              <w:spacing w:before="240"/>
              <w:ind w:left="-20"/>
              <w:jc w:val="both"/>
              <w:rPr>
                <w:rFonts w:ascii="Arial" w:hAnsi="Arial" w:cs="Arial"/>
                <w:color w:val="000000" w:themeColor="text1"/>
                <w:sz w:val="22"/>
                <w:szCs w:val="22"/>
              </w:rPr>
            </w:pPr>
            <w:r w:rsidRPr="002253B6">
              <w:rPr>
                <w:rFonts w:ascii="Arial" w:hAnsi="Arial" w:cs="Arial"/>
                <w:color w:val="000000" w:themeColor="text1"/>
                <w:sz w:val="22"/>
                <w:szCs w:val="22"/>
              </w:rPr>
              <w:t>Правилами клиринга установлен порядок перечисления Участнику клиринга премии, предусмотренной Тарифами Клирингового центра и Тарифами Биржи.</w:t>
            </w:r>
          </w:p>
        </w:tc>
      </w:tr>
      <w:tr w:rsidR="00F60A3D" w:rsidRPr="002253B6" w14:paraId="6850B54F" w14:textId="77777777" w:rsidTr="00F60A3D">
        <w:tc>
          <w:tcPr>
            <w:tcW w:w="3312" w:type="dxa"/>
            <w:shd w:val="clear" w:color="auto" w:fill="F2DBDB" w:themeFill="accent2" w:themeFillTint="33"/>
          </w:tcPr>
          <w:p w14:paraId="41C7F687" w14:textId="55CCDB66" w:rsidR="00E36106" w:rsidRDefault="00F60A3D" w:rsidP="002147AF">
            <w:pPr>
              <w:pStyle w:val="af4"/>
              <w:numPr>
                <w:ilvl w:val="0"/>
                <w:numId w:val="7"/>
              </w:numPr>
              <w:spacing w:before="240"/>
              <w:ind w:left="360"/>
              <w:rPr>
                <w:rFonts w:ascii="Arial" w:hAnsi="Arial" w:cs="Arial"/>
                <w:b/>
                <w:color w:val="000000" w:themeColor="text1"/>
                <w:sz w:val="22"/>
                <w:szCs w:val="22"/>
              </w:rPr>
            </w:pPr>
            <w:r w:rsidRPr="002253B6">
              <w:rPr>
                <w:rFonts w:ascii="Arial" w:hAnsi="Arial" w:cs="Arial"/>
                <w:b/>
                <w:color w:val="000000" w:themeColor="text1"/>
                <w:sz w:val="22"/>
                <w:szCs w:val="22"/>
              </w:rPr>
              <w:t>Время взимания комиссионного вознаграждения за клиринг по Срочным контрактам, заключенным после 19:00</w:t>
            </w:r>
            <w:r w:rsidR="0030012A">
              <w:rPr>
                <w:rFonts w:ascii="Arial" w:hAnsi="Arial" w:cs="Arial"/>
                <w:b/>
                <w:color w:val="000000" w:themeColor="text1"/>
                <w:sz w:val="22"/>
                <w:szCs w:val="22"/>
              </w:rPr>
              <w:t xml:space="preserve"> </w:t>
            </w:r>
          </w:p>
          <w:p w14:paraId="15CA776D" w14:textId="49838A51" w:rsidR="00F60A3D" w:rsidRPr="002253B6" w:rsidRDefault="0030012A" w:rsidP="002147AF">
            <w:pPr>
              <w:pStyle w:val="af4"/>
              <w:spacing w:before="240"/>
              <w:ind w:left="360"/>
              <w:rPr>
                <w:rFonts w:ascii="Arial" w:hAnsi="Arial" w:cs="Arial"/>
                <w:b/>
                <w:color w:val="000000" w:themeColor="text1"/>
                <w:sz w:val="22"/>
                <w:szCs w:val="22"/>
              </w:rPr>
            </w:pPr>
            <w:r w:rsidRPr="0030012A">
              <w:rPr>
                <w:rFonts w:ascii="Arial" w:hAnsi="Arial" w:cs="Arial"/>
                <w:b/>
                <w:color w:val="FF0000"/>
                <w:sz w:val="22"/>
                <w:szCs w:val="22"/>
              </w:rPr>
              <w:t>С 1 ноября</w:t>
            </w:r>
            <w:r w:rsidR="00463F57">
              <w:rPr>
                <w:rFonts w:ascii="Arial" w:hAnsi="Arial" w:cs="Arial"/>
                <w:b/>
                <w:color w:val="FF0000"/>
                <w:sz w:val="22"/>
                <w:szCs w:val="22"/>
              </w:rPr>
              <w:t xml:space="preserve"> 2018 г.</w:t>
            </w:r>
          </w:p>
        </w:tc>
        <w:tc>
          <w:tcPr>
            <w:tcW w:w="3209" w:type="dxa"/>
          </w:tcPr>
          <w:p w14:paraId="13545EE7" w14:textId="38D0C573" w:rsidR="00F60A3D" w:rsidRPr="002253B6" w:rsidRDefault="00F60A3D" w:rsidP="00F02196">
            <w:pPr>
              <w:spacing w:before="240"/>
              <w:rPr>
                <w:rFonts w:ascii="Arial" w:hAnsi="Arial" w:cs="Arial"/>
                <w:color w:val="000000" w:themeColor="text1"/>
                <w:sz w:val="22"/>
                <w:szCs w:val="22"/>
              </w:rPr>
            </w:pPr>
            <w:r w:rsidRPr="002253B6">
              <w:rPr>
                <w:rFonts w:ascii="Arial" w:hAnsi="Arial" w:cs="Arial"/>
                <w:color w:val="000000" w:themeColor="text1"/>
                <w:sz w:val="22"/>
                <w:szCs w:val="22"/>
              </w:rPr>
              <w:t>Пункт 36.4, 36.9 Правил клиринга на срочном рынке.</w:t>
            </w:r>
          </w:p>
        </w:tc>
        <w:tc>
          <w:tcPr>
            <w:tcW w:w="9497" w:type="dxa"/>
          </w:tcPr>
          <w:p w14:paraId="5636C9A6" w14:textId="20B3A0AA" w:rsidR="00F60A3D" w:rsidRPr="002E4F23" w:rsidRDefault="00F60A3D" w:rsidP="002E4F23">
            <w:pPr>
              <w:pStyle w:val="af4"/>
              <w:spacing w:before="240"/>
              <w:ind w:left="-23"/>
              <w:jc w:val="both"/>
              <w:rPr>
                <w:rFonts w:ascii="Arial" w:hAnsi="Arial" w:cs="Arial"/>
                <w:color w:val="000000" w:themeColor="text1"/>
                <w:sz w:val="22"/>
                <w:szCs w:val="22"/>
              </w:rPr>
            </w:pPr>
            <w:r w:rsidRPr="002253B6">
              <w:rPr>
                <w:rFonts w:ascii="Arial" w:hAnsi="Arial" w:cs="Arial"/>
                <w:color w:val="000000" w:themeColor="text1"/>
                <w:sz w:val="22"/>
                <w:szCs w:val="22"/>
              </w:rPr>
              <w:t xml:space="preserve">Уточнено время начисления и списания комиссионного вознаграждения за клиринг на срочном рынке по Срочным контрактам, заключенным </w:t>
            </w:r>
            <w:r w:rsidRPr="002E4F23">
              <w:rPr>
                <w:rFonts w:ascii="Arial" w:hAnsi="Arial" w:cs="Arial"/>
                <w:b/>
                <w:color w:val="000000" w:themeColor="text1"/>
                <w:sz w:val="22"/>
                <w:szCs w:val="22"/>
              </w:rPr>
              <w:t>после 19:00</w:t>
            </w:r>
            <w:r w:rsidRPr="002253B6">
              <w:rPr>
                <w:rFonts w:ascii="Arial" w:hAnsi="Arial" w:cs="Arial"/>
                <w:color w:val="000000" w:themeColor="text1"/>
                <w:sz w:val="22"/>
                <w:szCs w:val="22"/>
              </w:rPr>
              <w:t xml:space="preserve">: </w:t>
            </w:r>
            <w:r w:rsidR="002E4F23" w:rsidRPr="002E4F23">
              <w:rPr>
                <w:rFonts w:ascii="Arial" w:hAnsi="Arial" w:cs="Arial"/>
                <w:color w:val="000000" w:themeColor="text1"/>
                <w:sz w:val="22"/>
                <w:szCs w:val="22"/>
              </w:rPr>
              <w:t>к</w:t>
            </w:r>
            <w:r w:rsidRPr="002E4F23">
              <w:rPr>
                <w:rFonts w:ascii="Arial" w:hAnsi="Arial" w:cs="Arial"/>
                <w:sz w:val="22"/>
                <w:szCs w:val="22"/>
              </w:rPr>
              <w:t>омиссионное вознаграждение начисляется в дату заключения Срочного контракта, взимается в Расчетный день, следующий за датой заключения Срочного контракта.</w:t>
            </w:r>
          </w:p>
          <w:p w14:paraId="26C97047" w14:textId="0DE30E6E" w:rsidR="00F60A3D" w:rsidRPr="002253B6" w:rsidRDefault="00F60A3D" w:rsidP="00296D06">
            <w:pPr>
              <w:pStyle w:val="af4"/>
              <w:spacing w:before="120"/>
              <w:ind w:left="-20"/>
              <w:jc w:val="both"/>
              <w:rPr>
                <w:rFonts w:ascii="Arial" w:hAnsi="Arial" w:cs="Arial"/>
                <w:color w:val="000000" w:themeColor="text1"/>
                <w:sz w:val="22"/>
                <w:szCs w:val="22"/>
              </w:rPr>
            </w:pPr>
          </w:p>
        </w:tc>
      </w:tr>
      <w:tr w:rsidR="00F60A3D" w:rsidRPr="002253B6" w14:paraId="0CEB2B7E" w14:textId="77777777" w:rsidTr="00F60A3D">
        <w:tc>
          <w:tcPr>
            <w:tcW w:w="3312" w:type="dxa"/>
            <w:shd w:val="clear" w:color="auto" w:fill="F2DBDB" w:themeFill="accent2" w:themeFillTint="33"/>
          </w:tcPr>
          <w:p w14:paraId="4EEBD1AB" w14:textId="19EE6E9E" w:rsidR="00F60A3D" w:rsidRPr="002253B6" w:rsidRDefault="00F60A3D" w:rsidP="002147AF">
            <w:pPr>
              <w:pStyle w:val="af4"/>
              <w:numPr>
                <w:ilvl w:val="0"/>
                <w:numId w:val="7"/>
              </w:numPr>
              <w:spacing w:before="240"/>
              <w:ind w:left="459" w:hanging="459"/>
              <w:rPr>
                <w:rFonts w:ascii="Arial" w:hAnsi="Arial" w:cs="Arial"/>
                <w:b/>
                <w:color w:val="000000" w:themeColor="text1"/>
                <w:sz w:val="22"/>
                <w:szCs w:val="22"/>
              </w:rPr>
            </w:pPr>
            <w:r w:rsidRPr="002253B6">
              <w:rPr>
                <w:rFonts w:ascii="Arial" w:hAnsi="Arial" w:cs="Arial"/>
                <w:b/>
                <w:color w:val="000000" w:themeColor="text1"/>
                <w:sz w:val="22"/>
                <w:szCs w:val="22"/>
              </w:rPr>
              <w:t>Сокращен список документов, предоставляемых при заключении договора об оказании клиринговых услуг.</w:t>
            </w:r>
          </w:p>
        </w:tc>
        <w:tc>
          <w:tcPr>
            <w:tcW w:w="3209" w:type="dxa"/>
          </w:tcPr>
          <w:p w14:paraId="47D770C7" w14:textId="59526BD9" w:rsidR="00F60A3D" w:rsidRPr="002253B6" w:rsidRDefault="00F60A3D" w:rsidP="000B1B53">
            <w:pPr>
              <w:spacing w:before="240"/>
              <w:rPr>
                <w:rFonts w:ascii="Arial" w:hAnsi="Arial" w:cs="Arial"/>
                <w:color w:val="000000" w:themeColor="text1"/>
                <w:sz w:val="22"/>
                <w:szCs w:val="22"/>
              </w:rPr>
            </w:pPr>
            <w:r w:rsidRPr="002253B6">
              <w:rPr>
                <w:rFonts w:ascii="Arial" w:hAnsi="Arial" w:cs="Arial"/>
                <w:color w:val="000000" w:themeColor="text1"/>
                <w:sz w:val="22"/>
                <w:szCs w:val="22"/>
              </w:rPr>
              <w:t>Приложение 4 к общей части Правил клиринга.</w:t>
            </w:r>
          </w:p>
        </w:tc>
        <w:tc>
          <w:tcPr>
            <w:tcW w:w="9497" w:type="dxa"/>
          </w:tcPr>
          <w:p w14:paraId="13CBA214" w14:textId="086C84CB" w:rsidR="00F60A3D" w:rsidRPr="002253B6" w:rsidRDefault="00F60A3D" w:rsidP="00E90BA1">
            <w:pPr>
              <w:spacing w:before="240"/>
              <w:rPr>
                <w:rFonts w:ascii="Arial" w:hAnsi="Arial" w:cs="Arial"/>
                <w:color w:val="000000" w:themeColor="text1"/>
                <w:sz w:val="22"/>
                <w:szCs w:val="22"/>
              </w:rPr>
            </w:pPr>
            <w:r w:rsidRPr="002253B6">
              <w:rPr>
                <w:rFonts w:ascii="Arial" w:hAnsi="Arial" w:cs="Arial"/>
                <w:color w:val="000000" w:themeColor="text1"/>
                <w:sz w:val="22"/>
                <w:szCs w:val="22"/>
              </w:rPr>
              <w:t>Исключены требования о предоставлении следующих документов:</w:t>
            </w:r>
          </w:p>
          <w:p w14:paraId="0615949D" w14:textId="77777777" w:rsidR="00F60A3D" w:rsidRPr="002253B6" w:rsidRDefault="00F60A3D" w:rsidP="00870C3C">
            <w:pPr>
              <w:numPr>
                <w:ilvl w:val="0"/>
                <w:numId w:val="11"/>
              </w:numPr>
              <w:tabs>
                <w:tab w:val="left" w:pos="248"/>
              </w:tabs>
              <w:spacing w:before="120"/>
              <w:ind w:left="0" w:firstLine="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Нотариально удостоверенных копий лицензий на осуществление профессиональной деятельности на рынке ценных бумаг (для организаций, являющихся профессиональными участниками рынка ценных бумаг). </w:t>
            </w:r>
          </w:p>
          <w:p w14:paraId="04F2F91F" w14:textId="77777777" w:rsidR="00F60A3D" w:rsidRPr="002253B6" w:rsidRDefault="00F60A3D" w:rsidP="00870C3C">
            <w:pPr>
              <w:numPr>
                <w:ilvl w:val="0"/>
                <w:numId w:val="11"/>
              </w:numPr>
              <w:tabs>
                <w:tab w:val="left" w:pos="248"/>
              </w:tabs>
              <w:spacing w:before="60"/>
              <w:ind w:left="0" w:firstLine="0"/>
              <w:jc w:val="both"/>
              <w:rPr>
                <w:rFonts w:ascii="Arial" w:hAnsi="Arial" w:cs="Arial"/>
                <w:color w:val="000000" w:themeColor="text1"/>
                <w:sz w:val="22"/>
                <w:szCs w:val="22"/>
              </w:rPr>
            </w:pPr>
            <w:r w:rsidRPr="002253B6">
              <w:rPr>
                <w:rFonts w:ascii="Arial" w:hAnsi="Arial" w:cs="Arial"/>
                <w:color w:val="000000" w:themeColor="text1"/>
                <w:sz w:val="22"/>
                <w:szCs w:val="22"/>
              </w:rPr>
              <w:t>Нотариально удостовер</w:t>
            </w:r>
            <w:bookmarkStart w:id="0" w:name="_GoBack"/>
            <w:bookmarkEnd w:id="0"/>
            <w:r w:rsidRPr="002253B6">
              <w:rPr>
                <w:rFonts w:ascii="Arial" w:hAnsi="Arial" w:cs="Arial"/>
                <w:color w:val="000000" w:themeColor="text1"/>
                <w:sz w:val="22"/>
                <w:szCs w:val="22"/>
              </w:rPr>
              <w:t xml:space="preserve">енных копий лицензий на право осуществления деятельности, подлежащей лицензированию (если имеются) (для Кредитных организаций и организаций, являющихся профессиональными участниками рынка ценных бумаг). </w:t>
            </w:r>
          </w:p>
          <w:p w14:paraId="0D74509B" w14:textId="4B6B9FE4" w:rsidR="00F60A3D" w:rsidRPr="00F864F4" w:rsidRDefault="00F60A3D" w:rsidP="00870C3C">
            <w:pPr>
              <w:numPr>
                <w:ilvl w:val="0"/>
                <w:numId w:val="11"/>
              </w:numPr>
              <w:tabs>
                <w:tab w:val="left" w:pos="248"/>
              </w:tabs>
              <w:spacing w:before="60"/>
              <w:ind w:left="0" w:firstLine="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Перечня лицензий с указанием вида, номера, срока действия, даты и органа выдачи лицензии, перечня видов лицензируемой деятельности (для организаций, не являющихся Кредитными организациями и профессиональными участниками рынка ценных бумаг) в форме электронного документа. </w:t>
            </w:r>
          </w:p>
          <w:p w14:paraId="6BC319F3" w14:textId="614A62CA" w:rsidR="00F60A3D" w:rsidRPr="00E90BA1" w:rsidRDefault="00F60A3D" w:rsidP="00870C3C">
            <w:pPr>
              <w:numPr>
                <w:ilvl w:val="0"/>
                <w:numId w:val="11"/>
              </w:numPr>
              <w:tabs>
                <w:tab w:val="left" w:pos="248"/>
              </w:tabs>
              <w:spacing w:before="60"/>
              <w:ind w:left="0" w:firstLine="0"/>
              <w:jc w:val="both"/>
              <w:rPr>
                <w:rFonts w:ascii="Arial" w:hAnsi="Arial" w:cs="Arial"/>
                <w:color w:val="000000" w:themeColor="text1"/>
                <w:sz w:val="22"/>
                <w:szCs w:val="22"/>
              </w:rPr>
            </w:pPr>
            <w:r w:rsidRPr="002253B6">
              <w:rPr>
                <w:rFonts w:ascii="Arial" w:hAnsi="Arial" w:cs="Arial"/>
                <w:color w:val="000000" w:themeColor="text1"/>
                <w:sz w:val="22"/>
                <w:szCs w:val="22"/>
              </w:rPr>
              <w:lastRenderedPageBreak/>
              <w:t>Карточки с образцами подписей и оттиска печати (при наличии), оформленной в соответствии с требованиями нормативных актов Банка России (либо нотариально удостоверенная копия карточки)</w:t>
            </w:r>
          </w:p>
          <w:p w14:paraId="36C760E9" w14:textId="77777777" w:rsidR="00F60A3D" w:rsidRPr="002253B6" w:rsidRDefault="00F60A3D" w:rsidP="00870C3C">
            <w:pPr>
              <w:numPr>
                <w:ilvl w:val="0"/>
                <w:numId w:val="11"/>
              </w:numPr>
              <w:tabs>
                <w:tab w:val="left" w:pos="248"/>
              </w:tabs>
              <w:spacing w:before="60"/>
              <w:ind w:left="0" w:firstLine="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Подлинника или нотариально удостоверенной копии решения уполномоченного органа юридического лица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об одобрении сделок, заключаемых в соответствии с Правилами клиринга с Клиринговым центром, а также Договора об оказании клиринговых услуг / Договора о ведении клиринговых регистров1 в случае, если сделки/договор между юридическим лицом и Клиринговым центром в соответствии с требованиями действующего законодательства признаются сделками с заинтересованностью, в противном случае юридическое лицо предоставляет письмо об отсутствии признаков заинтересованности в указанных сделках (договорах). </w:t>
            </w:r>
          </w:p>
          <w:p w14:paraId="19DD9833" w14:textId="77777777" w:rsidR="00F60A3D" w:rsidRPr="002253B6" w:rsidRDefault="00F60A3D" w:rsidP="00F56995">
            <w:pPr>
              <w:rPr>
                <w:rFonts w:ascii="Arial" w:hAnsi="Arial" w:cs="Arial"/>
                <w:color w:val="000000" w:themeColor="text1"/>
                <w:sz w:val="22"/>
                <w:szCs w:val="22"/>
              </w:rPr>
            </w:pPr>
          </w:p>
          <w:p w14:paraId="03CA95A9" w14:textId="6104DCEE" w:rsidR="00F60A3D" w:rsidRPr="002253B6" w:rsidRDefault="00F60A3D" w:rsidP="005152C5">
            <w:pPr>
              <w:spacing w:before="6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Исключение связано с вступлением в силу с 30.06.2018 г. изменений в Федеральный закон "О противодействии легализации (отмыванию) доходов, полученных преступным путем, и финансированию терроризма" от 07.08.2001 N 115-ФЗ, определяющих возможность использовать государственные и иные информационные системы для подтверждения достоверности установленных при идентификации сведений. </w:t>
            </w:r>
          </w:p>
          <w:p w14:paraId="0DDC2E3E" w14:textId="77777777" w:rsidR="00F60A3D" w:rsidRPr="002253B6" w:rsidRDefault="00F60A3D" w:rsidP="005152C5">
            <w:pPr>
              <w:spacing w:before="6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Кроме того, в настоящее время законодательством не установлено требование по использованию банковских карточек при осуществлении клирингового обслуживания. Требование о предоставлении клиентами банковских карточек является обязательным только для открытия банковских счетов. </w:t>
            </w:r>
          </w:p>
          <w:p w14:paraId="528A31B3" w14:textId="143B6CAD" w:rsidR="00F60A3D" w:rsidRPr="002253B6" w:rsidRDefault="002147AF" w:rsidP="002147AF">
            <w:pPr>
              <w:spacing w:before="60"/>
              <w:jc w:val="both"/>
              <w:rPr>
                <w:rFonts w:ascii="Arial" w:hAnsi="Arial" w:cs="Arial"/>
                <w:color w:val="000000" w:themeColor="text1"/>
                <w:sz w:val="22"/>
                <w:szCs w:val="22"/>
              </w:rPr>
            </w:pPr>
            <w:r>
              <w:rPr>
                <w:rFonts w:ascii="Arial" w:hAnsi="Arial" w:cs="Arial"/>
                <w:color w:val="000000" w:themeColor="text1"/>
                <w:sz w:val="22"/>
                <w:szCs w:val="22"/>
              </w:rPr>
              <w:t>Также</w:t>
            </w:r>
            <w:r w:rsidR="00F60A3D" w:rsidRPr="002253B6">
              <w:rPr>
                <w:rFonts w:ascii="Arial" w:hAnsi="Arial" w:cs="Arial"/>
                <w:color w:val="000000" w:themeColor="text1"/>
                <w:sz w:val="22"/>
                <w:szCs w:val="22"/>
              </w:rPr>
              <w:t xml:space="preserve"> согласно пп.1 п.2 ст.81 Федерального закона "Об акционерных обществах" от 26.12.1995 N 208-ФЗ сделки с ЦК попадают под исключения по одобрению.</w:t>
            </w:r>
          </w:p>
        </w:tc>
      </w:tr>
      <w:tr w:rsidR="00F60A3D" w:rsidRPr="002253B6" w14:paraId="6E0EACF1" w14:textId="77777777" w:rsidTr="00F60A3D">
        <w:tc>
          <w:tcPr>
            <w:tcW w:w="3312" w:type="dxa"/>
            <w:shd w:val="clear" w:color="auto" w:fill="F2DBDB" w:themeFill="accent2" w:themeFillTint="33"/>
          </w:tcPr>
          <w:p w14:paraId="23AD7BCA" w14:textId="1C6BD8B6" w:rsidR="00F60A3D" w:rsidRPr="002253B6" w:rsidRDefault="00F60A3D" w:rsidP="00B61B83">
            <w:pPr>
              <w:pStyle w:val="af4"/>
              <w:numPr>
                <w:ilvl w:val="0"/>
                <w:numId w:val="7"/>
              </w:numPr>
              <w:spacing w:before="240"/>
              <w:ind w:left="459" w:hanging="459"/>
              <w:rPr>
                <w:rFonts w:ascii="Arial" w:hAnsi="Arial" w:cs="Arial"/>
                <w:b/>
                <w:color w:val="000000" w:themeColor="text1"/>
                <w:sz w:val="22"/>
                <w:szCs w:val="22"/>
              </w:rPr>
            </w:pPr>
            <w:r w:rsidRPr="002253B6">
              <w:rPr>
                <w:rFonts w:ascii="Arial" w:hAnsi="Arial" w:cs="Arial"/>
                <w:b/>
                <w:color w:val="000000" w:themeColor="text1"/>
                <w:sz w:val="22"/>
                <w:szCs w:val="22"/>
              </w:rPr>
              <w:lastRenderedPageBreak/>
              <w:t>Уточнения в порядок дисконтирования обязательств.</w:t>
            </w:r>
          </w:p>
        </w:tc>
        <w:tc>
          <w:tcPr>
            <w:tcW w:w="3209" w:type="dxa"/>
          </w:tcPr>
          <w:p w14:paraId="5172AF80" w14:textId="5B75EF96" w:rsidR="00F60A3D" w:rsidRPr="002253B6" w:rsidRDefault="00F60A3D" w:rsidP="000B1B53">
            <w:pPr>
              <w:spacing w:before="240"/>
              <w:rPr>
                <w:rFonts w:ascii="Arial" w:hAnsi="Arial" w:cs="Arial"/>
                <w:color w:val="000000" w:themeColor="text1"/>
                <w:sz w:val="22"/>
                <w:szCs w:val="22"/>
              </w:rPr>
            </w:pPr>
            <w:r w:rsidRPr="002253B6">
              <w:rPr>
                <w:rFonts w:ascii="Arial" w:hAnsi="Arial" w:cs="Arial"/>
                <w:color w:val="000000" w:themeColor="text1"/>
                <w:sz w:val="22"/>
                <w:szCs w:val="22"/>
              </w:rPr>
              <w:t>Подпункт 25.2.3, пункты 25.4-25.5 общей части Правил клиринга</w:t>
            </w:r>
          </w:p>
        </w:tc>
        <w:tc>
          <w:tcPr>
            <w:tcW w:w="9497" w:type="dxa"/>
          </w:tcPr>
          <w:p w14:paraId="38D2282A" w14:textId="18354917" w:rsidR="00F60A3D" w:rsidRPr="002253B6" w:rsidRDefault="00F60A3D" w:rsidP="00F864F4">
            <w:pPr>
              <w:spacing w:before="240"/>
              <w:jc w:val="both"/>
              <w:rPr>
                <w:rFonts w:ascii="Arial" w:hAnsi="Arial" w:cs="Arial"/>
                <w:color w:val="000000" w:themeColor="text1"/>
                <w:sz w:val="22"/>
                <w:szCs w:val="22"/>
              </w:rPr>
            </w:pPr>
            <w:r>
              <w:rPr>
                <w:rFonts w:ascii="Arial" w:hAnsi="Arial" w:cs="Arial"/>
                <w:color w:val="000000" w:themeColor="text1"/>
                <w:sz w:val="22"/>
                <w:szCs w:val="22"/>
              </w:rPr>
              <w:t>В новую редакцию П</w:t>
            </w:r>
            <w:r w:rsidRPr="002253B6">
              <w:rPr>
                <w:rFonts w:ascii="Arial" w:hAnsi="Arial" w:cs="Arial"/>
                <w:color w:val="000000" w:themeColor="text1"/>
                <w:sz w:val="22"/>
                <w:szCs w:val="22"/>
              </w:rPr>
              <w:t>равил клиринга вносятся изменения, в соответствии с которыми размер обязат</w:t>
            </w:r>
            <w:r>
              <w:rPr>
                <w:rFonts w:ascii="Arial" w:hAnsi="Arial" w:cs="Arial"/>
                <w:color w:val="000000" w:themeColor="text1"/>
                <w:sz w:val="22"/>
                <w:szCs w:val="22"/>
              </w:rPr>
              <w:t>ельств с отложенным исполнением</w:t>
            </w:r>
            <w:r w:rsidRPr="002253B6">
              <w:rPr>
                <w:rFonts w:ascii="Arial" w:hAnsi="Arial" w:cs="Arial"/>
                <w:color w:val="000000" w:themeColor="text1"/>
                <w:sz w:val="22"/>
                <w:szCs w:val="22"/>
              </w:rPr>
              <w:t xml:space="preserve"> при возникновении у Участника клиринг</w:t>
            </w:r>
            <w:r>
              <w:rPr>
                <w:rFonts w:ascii="Arial" w:hAnsi="Arial" w:cs="Arial"/>
                <w:color w:val="000000" w:themeColor="text1"/>
                <w:sz w:val="22"/>
                <w:szCs w:val="22"/>
              </w:rPr>
              <w:t>а Итогового нетто-обязательства</w:t>
            </w:r>
            <w:r w:rsidRPr="002253B6">
              <w:rPr>
                <w:rFonts w:ascii="Arial" w:hAnsi="Arial" w:cs="Arial"/>
                <w:color w:val="000000" w:themeColor="text1"/>
                <w:sz w:val="22"/>
                <w:szCs w:val="22"/>
              </w:rPr>
              <w:t xml:space="preserve"> не изменяется (не уменьшается).</w:t>
            </w:r>
          </w:p>
          <w:p w14:paraId="37C3A767" w14:textId="03822379" w:rsidR="00F60A3D" w:rsidRPr="002253B6" w:rsidRDefault="00F60A3D" w:rsidP="00A273AC">
            <w:pPr>
              <w:spacing w:before="120"/>
              <w:jc w:val="both"/>
              <w:rPr>
                <w:rFonts w:ascii="Arial" w:hAnsi="Arial" w:cs="Arial"/>
                <w:color w:val="000000" w:themeColor="text1"/>
                <w:sz w:val="22"/>
                <w:szCs w:val="22"/>
              </w:rPr>
            </w:pPr>
            <w:r w:rsidRPr="002253B6">
              <w:rPr>
                <w:rFonts w:ascii="Arial" w:hAnsi="Arial" w:cs="Arial"/>
                <w:color w:val="000000" w:themeColor="text1"/>
                <w:sz w:val="22"/>
                <w:szCs w:val="22"/>
              </w:rPr>
              <w:t xml:space="preserve">Приведена формула расчета </w:t>
            </w:r>
            <w:r w:rsidRPr="002253B6">
              <w:rPr>
                <w:rFonts w:ascii="Arial" w:hAnsi="Arial" w:cs="Arial"/>
                <w:color w:val="000000"/>
                <w:sz w:val="22"/>
                <w:szCs w:val="22"/>
              </w:rPr>
              <w:t>размера обязательства с отложенным исполнением, учитываемого по Расчетному коду Участника клиринга</w:t>
            </w:r>
            <w:r>
              <w:rPr>
                <w:rFonts w:ascii="Arial" w:hAnsi="Arial" w:cs="Arial"/>
                <w:color w:val="000000"/>
                <w:sz w:val="22"/>
                <w:szCs w:val="22"/>
              </w:rPr>
              <w:t>,</w:t>
            </w:r>
            <w:r w:rsidRPr="002253B6">
              <w:rPr>
                <w:rFonts w:ascii="Arial" w:hAnsi="Arial" w:cs="Arial"/>
                <w:color w:val="000000"/>
                <w:sz w:val="22"/>
                <w:szCs w:val="22"/>
              </w:rPr>
              <w:t xml:space="preserve"> </w:t>
            </w:r>
            <w:r w:rsidRPr="002253B6">
              <w:rPr>
                <w:rFonts w:ascii="Arial" w:hAnsi="Arial" w:cs="Arial"/>
                <w:sz w:val="22"/>
                <w:szCs w:val="22"/>
              </w:rPr>
              <w:t>по которым учитывается Обеспечение в денежных средствах</w:t>
            </w:r>
            <w:r>
              <w:rPr>
                <w:rFonts w:ascii="Arial" w:hAnsi="Arial" w:cs="Arial"/>
                <w:sz w:val="22"/>
                <w:szCs w:val="22"/>
              </w:rPr>
              <w:t>,</w:t>
            </w:r>
            <w:r w:rsidRPr="002253B6">
              <w:rPr>
                <w:rFonts w:ascii="Arial" w:hAnsi="Arial" w:cs="Arial"/>
                <w:sz w:val="22"/>
                <w:szCs w:val="22"/>
              </w:rPr>
              <w:t xml:space="preserve"> в случаях</w:t>
            </w:r>
            <w:r>
              <w:rPr>
                <w:rFonts w:ascii="Arial" w:hAnsi="Arial" w:cs="Arial"/>
                <w:sz w:val="22"/>
                <w:szCs w:val="22"/>
              </w:rPr>
              <w:t>,</w:t>
            </w:r>
            <w:r w:rsidRPr="002253B6">
              <w:rPr>
                <w:rFonts w:ascii="Arial" w:hAnsi="Arial" w:cs="Arial"/>
                <w:sz w:val="22"/>
                <w:szCs w:val="22"/>
              </w:rPr>
              <w:t xml:space="preserve"> если распределить общую сумму обязательств с отложенным исполнением среди Участников клиринга, имеющих Нетто-требование с наступившей Датой исполнения / Итоговое нетто-требование к Клиринговому центру в денежных средствах на таком биржевом рынке, невозможно.</w:t>
            </w:r>
          </w:p>
        </w:tc>
      </w:tr>
      <w:tr w:rsidR="00F60A3D" w:rsidRPr="002253B6" w14:paraId="1F735E28" w14:textId="77777777" w:rsidTr="00F60A3D">
        <w:tc>
          <w:tcPr>
            <w:tcW w:w="3312" w:type="dxa"/>
            <w:shd w:val="clear" w:color="auto" w:fill="F2DBDB" w:themeFill="accent2" w:themeFillTint="33"/>
          </w:tcPr>
          <w:p w14:paraId="69FC9371" w14:textId="70658080" w:rsidR="00F60A3D" w:rsidRPr="002253B6" w:rsidRDefault="00F60A3D" w:rsidP="00B61B83">
            <w:pPr>
              <w:pStyle w:val="af4"/>
              <w:numPr>
                <w:ilvl w:val="0"/>
                <w:numId w:val="7"/>
              </w:numPr>
              <w:spacing w:before="240"/>
              <w:ind w:left="459" w:hanging="502"/>
              <w:rPr>
                <w:rFonts w:ascii="Arial" w:hAnsi="Arial" w:cs="Arial"/>
                <w:b/>
                <w:color w:val="000000" w:themeColor="text1"/>
                <w:sz w:val="22"/>
                <w:szCs w:val="22"/>
              </w:rPr>
            </w:pPr>
            <w:r w:rsidRPr="002253B6">
              <w:rPr>
                <w:rFonts w:ascii="Arial" w:hAnsi="Arial" w:cs="Arial"/>
                <w:b/>
                <w:color w:val="000000" w:themeColor="text1"/>
                <w:sz w:val="22"/>
                <w:szCs w:val="22"/>
              </w:rPr>
              <w:lastRenderedPageBreak/>
              <w:t>Дополнены условия исполнения распоряжения на перевод ценных бумаг,</w:t>
            </w:r>
            <w:r w:rsidRPr="002253B6">
              <w:rPr>
                <w:rFonts w:ascii="Arial" w:hAnsi="Arial" w:cs="Arial"/>
                <w:b/>
                <w:color w:val="000000"/>
                <w:sz w:val="22"/>
                <w:szCs w:val="22"/>
              </w:rPr>
              <w:t xml:space="preserve"> подаваемое Участником клиринга с использованием Клиринговой системы</w:t>
            </w:r>
          </w:p>
        </w:tc>
        <w:tc>
          <w:tcPr>
            <w:tcW w:w="3209" w:type="dxa"/>
          </w:tcPr>
          <w:p w14:paraId="19B14B2B" w14:textId="35D1F2AA" w:rsidR="00F60A3D" w:rsidRPr="002253B6" w:rsidRDefault="00F60A3D" w:rsidP="009C6F09">
            <w:pPr>
              <w:spacing w:before="240"/>
              <w:rPr>
                <w:rFonts w:ascii="Arial" w:hAnsi="Arial" w:cs="Arial"/>
                <w:color w:val="000000" w:themeColor="text1"/>
                <w:sz w:val="22"/>
                <w:szCs w:val="22"/>
              </w:rPr>
            </w:pPr>
            <w:r w:rsidRPr="002253B6">
              <w:rPr>
                <w:rFonts w:ascii="Arial" w:hAnsi="Arial" w:cs="Arial"/>
                <w:color w:val="000000" w:themeColor="text1"/>
                <w:sz w:val="22"/>
                <w:szCs w:val="22"/>
              </w:rPr>
              <w:t>Подпункт 27.10.2 общей части правил клиринга</w:t>
            </w:r>
          </w:p>
        </w:tc>
        <w:tc>
          <w:tcPr>
            <w:tcW w:w="9497" w:type="dxa"/>
          </w:tcPr>
          <w:p w14:paraId="419D606D" w14:textId="1C1E6949" w:rsidR="00F60A3D" w:rsidRPr="002253B6" w:rsidRDefault="00F60A3D" w:rsidP="00F71516">
            <w:pPr>
              <w:spacing w:before="240"/>
              <w:jc w:val="both"/>
              <w:rPr>
                <w:rFonts w:ascii="Arial" w:hAnsi="Arial" w:cs="Arial"/>
                <w:color w:val="000000" w:themeColor="text1"/>
                <w:sz w:val="22"/>
                <w:szCs w:val="22"/>
              </w:rPr>
            </w:pPr>
            <w:r w:rsidRPr="002253B6">
              <w:rPr>
                <w:rFonts w:ascii="Arial" w:hAnsi="Arial" w:cs="Arial"/>
                <w:color w:val="000000" w:themeColor="text1"/>
                <w:sz w:val="22"/>
                <w:szCs w:val="22"/>
              </w:rPr>
              <w:t>В новой редакции Правил клиринга условия исполнения распоряжения на перевод ценных бумаг,</w:t>
            </w:r>
            <w:r w:rsidRPr="002253B6">
              <w:rPr>
                <w:rFonts w:ascii="Arial" w:hAnsi="Arial" w:cs="Arial"/>
                <w:color w:val="000000"/>
                <w:sz w:val="22"/>
                <w:szCs w:val="22"/>
              </w:rPr>
              <w:t xml:space="preserve"> подаваемое Участником клиринга с использованием Клиринговой системы, дополнены еще одним условием: </w:t>
            </w:r>
            <w:r w:rsidRPr="002253B6">
              <w:rPr>
                <w:rFonts w:ascii="Arial" w:hAnsi="Arial" w:cs="Arial"/>
                <w:color w:val="000000" w:themeColor="text1"/>
                <w:sz w:val="22"/>
                <w:szCs w:val="22"/>
              </w:rPr>
              <w:t>совпадение лица, которому открыт Раздел, по которому осуществляется уменьшение количества ценных бумаг, с лицом, которому открыт Раздел, по которому осуществляется увеличение количества ценных бумаг.</w:t>
            </w:r>
          </w:p>
        </w:tc>
      </w:tr>
    </w:tbl>
    <w:p w14:paraId="09F6BFC2" w14:textId="4B75C7D4" w:rsidR="00B46909" w:rsidRDefault="00B46909" w:rsidP="00EE7E81">
      <w:pPr>
        <w:rPr>
          <w:rFonts w:ascii="Arial" w:hAnsi="Arial" w:cs="Arial"/>
          <w:b/>
          <w:bCs/>
          <w:color w:val="000000" w:themeColor="text1"/>
        </w:rPr>
      </w:pPr>
    </w:p>
    <w:p w14:paraId="1DAD06CC" w14:textId="77777777" w:rsidR="00B46909" w:rsidRPr="00B46909" w:rsidRDefault="00B46909" w:rsidP="00B46909">
      <w:pPr>
        <w:rPr>
          <w:rFonts w:ascii="Arial" w:hAnsi="Arial" w:cs="Arial"/>
        </w:rPr>
      </w:pPr>
    </w:p>
    <w:p w14:paraId="6B106B46" w14:textId="77777777" w:rsidR="00B46909" w:rsidRPr="00B46909" w:rsidRDefault="00B46909" w:rsidP="00B46909">
      <w:pPr>
        <w:rPr>
          <w:rFonts w:ascii="Arial" w:hAnsi="Arial" w:cs="Arial"/>
        </w:rPr>
      </w:pPr>
    </w:p>
    <w:p w14:paraId="6FDFCA0C" w14:textId="77777777" w:rsidR="00B46909" w:rsidRPr="00B46909" w:rsidRDefault="00B46909" w:rsidP="00B46909">
      <w:pPr>
        <w:rPr>
          <w:rFonts w:ascii="Arial" w:hAnsi="Arial" w:cs="Arial"/>
        </w:rPr>
      </w:pPr>
    </w:p>
    <w:p w14:paraId="632CC3E4" w14:textId="77777777" w:rsidR="00B46909" w:rsidRPr="00B46909" w:rsidRDefault="00B46909" w:rsidP="00B46909">
      <w:pPr>
        <w:rPr>
          <w:rFonts w:ascii="Arial" w:hAnsi="Arial" w:cs="Arial"/>
        </w:rPr>
      </w:pPr>
    </w:p>
    <w:p w14:paraId="5E6A6FB8" w14:textId="77777777" w:rsidR="00B46909" w:rsidRPr="00B46909" w:rsidRDefault="00B46909" w:rsidP="00B46909">
      <w:pPr>
        <w:rPr>
          <w:rFonts w:ascii="Arial" w:hAnsi="Arial" w:cs="Arial"/>
        </w:rPr>
      </w:pPr>
    </w:p>
    <w:p w14:paraId="040878B6" w14:textId="77777777" w:rsidR="00B46909" w:rsidRPr="00B46909" w:rsidRDefault="00B46909" w:rsidP="00B46909">
      <w:pPr>
        <w:rPr>
          <w:rFonts w:ascii="Arial" w:hAnsi="Arial" w:cs="Arial"/>
        </w:rPr>
      </w:pPr>
    </w:p>
    <w:p w14:paraId="581465F6" w14:textId="77777777" w:rsidR="00B46909" w:rsidRPr="00B46909" w:rsidRDefault="00B46909" w:rsidP="00B46909">
      <w:pPr>
        <w:rPr>
          <w:rFonts w:ascii="Arial" w:hAnsi="Arial" w:cs="Arial"/>
        </w:rPr>
      </w:pPr>
    </w:p>
    <w:p w14:paraId="2F521D6E" w14:textId="156ACA9A" w:rsidR="00805D2D" w:rsidRPr="00E36CBD" w:rsidRDefault="00805D2D" w:rsidP="00B46909">
      <w:pPr>
        <w:tabs>
          <w:tab w:val="left" w:pos="3210"/>
        </w:tabs>
        <w:rPr>
          <w:rFonts w:ascii="Arial" w:hAnsi="Arial" w:cs="Arial"/>
          <w:color w:val="000000" w:themeColor="text1"/>
        </w:rPr>
      </w:pPr>
    </w:p>
    <w:sectPr w:rsidR="00805D2D" w:rsidRPr="00E36CBD" w:rsidSect="00B61B83">
      <w:headerReference w:type="default" r:id="rId8"/>
      <w:footerReference w:type="default" r:id="rId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7E407" w14:textId="77777777" w:rsidR="00217482" w:rsidRDefault="00217482" w:rsidP="00F33E1B">
      <w:r>
        <w:separator/>
      </w:r>
    </w:p>
  </w:endnote>
  <w:endnote w:type="continuationSeparator" w:id="0">
    <w:p w14:paraId="260FDB4B" w14:textId="77777777" w:rsidR="00217482" w:rsidRDefault="00217482" w:rsidP="00F33E1B">
      <w:r>
        <w:continuationSeparator/>
      </w:r>
    </w:p>
  </w:endnote>
  <w:endnote w:type="continuationNotice" w:id="1">
    <w:p w14:paraId="005702F2" w14:textId="77777777" w:rsidR="00217482" w:rsidRDefault="00217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780964"/>
      <w:docPartObj>
        <w:docPartGallery w:val="Page Numbers (Bottom of Page)"/>
        <w:docPartUnique/>
      </w:docPartObj>
    </w:sdtPr>
    <w:sdtEndPr/>
    <w:sdtContent>
      <w:p w14:paraId="5680D3BB" w14:textId="553E3456" w:rsidR="009D77EF" w:rsidRDefault="009D77EF">
        <w:pPr>
          <w:pStyle w:val="aff"/>
          <w:jc w:val="right"/>
        </w:pPr>
        <w:r>
          <w:fldChar w:fldCharType="begin"/>
        </w:r>
        <w:r>
          <w:instrText>PAGE   \* MERGEFORMAT</w:instrText>
        </w:r>
        <w:r>
          <w:fldChar w:fldCharType="separate"/>
        </w:r>
        <w:r w:rsidR="00B61B83">
          <w:rPr>
            <w:noProof/>
          </w:rPr>
          <w:t>6</w:t>
        </w:r>
        <w:r>
          <w:fldChar w:fldCharType="end"/>
        </w:r>
      </w:p>
    </w:sdtContent>
  </w:sdt>
  <w:p w14:paraId="27478799" w14:textId="372FC307" w:rsidR="009D77EF" w:rsidRDefault="009D77EF">
    <w:pPr>
      <w:pStyle w:val="aff"/>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2DB1" w14:textId="77777777" w:rsidR="00217482" w:rsidRDefault="00217482" w:rsidP="00F33E1B">
      <w:r>
        <w:separator/>
      </w:r>
    </w:p>
  </w:footnote>
  <w:footnote w:type="continuationSeparator" w:id="0">
    <w:p w14:paraId="3954C1D9" w14:textId="77777777" w:rsidR="00217482" w:rsidRDefault="00217482" w:rsidP="00F33E1B">
      <w:r>
        <w:continuationSeparator/>
      </w:r>
    </w:p>
  </w:footnote>
  <w:footnote w:type="continuationNotice" w:id="1">
    <w:p w14:paraId="4CAC8963" w14:textId="77777777" w:rsidR="00217482" w:rsidRDefault="002174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B1C2E" w14:textId="77777777" w:rsidR="009D77EF" w:rsidRDefault="009D77EF" w:rsidP="001F74F7">
    <w:pPr>
      <w:pStyle w:val="afd"/>
      <w:tabs>
        <w:tab w:val="left" w:pos="85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DD8"/>
    <w:multiLevelType w:val="hybridMultilevel"/>
    <w:tmpl w:val="A4641D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FA0C8B"/>
    <w:multiLevelType w:val="hybridMultilevel"/>
    <w:tmpl w:val="9F10C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AC0BE8"/>
    <w:multiLevelType w:val="hybridMultilevel"/>
    <w:tmpl w:val="B9E61C16"/>
    <w:lvl w:ilvl="0" w:tplc="B3C66902">
      <w:start w:val="1"/>
      <w:numFmt w:val="decimal"/>
      <w:pStyle w:val="a"/>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4" w15:restartNumberingAfterBreak="0">
    <w:nsid w:val="2F447123"/>
    <w:multiLevelType w:val="hybridMultilevel"/>
    <w:tmpl w:val="2A1AA06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3477069B"/>
    <w:multiLevelType w:val="hybridMultilevel"/>
    <w:tmpl w:val="734C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18286E"/>
    <w:multiLevelType w:val="hybridMultilevel"/>
    <w:tmpl w:val="01FED6F6"/>
    <w:lvl w:ilvl="0" w:tplc="F238F31C">
      <w:start w:val="1"/>
      <w:numFmt w:val="decimal"/>
      <w:lvlText w:val="%1)"/>
      <w:lvlJc w:val="left"/>
      <w:pPr>
        <w:ind w:left="720" w:hanging="360"/>
      </w:pPr>
      <w:rPr>
        <w:rFonts w:ascii="Arial" w:hAnsi="Arial" w:cs="Arial" w:hint="default"/>
        <w:b/>
        <w:sz w:val="22"/>
        <w:szCs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BC7D50"/>
    <w:multiLevelType w:val="multilevel"/>
    <w:tmpl w:val="0430E84E"/>
    <w:lvl w:ilvl="0">
      <w:start w:val="1"/>
      <w:numFmt w:val="decimal"/>
      <w:lvlText w:val="Приложение № %1. "/>
      <w:lvlJc w:val="left"/>
      <w:pPr>
        <w:tabs>
          <w:tab w:val="num" w:pos="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0"/>
      <w:lvlText w:val="%2."/>
      <w:lvlJc w:val="left"/>
      <w:pPr>
        <w:tabs>
          <w:tab w:val="num" w:pos="-7371"/>
        </w:tabs>
        <w:ind w:left="-7371" w:hanging="851"/>
      </w:pPr>
      <w:rPr>
        <w:rFonts w:hint="default"/>
      </w:rPr>
    </w:lvl>
    <w:lvl w:ilvl="2">
      <w:start w:val="1"/>
      <w:numFmt w:val="decimal"/>
      <w:lvlText w:val="%2.%3."/>
      <w:lvlJc w:val="left"/>
      <w:pPr>
        <w:tabs>
          <w:tab w:val="num" w:pos="-7371"/>
        </w:tabs>
        <w:ind w:left="-7371" w:hanging="851"/>
      </w:pPr>
      <w:rPr>
        <w:rFonts w:hint="default"/>
      </w:rPr>
    </w:lvl>
    <w:lvl w:ilvl="3">
      <w:start w:val="1"/>
      <w:numFmt w:val="decimal"/>
      <w:pStyle w:val="a1"/>
      <w:lvlText w:val="%2.%3.%4."/>
      <w:lvlJc w:val="left"/>
      <w:pPr>
        <w:tabs>
          <w:tab w:val="num" w:pos="-7371"/>
        </w:tabs>
        <w:ind w:left="-7371" w:hanging="851"/>
      </w:pPr>
      <w:rPr>
        <w:rFonts w:hint="default"/>
      </w:rPr>
    </w:lvl>
    <w:lvl w:ilvl="4">
      <w:start w:val="1"/>
      <w:numFmt w:val="decimal"/>
      <w:pStyle w:val="4-"/>
      <w:lvlText w:val="%2.%3.%4.%5."/>
      <w:lvlJc w:val="left"/>
      <w:pPr>
        <w:tabs>
          <w:tab w:val="num" w:pos="-7371"/>
        </w:tabs>
        <w:ind w:left="-7371" w:hanging="851"/>
      </w:pPr>
      <w:rPr>
        <w:rFonts w:hint="default"/>
      </w:rPr>
    </w:lvl>
    <w:lvl w:ilvl="5">
      <w:start w:val="1"/>
      <w:numFmt w:val="decimal"/>
      <w:lvlText w:val="%1.%2.%3.%4.%5.%6."/>
      <w:lvlJc w:val="left"/>
      <w:pPr>
        <w:tabs>
          <w:tab w:val="num" w:pos="-5342"/>
        </w:tabs>
        <w:ind w:left="-5486" w:hanging="936"/>
      </w:pPr>
      <w:rPr>
        <w:rFonts w:hint="default"/>
      </w:rPr>
    </w:lvl>
    <w:lvl w:ilvl="6">
      <w:start w:val="1"/>
      <w:numFmt w:val="decimal"/>
      <w:lvlText w:val="%1.%2.%3.%4.%5.%6.%7."/>
      <w:lvlJc w:val="left"/>
      <w:pPr>
        <w:tabs>
          <w:tab w:val="num" w:pos="-4622"/>
        </w:tabs>
        <w:ind w:left="-4982" w:hanging="1080"/>
      </w:pPr>
      <w:rPr>
        <w:rFonts w:hint="default"/>
      </w:rPr>
    </w:lvl>
    <w:lvl w:ilvl="7">
      <w:start w:val="1"/>
      <w:numFmt w:val="decimal"/>
      <w:lvlText w:val="%1.%2.%3.%4.%5.%6.%7.%8."/>
      <w:lvlJc w:val="left"/>
      <w:pPr>
        <w:tabs>
          <w:tab w:val="num" w:pos="-4262"/>
        </w:tabs>
        <w:ind w:left="-4478" w:hanging="1224"/>
      </w:pPr>
      <w:rPr>
        <w:rFonts w:hint="default"/>
      </w:rPr>
    </w:lvl>
    <w:lvl w:ilvl="8">
      <w:start w:val="1"/>
      <w:numFmt w:val="decimal"/>
      <w:lvlText w:val="%1.%2.%3.%4.%5.%6.%7.%8.%9."/>
      <w:lvlJc w:val="left"/>
      <w:pPr>
        <w:tabs>
          <w:tab w:val="num" w:pos="-3542"/>
        </w:tabs>
        <w:ind w:left="-3902" w:hanging="1440"/>
      </w:pPr>
      <w:rPr>
        <w:rFonts w:hint="default"/>
      </w:rPr>
    </w:lvl>
  </w:abstractNum>
  <w:abstractNum w:abstractNumId="8" w15:restartNumberingAfterBreak="0">
    <w:nsid w:val="5CCE2514"/>
    <w:multiLevelType w:val="hybridMultilevel"/>
    <w:tmpl w:val="57DC1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C86441"/>
    <w:multiLevelType w:val="hybridMultilevel"/>
    <w:tmpl w:val="10804582"/>
    <w:lvl w:ilvl="0" w:tplc="13285474">
      <w:start w:val="1"/>
      <w:numFmt w:val="decimal"/>
      <w:pStyle w:val="a2"/>
      <w:lvlText w:val="%1."/>
      <w:lvlJc w:val="left"/>
      <w:pPr>
        <w:ind w:left="1400" w:hanging="360"/>
      </w:pPr>
      <w:rPr>
        <w:rFonts w:hint="default"/>
        <w:b w:val="0"/>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15:restartNumberingAfterBreak="0">
    <w:nsid w:val="6D1F10B0"/>
    <w:multiLevelType w:val="hybridMultilevel"/>
    <w:tmpl w:val="7EB68EA0"/>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29811D2"/>
    <w:multiLevelType w:val="hybridMultilevel"/>
    <w:tmpl w:val="C652C9F0"/>
    <w:lvl w:ilvl="0" w:tplc="DBDAE932">
      <w:start w:val="1"/>
      <w:numFmt w:val="decimal"/>
      <w:pStyle w:val="a3"/>
      <w:lvlText w:val="Приложение № %1. "/>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6945FB"/>
    <w:multiLevelType w:val="hybridMultilevel"/>
    <w:tmpl w:val="21A41038"/>
    <w:lvl w:ilvl="0" w:tplc="B29A62F4">
      <w:start w:val="1"/>
      <w:numFmt w:val="bullet"/>
      <w:pStyle w:val="a4"/>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9"/>
  </w:num>
  <w:num w:numId="2">
    <w:abstractNumId w:val="12"/>
  </w:num>
  <w:num w:numId="3">
    <w:abstractNumId w:val="2"/>
  </w:num>
  <w:num w:numId="4">
    <w:abstractNumId w:val="4"/>
  </w:num>
  <w:num w:numId="5">
    <w:abstractNumId w:val="10"/>
  </w:num>
  <w:num w:numId="6">
    <w:abstractNumId w:val="3"/>
  </w:num>
  <w:num w:numId="7">
    <w:abstractNumId w:val="6"/>
  </w:num>
  <w:num w:numId="8">
    <w:abstractNumId w:val="7"/>
  </w:num>
  <w:num w:numId="9">
    <w:abstractNumId w:val="11"/>
  </w:num>
  <w:num w:numId="10">
    <w:abstractNumId w:val="5"/>
  </w:num>
  <w:num w:numId="11">
    <w:abstractNumId w:val="0"/>
  </w:num>
  <w:num w:numId="12">
    <w:abstractNumId w:val="1"/>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doNotHyphenateCaps/>
  <w:characterSpacingControl w:val="doNotCompress"/>
  <w:doNotValidateAgainstSchema/>
  <w:doNotDemarcateInvalidXml/>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81"/>
    <w:rsid w:val="000013FA"/>
    <w:rsid w:val="00002C10"/>
    <w:rsid w:val="0000303D"/>
    <w:rsid w:val="00004A5B"/>
    <w:rsid w:val="00005E9F"/>
    <w:rsid w:val="00005F61"/>
    <w:rsid w:val="00006535"/>
    <w:rsid w:val="000066E1"/>
    <w:rsid w:val="00010C0F"/>
    <w:rsid w:val="000119F8"/>
    <w:rsid w:val="00011CDC"/>
    <w:rsid w:val="00013A22"/>
    <w:rsid w:val="00016CDF"/>
    <w:rsid w:val="00020AC5"/>
    <w:rsid w:val="000211A1"/>
    <w:rsid w:val="00021D78"/>
    <w:rsid w:val="00023B50"/>
    <w:rsid w:val="00031D94"/>
    <w:rsid w:val="00034975"/>
    <w:rsid w:val="000405E8"/>
    <w:rsid w:val="00044289"/>
    <w:rsid w:val="00047E4F"/>
    <w:rsid w:val="000519B0"/>
    <w:rsid w:val="00051F2D"/>
    <w:rsid w:val="000546F0"/>
    <w:rsid w:val="00054A61"/>
    <w:rsid w:val="00063ADA"/>
    <w:rsid w:val="00065372"/>
    <w:rsid w:val="00066544"/>
    <w:rsid w:val="0006680F"/>
    <w:rsid w:val="00066B9B"/>
    <w:rsid w:val="00070F42"/>
    <w:rsid w:val="00071484"/>
    <w:rsid w:val="000744F5"/>
    <w:rsid w:val="0007692B"/>
    <w:rsid w:val="0007723D"/>
    <w:rsid w:val="00077C99"/>
    <w:rsid w:val="000803F4"/>
    <w:rsid w:val="00080E27"/>
    <w:rsid w:val="00083136"/>
    <w:rsid w:val="0008364E"/>
    <w:rsid w:val="00086E4B"/>
    <w:rsid w:val="0009308D"/>
    <w:rsid w:val="000935D4"/>
    <w:rsid w:val="000948FF"/>
    <w:rsid w:val="000968E6"/>
    <w:rsid w:val="000A1D1F"/>
    <w:rsid w:val="000A363B"/>
    <w:rsid w:val="000A555A"/>
    <w:rsid w:val="000A774A"/>
    <w:rsid w:val="000B127C"/>
    <w:rsid w:val="000B1B53"/>
    <w:rsid w:val="000B5542"/>
    <w:rsid w:val="000B6692"/>
    <w:rsid w:val="000C0C6C"/>
    <w:rsid w:val="000C1059"/>
    <w:rsid w:val="000C193B"/>
    <w:rsid w:val="000C1C79"/>
    <w:rsid w:val="000C1D65"/>
    <w:rsid w:val="000C32C4"/>
    <w:rsid w:val="000D02DC"/>
    <w:rsid w:val="000D0467"/>
    <w:rsid w:val="000D24E1"/>
    <w:rsid w:val="000D2A4F"/>
    <w:rsid w:val="000D3F0E"/>
    <w:rsid w:val="000D513A"/>
    <w:rsid w:val="000D698A"/>
    <w:rsid w:val="000E1363"/>
    <w:rsid w:val="000E234D"/>
    <w:rsid w:val="000E40C0"/>
    <w:rsid w:val="000E5DA2"/>
    <w:rsid w:val="000E6403"/>
    <w:rsid w:val="000F1278"/>
    <w:rsid w:val="000F242A"/>
    <w:rsid w:val="000F383E"/>
    <w:rsid w:val="000F3A32"/>
    <w:rsid w:val="000F3AD6"/>
    <w:rsid w:val="000F6A6B"/>
    <w:rsid w:val="000F70AC"/>
    <w:rsid w:val="000F7FBD"/>
    <w:rsid w:val="00104B79"/>
    <w:rsid w:val="00106AFD"/>
    <w:rsid w:val="00107656"/>
    <w:rsid w:val="00110626"/>
    <w:rsid w:val="001165AB"/>
    <w:rsid w:val="00116FA1"/>
    <w:rsid w:val="001208E3"/>
    <w:rsid w:val="00122B20"/>
    <w:rsid w:val="00122C21"/>
    <w:rsid w:val="00123130"/>
    <w:rsid w:val="00127C81"/>
    <w:rsid w:val="0013421D"/>
    <w:rsid w:val="00134BD3"/>
    <w:rsid w:val="00136080"/>
    <w:rsid w:val="00140966"/>
    <w:rsid w:val="0014105D"/>
    <w:rsid w:val="00143070"/>
    <w:rsid w:val="00144219"/>
    <w:rsid w:val="0014644C"/>
    <w:rsid w:val="00146AC8"/>
    <w:rsid w:val="001513D8"/>
    <w:rsid w:val="001521F5"/>
    <w:rsid w:val="001539A7"/>
    <w:rsid w:val="00155D63"/>
    <w:rsid w:val="00161230"/>
    <w:rsid w:val="00163BF1"/>
    <w:rsid w:val="00165D2C"/>
    <w:rsid w:val="00167FBB"/>
    <w:rsid w:val="00171949"/>
    <w:rsid w:val="00171EA9"/>
    <w:rsid w:val="00172D9B"/>
    <w:rsid w:val="00175E59"/>
    <w:rsid w:val="00184EEE"/>
    <w:rsid w:val="00186B4C"/>
    <w:rsid w:val="00187637"/>
    <w:rsid w:val="00187814"/>
    <w:rsid w:val="00190F42"/>
    <w:rsid w:val="00191173"/>
    <w:rsid w:val="0019208D"/>
    <w:rsid w:val="00192579"/>
    <w:rsid w:val="001929CE"/>
    <w:rsid w:val="00194834"/>
    <w:rsid w:val="00196C74"/>
    <w:rsid w:val="00196EDF"/>
    <w:rsid w:val="001A05F5"/>
    <w:rsid w:val="001A0DC0"/>
    <w:rsid w:val="001A1978"/>
    <w:rsid w:val="001A3E19"/>
    <w:rsid w:val="001A4DB9"/>
    <w:rsid w:val="001A5362"/>
    <w:rsid w:val="001A7B20"/>
    <w:rsid w:val="001B15FD"/>
    <w:rsid w:val="001B21A6"/>
    <w:rsid w:val="001B31F3"/>
    <w:rsid w:val="001B587E"/>
    <w:rsid w:val="001B72D3"/>
    <w:rsid w:val="001B7DEC"/>
    <w:rsid w:val="001C15DD"/>
    <w:rsid w:val="001C2EB2"/>
    <w:rsid w:val="001C51E7"/>
    <w:rsid w:val="001C7856"/>
    <w:rsid w:val="001D46B0"/>
    <w:rsid w:val="001D47D8"/>
    <w:rsid w:val="001D688C"/>
    <w:rsid w:val="001D742C"/>
    <w:rsid w:val="001E387E"/>
    <w:rsid w:val="001E3DAE"/>
    <w:rsid w:val="001E6C49"/>
    <w:rsid w:val="001F04A7"/>
    <w:rsid w:val="001F3A6D"/>
    <w:rsid w:val="001F74F7"/>
    <w:rsid w:val="001F7712"/>
    <w:rsid w:val="002016EF"/>
    <w:rsid w:val="00203C05"/>
    <w:rsid w:val="0020493C"/>
    <w:rsid w:val="00204A24"/>
    <w:rsid w:val="00205002"/>
    <w:rsid w:val="00206F02"/>
    <w:rsid w:val="00210C16"/>
    <w:rsid w:val="00211683"/>
    <w:rsid w:val="002147AF"/>
    <w:rsid w:val="00215637"/>
    <w:rsid w:val="00216D19"/>
    <w:rsid w:val="00217482"/>
    <w:rsid w:val="00221188"/>
    <w:rsid w:val="00222FED"/>
    <w:rsid w:val="00224AA7"/>
    <w:rsid w:val="002253B6"/>
    <w:rsid w:val="00227C0C"/>
    <w:rsid w:val="002301F7"/>
    <w:rsid w:val="00230AA8"/>
    <w:rsid w:val="00232777"/>
    <w:rsid w:val="00234533"/>
    <w:rsid w:val="0023678F"/>
    <w:rsid w:val="00236CB5"/>
    <w:rsid w:val="00240C2A"/>
    <w:rsid w:val="00241AFD"/>
    <w:rsid w:val="002441A3"/>
    <w:rsid w:val="0024432E"/>
    <w:rsid w:val="00244648"/>
    <w:rsid w:val="002455D7"/>
    <w:rsid w:val="002458C1"/>
    <w:rsid w:val="00246082"/>
    <w:rsid w:val="00246139"/>
    <w:rsid w:val="00253512"/>
    <w:rsid w:val="002540B1"/>
    <w:rsid w:val="00255E88"/>
    <w:rsid w:val="00256F6A"/>
    <w:rsid w:val="002620B7"/>
    <w:rsid w:val="002657EA"/>
    <w:rsid w:val="00265A67"/>
    <w:rsid w:val="0026796D"/>
    <w:rsid w:val="0027172F"/>
    <w:rsid w:val="00271F49"/>
    <w:rsid w:val="00272D23"/>
    <w:rsid w:val="00272DCA"/>
    <w:rsid w:val="00273383"/>
    <w:rsid w:val="002764C5"/>
    <w:rsid w:val="002767C3"/>
    <w:rsid w:val="00276CA0"/>
    <w:rsid w:val="00277CF2"/>
    <w:rsid w:val="00280402"/>
    <w:rsid w:val="00280D03"/>
    <w:rsid w:val="0028149F"/>
    <w:rsid w:val="00285294"/>
    <w:rsid w:val="00285AE4"/>
    <w:rsid w:val="002863D5"/>
    <w:rsid w:val="00293285"/>
    <w:rsid w:val="00293865"/>
    <w:rsid w:val="0029532C"/>
    <w:rsid w:val="002956BF"/>
    <w:rsid w:val="00295A09"/>
    <w:rsid w:val="00296D06"/>
    <w:rsid w:val="002974D1"/>
    <w:rsid w:val="002A046E"/>
    <w:rsid w:val="002A0ECE"/>
    <w:rsid w:val="002A51AC"/>
    <w:rsid w:val="002A55E0"/>
    <w:rsid w:val="002B1C4F"/>
    <w:rsid w:val="002B3711"/>
    <w:rsid w:val="002B6CF9"/>
    <w:rsid w:val="002C1517"/>
    <w:rsid w:val="002C4E1A"/>
    <w:rsid w:val="002C7CF9"/>
    <w:rsid w:val="002D0A95"/>
    <w:rsid w:val="002D19F4"/>
    <w:rsid w:val="002D3A7C"/>
    <w:rsid w:val="002D6F8B"/>
    <w:rsid w:val="002E4F23"/>
    <w:rsid w:val="002E590F"/>
    <w:rsid w:val="002E5E44"/>
    <w:rsid w:val="002E6198"/>
    <w:rsid w:val="002F0C3D"/>
    <w:rsid w:val="002F1374"/>
    <w:rsid w:val="002F21E2"/>
    <w:rsid w:val="002F2AC1"/>
    <w:rsid w:val="002F32D8"/>
    <w:rsid w:val="002F3BA9"/>
    <w:rsid w:val="002F5417"/>
    <w:rsid w:val="0030012A"/>
    <w:rsid w:val="003007FA"/>
    <w:rsid w:val="00300FA1"/>
    <w:rsid w:val="00303747"/>
    <w:rsid w:val="0030394C"/>
    <w:rsid w:val="00310740"/>
    <w:rsid w:val="00310EBE"/>
    <w:rsid w:val="00311F4C"/>
    <w:rsid w:val="00312F7A"/>
    <w:rsid w:val="0031490D"/>
    <w:rsid w:val="003177BD"/>
    <w:rsid w:val="00320055"/>
    <w:rsid w:val="00321F5F"/>
    <w:rsid w:val="003233F6"/>
    <w:rsid w:val="00326712"/>
    <w:rsid w:val="003274B8"/>
    <w:rsid w:val="003311C1"/>
    <w:rsid w:val="00332A1D"/>
    <w:rsid w:val="00332A50"/>
    <w:rsid w:val="00333A14"/>
    <w:rsid w:val="00333E8D"/>
    <w:rsid w:val="003347BC"/>
    <w:rsid w:val="00340C1B"/>
    <w:rsid w:val="0034313F"/>
    <w:rsid w:val="0034422E"/>
    <w:rsid w:val="00346833"/>
    <w:rsid w:val="00346C99"/>
    <w:rsid w:val="00347577"/>
    <w:rsid w:val="003517FF"/>
    <w:rsid w:val="00351BD6"/>
    <w:rsid w:val="00353AC1"/>
    <w:rsid w:val="00355541"/>
    <w:rsid w:val="00356273"/>
    <w:rsid w:val="003564BC"/>
    <w:rsid w:val="003619FE"/>
    <w:rsid w:val="00362007"/>
    <w:rsid w:val="00362958"/>
    <w:rsid w:val="00362B54"/>
    <w:rsid w:val="0036352C"/>
    <w:rsid w:val="00364AE9"/>
    <w:rsid w:val="00365437"/>
    <w:rsid w:val="00366246"/>
    <w:rsid w:val="00371A40"/>
    <w:rsid w:val="00374A15"/>
    <w:rsid w:val="00374C96"/>
    <w:rsid w:val="003770A8"/>
    <w:rsid w:val="00380A44"/>
    <w:rsid w:val="00385C06"/>
    <w:rsid w:val="003874F5"/>
    <w:rsid w:val="00390230"/>
    <w:rsid w:val="003907DA"/>
    <w:rsid w:val="003914AE"/>
    <w:rsid w:val="00391A96"/>
    <w:rsid w:val="003961B0"/>
    <w:rsid w:val="003A087C"/>
    <w:rsid w:val="003A1B51"/>
    <w:rsid w:val="003A2D13"/>
    <w:rsid w:val="003A322B"/>
    <w:rsid w:val="003A3A2C"/>
    <w:rsid w:val="003A490B"/>
    <w:rsid w:val="003A72D4"/>
    <w:rsid w:val="003A7A5F"/>
    <w:rsid w:val="003B0C5C"/>
    <w:rsid w:val="003B19A6"/>
    <w:rsid w:val="003B2A10"/>
    <w:rsid w:val="003B3A2A"/>
    <w:rsid w:val="003B48BB"/>
    <w:rsid w:val="003B52B3"/>
    <w:rsid w:val="003B5E03"/>
    <w:rsid w:val="003B7159"/>
    <w:rsid w:val="003B7664"/>
    <w:rsid w:val="003C072A"/>
    <w:rsid w:val="003C07B0"/>
    <w:rsid w:val="003C183F"/>
    <w:rsid w:val="003C55D4"/>
    <w:rsid w:val="003C6211"/>
    <w:rsid w:val="003C6218"/>
    <w:rsid w:val="003C64E2"/>
    <w:rsid w:val="003D0269"/>
    <w:rsid w:val="003D28E0"/>
    <w:rsid w:val="003D7B57"/>
    <w:rsid w:val="003D7EAB"/>
    <w:rsid w:val="003E17D2"/>
    <w:rsid w:val="003E2BF8"/>
    <w:rsid w:val="003E2ED7"/>
    <w:rsid w:val="003E57FA"/>
    <w:rsid w:val="003F14B8"/>
    <w:rsid w:val="003F2B6C"/>
    <w:rsid w:val="003F6085"/>
    <w:rsid w:val="003F6A1D"/>
    <w:rsid w:val="003F714E"/>
    <w:rsid w:val="00400419"/>
    <w:rsid w:val="0040253A"/>
    <w:rsid w:val="004040FA"/>
    <w:rsid w:val="00404B1B"/>
    <w:rsid w:val="004050FB"/>
    <w:rsid w:val="004060BE"/>
    <w:rsid w:val="00407D20"/>
    <w:rsid w:val="00410038"/>
    <w:rsid w:val="004111CE"/>
    <w:rsid w:val="00414C4B"/>
    <w:rsid w:val="00415735"/>
    <w:rsid w:val="0041633C"/>
    <w:rsid w:val="00416D38"/>
    <w:rsid w:val="00425266"/>
    <w:rsid w:val="00425C6C"/>
    <w:rsid w:val="004267C5"/>
    <w:rsid w:val="0043266D"/>
    <w:rsid w:val="004336E8"/>
    <w:rsid w:val="00434427"/>
    <w:rsid w:val="0043669E"/>
    <w:rsid w:val="00436986"/>
    <w:rsid w:val="00442A6D"/>
    <w:rsid w:val="00442C11"/>
    <w:rsid w:val="00442D65"/>
    <w:rsid w:val="004436E2"/>
    <w:rsid w:val="004439FD"/>
    <w:rsid w:val="00445C44"/>
    <w:rsid w:val="00446455"/>
    <w:rsid w:val="004508AA"/>
    <w:rsid w:val="0045459B"/>
    <w:rsid w:val="00454998"/>
    <w:rsid w:val="004637FC"/>
    <w:rsid w:val="00463B8B"/>
    <w:rsid w:val="00463F57"/>
    <w:rsid w:val="0046423C"/>
    <w:rsid w:val="00464583"/>
    <w:rsid w:val="00464C7A"/>
    <w:rsid w:val="00465BCC"/>
    <w:rsid w:val="00466644"/>
    <w:rsid w:val="004666F1"/>
    <w:rsid w:val="00467264"/>
    <w:rsid w:val="004706EA"/>
    <w:rsid w:val="0047070E"/>
    <w:rsid w:val="0047542C"/>
    <w:rsid w:val="004759A5"/>
    <w:rsid w:val="004773F1"/>
    <w:rsid w:val="00477759"/>
    <w:rsid w:val="0048211D"/>
    <w:rsid w:val="00482871"/>
    <w:rsid w:val="00483D12"/>
    <w:rsid w:val="00484C9A"/>
    <w:rsid w:val="00484E41"/>
    <w:rsid w:val="00485709"/>
    <w:rsid w:val="0048683D"/>
    <w:rsid w:val="0048770D"/>
    <w:rsid w:val="00487EE2"/>
    <w:rsid w:val="00490C8D"/>
    <w:rsid w:val="00492026"/>
    <w:rsid w:val="004945AF"/>
    <w:rsid w:val="004968B8"/>
    <w:rsid w:val="00496F03"/>
    <w:rsid w:val="00497905"/>
    <w:rsid w:val="00497B4A"/>
    <w:rsid w:val="004A0059"/>
    <w:rsid w:val="004A3C32"/>
    <w:rsid w:val="004A474D"/>
    <w:rsid w:val="004A6529"/>
    <w:rsid w:val="004A7AD0"/>
    <w:rsid w:val="004B00E5"/>
    <w:rsid w:val="004B11A8"/>
    <w:rsid w:val="004B225D"/>
    <w:rsid w:val="004B3138"/>
    <w:rsid w:val="004B6790"/>
    <w:rsid w:val="004B6FB2"/>
    <w:rsid w:val="004B703E"/>
    <w:rsid w:val="004C0FE1"/>
    <w:rsid w:val="004C777B"/>
    <w:rsid w:val="004D156B"/>
    <w:rsid w:val="004D291D"/>
    <w:rsid w:val="004D3ABC"/>
    <w:rsid w:val="004D5E0D"/>
    <w:rsid w:val="004E08EF"/>
    <w:rsid w:val="004E0B7F"/>
    <w:rsid w:val="004E0D08"/>
    <w:rsid w:val="004E137C"/>
    <w:rsid w:val="004E3F1F"/>
    <w:rsid w:val="004E566C"/>
    <w:rsid w:val="004E66EF"/>
    <w:rsid w:val="004E6988"/>
    <w:rsid w:val="004F1BD8"/>
    <w:rsid w:val="004F3552"/>
    <w:rsid w:val="004F414B"/>
    <w:rsid w:val="004F6F9F"/>
    <w:rsid w:val="004F7530"/>
    <w:rsid w:val="004F7CFC"/>
    <w:rsid w:val="0050064C"/>
    <w:rsid w:val="00500F08"/>
    <w:rsid w:val="00502328"/>
    <w:rsid w:val="00504667"/>
    <w:rsid w:val="00506A90"/>
    <w:rsid w:val="00507705"/>
    <w:rsid w:val="0051064E"/>
    <w:rsid w:val="005113E6"/>
    <w:rsid w:val="00512E25"/>
    <w:rsid w:val="00513BB3"/>
    <w:rsid w:val="005152C5"/>
    <w:rsid w:val="0051726F"/>
    <w:rsid w:val="005215A9"/>
    <w:rsid w:val="00521A17"/>
    <w:rsid w:val="005243FA"/>
    <w:rsid w:val="00525263"/>
    <w:rsid w:val="00527B19"/>
    <w:rsid w:val="00531589"/>
    <w:rsid w:val="00534EB8"/>
    <w:rsid w:val="00535A16"/>
    <w:rsid w:val="00535B13"/>
    <w:rsid w:val="005367B4"/>
    <w:rsid w:val="005376C6"/>
    <w:rsid w:val="0054383E"/>
    <w:rsid w:val="00544362"/>
    <w:rsid w:val="0054534F"/>
    <w:rsid w:val="00555E01"/>
    <w:rsid w:val="00561BBE"/>
    <w:rsid w:val="00562A30"/>
    <w:rsid w:val="00564494"/>
    <w:rsid w:val="005676B5"/>
    <w:rsid w:val="0056795C"/>
    <w:rsid w:val="00572E85"/>
    <w:rsid w:val="005742CB"/>
    <w:rsid w:val="00575AF7"/>
    <w:rsid w:val="00580503"/>
    <w:rsid w:val="005833BB"/>
    <w:rsid w:val="005856AD"/>
    <w:rsid w:val="00592547"/>
    <w:rsid w:val="00594EFB"/>
    <w:rsid w:val="00595D58"/>
    <w:rsid w:val="005A007D"/>
    <w:rsid w:val="005A20E9"/>
    <w:rsid w:val="005A44F5"/>
    <w:rsid w:val="005A58F9"/>
    <w:rsid w:val="005A7AA9"/>
    <w:rsid w:val="005C0265"/>
    <w:rsid w:val="005C10FA"/>
    <w:rsid w:val="005C1FAD"/>
    <w:rsid w:val="005C3CF0"/>
    <w:rsid w:val="005C44C1"/>
    <w:rsid w:val="005C533E"/>
    <w:rsid w:val="005D0CBA"/>
    <w:rsid w:val="005D2C11"/>
    <w:rsid w:val="005D2C16"/>
    <w:rsid w:val="005D3A80"/>
    <w:rsid w:val="005D4FD8"/>
    <w:rsid w:val="005D653C"/>
    <w:rsid w:val="005E08AC"/>
    <w:rsid w:val="005E09A7"/>
    <w:rsid w:val="005E0F7F"/>
    <w:rsid w:val="005E0FDC"/>
    <w:rsid w:val="005E1DD4"/>
    <w:rsid w:val="005E2D5A"/>
    <w:rsid w:val="005E4544"/>
    <w:rsid w:val="005E517C"/>
    <w:rsid w:val="005E750C"/>
    <w:rsid w:val="005E79F5"/>
    <w:rsid w:val="005F3F3F"/>
    <w:rsid w:val="005F44DC"/>
    <w:rsid w:val="005F4FE8"/>
    <w:rsid w:val="005F6239"/>
    <w:rsid w:val="005F63BD"/>
    <w:rsid w:val="00601C94"/>
    <w:rsid w:val="006030BD"/>
    <w:rsid w:val="006100AE"/>
    <w:rsid w:val="00610A4F"/>
    <w:rsid w:val="0061236E"/>
    <w:rsid w:val="006130C7"/>
    <w:rsid w:val="00613773"/>
    <w:rsid w:val="00616E69"/>
    <w:rsid w:val="00617277"/>
    <w:rsid w:val="0061757B"/>
    <w:rsid w:val="0062056E"/>
    <w:rsid w:val="00621C9A"/>
    <w:rsid w:val="0062295A"/>
    <w:rsid w:val="00622CB3"/>
    <w:rsid w:val="00626151"/>
    <w:rsid w:val="0063281D"/>
    <w:rsid w:val="00633D9B"/>
    <w:rsid w:val="00634E03"/>
    <w:rsid w:val="00635B5D"/>
    <w:rsid w:val="006412BF"/>
    <w:rsid w:val="00647033"/>
    <w:rsid w:val="00650322"/>
    <w:rsid w:val="0065034C"/>
    <w:rsid w:val="0065103E"/>
    <w:rsid w:val="00651878"/>
    <w:rsid w:val="00651E6A"/>
    <w:rsid w:val="0065317E"/>
    <w:rsid w:val="006544AC"/>
    <w:rsid w:val="00654C29"/>
    <w:rsid w:val="00655F03"/>
    <w:rsid w:val="006611FC"/>
    <w:rsid w:val="006623AF"/>
    <w:rsid w:val="00662613"/>
    <w:rsid w:val="006658F6"/>
    <w:rsid w:val="00667C90"/>
    <w:rsid w:val="006705A4"/>
    <w:rsid w:val="00671006"/>
    <w:rsid w:val="0067127F"/>
    <w:rsid w:val="0067150E"/>
    <w:rsid w:val="006727FA"/>
    <w:rsid w:val="00673248"/>
    <w:rsid w:val="00673B66"/>
    <w:rsid w:val="00673FE3"/>
    <w:rsid w:val="00674EF2"/>
    <w:rsid w:val="00676980"/>
    <w:rsid w:val="00680CD9"/>
    <w:rsid w:val="00681E2F"/>
    <w:rsid w:val="00683114"/>
    <w:rsid w:val="00684081"/>
    <w:rsid w:val="00685238"/>
    <w:rsid w:val="00686886"/>
    <w:rsid w:val="00686CA6"/>
    <w:rsid w:val="0069295F"/>
    <w:rsid w:val="00692FD3"/>
    <w:rsid w:val="00693FC1"/>
    <w:rsid w:val="00694CAD"/>
    <w:rsid w:val="00696246"/>
    <w:rsid w:val="006A03FD"/>
    <w:rsid w:val="006A2398"/>
    <w:rsid w:val="006A5058"/>
    <w:rsid w:val="006A550B"/>
    <w:rsid w:val="006A6C1F"/>
    <w:rsid w:val="006B1476"/>
    <w:rsid w:val="006B7663"/>
    <w:rsid w:val="006C0877"/>
    <w:rsid w:val="006C209C"/>
    <w:rsid w:val="006C7A05"/>
    <w:rsid w:val="006D64CA"/>
    <w:rsid w:val="006D65C7"/>
    <w:rsid w:val="006D7FD6"/>
    <w:rsid w:val="006E0328"/>
    <w:rsid w:val="006E1C76"/>
    <w:rsid w:val="006E231B"/>
    <w:rsid w:val="006E41D0"/>
    <w:rsid w:val="006E41F5"/>
    <w:rsid w:val="006F10A5"/>
    <w:rsid w:val="006F2EF7"/>
    <w:rsid w:val="006F341F"/>
    <w:rsid w:val="006F3A5A"/>
    <w:rsid w:val="006F52D2"/>
    <w:rsid w:val="006F6492"/>
    <w:rsid w:val="006F6F4D"/>
    <w:rsid w:val="007032BC"/>
    <w:rsid w:val="007040B9"/>
    <w:rsid w:val="00704E94"/>
    <w:rsid w:val="0070675F"/>
    <w:rsid w:val="00713703"/>
    <w:rsid w:val="007137EA"/>
    <w:rsid w:val="00716054"/>
    <w:rsid w:val="00720ADE"/>
    <w:rsid w:val="00726143"/>
    <w:rsid w:val="0073658C"/>
    <w:rsid w:val="007375C5"/>
    <w:rsid w:val="0074105D"/>
    <w:rsid w:val="00741874"/>
    <w:rsid w:val="00742BC1"/>
    <w:rsid w:val="007433AC"/>
    <w:rsid w:val="00743F35"/>
    <w:rsid w:val="007448BA"/>
    <w:rsid w:val="00745E89"/>
    <w:rsid w:val="00747D80"/>
    <w:rsid w:val="0075160A"/>
    <w:rsid w:val="0075274D"/>
    <w:rsid w:val="007536DC"/>
    <w:rsid w:val="007553DD"/>
    <w:rsid w:val="00760D51"/>
    <w:rsid w:val="00761224"/>
    <w:rsid w:val="00762581"/>
    <w:rsid w:val="007663B9"/>
    <w:rsid w:val="00775F3D"/>
    <w:rsid w:val="007801D9"/>
    <w:rsid w:val="00780C40"/>
    <w:rsid w:val="0078177F"/>
    <w:rsid w:val="00781905"/>
    <w:rsid w:val="00781FAD"/>
    <w:rsid w:val="007823DD"/>
    <w:rsid w:val="00783EEA"/>
    <w:rsid w:val="0078488D"/>
    <w:rsid w:val="00787D75"/>
    <w:rsid w:val="00792EB7"/>
    <w:rsid w:val="00795536"/>
    <w:rsid w:val="007968EA"/>
    <w:rsid w:val="007969AC"/>
    <w:rsid w:val="00796DF0"/>
    <w:rsid w:val="00797FD5"/>
    <w:rsid w:val="007A090A"/>
    <w:rsid w:val="007A695D"/>
    <w:rsid w:val="007B0EFC"/>
    <w:rsid w:val="007B380F"/>
    <w:rsid w:val="007B50AE"/>
    <w:rsid w:val="007B5F46"/>
    <w:rsid w:val="007B6117"/>
    <w:rsid w:val="007B62FE"/>
    <w:rsid w:val="007B655D"/>
    <w:rsid w:val="007B7458"/>
    <w:rsid w:val="007C01DF"/>
    <w:rsid w:val="007C0E37"/>
    <w:rsid w:val="007C4A06"/>
    <w:rsid w:val="007C4E2E"/>
    <w:rsid w:val="007C4F9F"/>
    <w:rsid w:val="007C698C"/>
    <w:rsid w:val="007C765B"/>
    <w:rsid w:val="007D1BB7"/>
    <w:rsid w:val="007D37F3"/>
    <w:rsid w:val="007D397D"/>
    <w:rsid w:val="007D4239"/>
    <w:rsid w:val="007D49B3"/>
    <w:rsid w:val="007E0849"/>
    <w:rsid w:val="007E1AEF"/>
    <w:rsid w:val="007E1BEE"/>
    <w:rsid w:val="007E40C7"/>
    <w:rsid w:val="007F1FA9"/>
    <w:rsid w:val="007F46BE"/>
    <w:rsid w:val="007F6502"/>
    <w:rsid w:val="007F6F2F"/>
    <w:rsid w:val="008001CB"/>
    <w:rsid w:val="0080166F"/>
    <w:rsid w:val="00801E63"/>
    <w:rsid w:val="008028D6"/>
    <w:rsid w:val="008033CF"/>
    <w:rsid w:val="008035E5"/>
    <w:rsid w:val="00803B45"/>
    <w:rsid w:val="00805D2D"/>
    <w:rsid w:val="008079A5"/>
    <w:rsid w:val="008100B5"/>
    <w:rsid w:val="008137A8"/>
    <w:rsid w:val="00814F2D"/>
    <w:rsid w:val="00817E46"/>
    <w:rsid w:val="0082210F"/>
    <w:rsid w:val="008241A5"/>
    <w:rsid w:val="008247A2"/>
    <w:rsid w:val="00824B48"/>
    <w:rsid w:val="00824D40"/>
    <w:rsid w:val="00825368"/>
    <w:rsid w:val="00825430"/>
    <w:rsid w:val="008311FD"/>
    <w:rsid w:val="00832B98"/>
    <w:rsid w:val="00834AA7"/>
    <w:rsid w:val="00836821"/>
    <w:rsid w:val="00840DAE"/>
    <w:rsid w:val="0084259D"/>
    <w:rsid w:val="00843948"/>
    <w:rsid w:val="00847BAD"/>
    <w:rsid w:val="00847CC7"/>
    <w:rsid w:val="00850B99"/>
    <w:rsid w:val="0085134A"/>
    <w:rsid w:val="00852137"/>
    <w:rsid w:val="008558A7"/>
    <w:rsid w:val="00857C1E"/>
    <w:rsid w:val="00860CBB"/>
    <w:rsid w:val="00861833"/>
    <w:rsid w:val="00862A08"/>
    <w:rsid w:val="00870237"/>
    <w:rsid w:val="00870C3C"/>
    <w:rsid w:val="0087478D"/>
    <w:rsid w:val="00874EC8"/>
    <w:rsid w:val="00875EFF"/>
    <w:rsid w:val="00876244"/>
    <w:rsid w:val="008818C7"/>
    <w:rsid w:val="00884BB3"/>
    <w:rsid w:val="008879BF"/>
    <w:rsid w:val="008928EA"/>
    <w:rsid w:val="00892C71"/>
    <w:rsid w:val="0089443B"/>
    <w:rsid w:val="00895AE7"/>
    <w:rsid w:val="00895F0F"/>
    <w:rsid w:val="008A0A53"/>
    <w:rsid w:val="008A22E9"/>
    <w:rsid w:val="008A4891"/>
    <w:rsid w:val="008A5330"/>
    <w:rsid w:val="008A57E3"/>
    <w:rsid w:val="008B1103"/>
    <w:rsid w:val="008B1D9A"/>
    <w:rsid w:val="008B1FCF"/>
    <w:rsid w:val="008B320C"/>
    <w:rsid w:val="008C017B"/>
    <w:rsid w:val="008C574F"/>
    <w:rsid w:val="008C580F"/>
    <w:rsid w:val="008D0013"/>
    <w:rsid w:val="008D056D"/>
    <w:rsid w:val="008D1902"/>
    <w:rsid w:val="008D3607"/>
    <w:rsid w:val="008D3FE6"/>
    <w:rsid w:val="008D550F"/>
    <w:rsid w:val="008E040A"/>
    <w:rsid w:val="008E3DF6"/>
    <w:rsid w:val="008E4358"/>
    <w:rsid w:val="008E65DB"/>
    <w:rsid w:val="008E7194"/>
    <w:rsid w:val="008F074F"/>
    <w:rsid w:val="008F0D36"/>
    <w:rsid w:val="008F478E"/>
    <w:rsid w:val="008F5B91"/>
    <w:rsid w:val="008F688D"/>
    <w:rsid w:val="008F73EF"/>
    <w:rsid w:val="00900317"/>
    <w:rsid w:val="00901801"/>
    <w:rsid w:val="009120D9"/>
    <w:rsid w:val="00916774"/>
    <w:rsid w:val="009169C0"/>
    <w:rsid w:val="00921009"/>
    <w:rsid w:val="009216FD"/>
    <w:rsid w:val="009235C2"/>
    <w:rsid w:val="0092569B"/>
    <w:rsid w:val="009270CE"/>
    <w:rsid w:val="00930CF7"/>
    <w:rsid w:val="00932CD7"/>
    <w:rsid w:val="00933120"/>
    <w:rsid w:val="00933520"/>
    <w:rsid w:val="009341EB"/>
    <w:rsid w:val="009359C4"/>
    <w:rsid w:val="00936BD6"/>
    <w:rsid w:val="0094021E"/>
    <w:rsid w:val="009405AA"/>
    <w:rsid w:val="00944ADB"/>
    <w:rsid w:val="00946106"/>
    <w:rsid w:val="0095110A"/>
    <w:rsid w:val="009538A0"/>
    <w:rsid w:val="00954004"/>
    <w:rsid w:val="00957AE8"/>
    <w:rsid w:val="00960F6A"/>
    <w:rsid w:val="00963D21"/>
    <w:rsid w:val="009654BE"/>
    <w:rsid w:val="009658AA"/>
    <w:rsid w:val="00965EE3"/>
    <w:rsid w:val="00966E7D"/>
    <w:rsid w:val="00967F9F"/>
    <w:rsid w:val="00971D05"/>
    <w:rsid w:val="0097277C"/>
    <w:rsid w:val="0097715C"/>
    <w:rsid w:val="0098009E"/>
    <w:rsid w:val="00983154"/>
    <w:rsid w:val="00983533"/>
    <w:rsid w:val="00983D16"/>
    <w:rsid w:val="00983F34"/>
    <w:rsid w:val="00984D45"/>
    <w:rsid w:val="00992258"/>
    <w:rsid w:val="00994224"/>
    <w:rsid w:val="00994432"/>
    <w:rsid w:val="009958E7"/>
    <w:rsid w:val="00995BCD"/>
    <w:rsid w:val="009A1798"/>
    <w:rsid w:val="009A3EC9"/>
    <w:rsid w:val="009A7D6E"/>
    <w:rsid w:val="009A7EA8"/>
    <w:rsid w:val="009B0CB1"/>
    <w:rsid w:val="009B31B0"/>
    <w:rsid w:val="009B44B7"/>
    <w:rsid w:val="009C10B8"/>
    <w:rsid w:val="009C3DD8"/>
    <w:rsid w:val="009C6F09"/>
    <w:rsid w:val="009D2298"/>
    <w:rsid w:val="009D304F"/>
    <w:rsid w:val="009D3401"/>
    <w:rsid w:val="009D513D"/>
    <w:rsid w:val="009D57A4"/>
    <w:rsid w:val="009D75CB"/>
    <w:rsid w:val="009D778B"/>
    <w:rsid w:val="009D77EF"/>
    <w:rsid w:val="009E1CE2"/>
    <w:rsid w:val="009E1FF8"/>
    <w:rsid w:val="009E47CA"/>
    <w:rsid w:val="009E57A6"/>
    <w:rsid w:val="009E58D8"/>
    <w:rsid w:val="009E7AEA"/>
    <w:rsid w:val="009F04C2"/>
    <w:rsid w:val="009F243B"/>
    <w:rsid w:val="009F5C83"/>
    <w:rsid w:val="009F61C8"/>
    <w:rsid w:val="009F6433"/>
    <w:rsid w:val="009F64E5"/>
    <w:rsid w:val="00A01DB3"/>
    <w:rsid w:val="00A02A13"/>
    <w:rsid w:val="00A049CC"/>
    <w:rsid w:val="00A05A89"/>
    <w:rsid w:val="00A05E15"/>
    <w:rsid w:val="00A06087"/>
    <w:rsid w:val="00A10382"/>
    <w:rsid w:val="00A135F5"/>
    <w:rsid w:val="00A1590C"/>
    <w:rsid w:val="00A15D2A"/>
    <w:rsid w:val="00A172DF"/>
    <w:rsid w:val="00A17975"/>
    <w:rsid w:val="00A17C37"/>
    <w:rsid w:val="00A212B5"/>
    <w:rsid w:val="00A240BF"/>
    <w:rsid w:val="00A24642"/>
    <w:rsid w:val="00A250FF"/>
    <w:rsid w:val="00A25DC5"/>
    <w:rsid w:val="00A273AC"/>
    <w:rsid w:val="00A314FE"/>
    <w:rsid w:val="00A336FB"/>
    <w:rsid w:val="00A3622F"/>
    <w:rsid w:val="00A366AB"/>
    <w:rsid w:val="00A378DF"/>
    <w:rsid w:val="00A37900"/>
    <w:rsid w:val="00A46AF4"/>
    <w:rsid w:val="00A478E8"/>
    <w:rsid w:val="00A50494"/>
    <w:rsid w:val="00A51FD1"/>
    <w:rsid w:val="00A52404"/>
    <w:rsid w:val="00A527C4"/>
    <w:rsid w:val="00A52CDA"/>
    <w:rsid w:val="00A52E25"/>
    <w:rsid w:val="00A54F89"/>
    <w:rsid w:val="00A56775"/>
    <w:rsid w:val="00A57CE4"/>
    <w:rsid w:val="00A60F4D"/>
    <w:rsid w:val="00A62D05"/>
    <w:rsid w:val="00A62DE2"/>
    <w:rsid w:val="00A63B62"/>
    <w:rsid w:val="00A67175"/>
    <w:rsid w:val="00A72473"/>
    <w:rsid w:val="00A72990"/>
    <w:rsid w:val="00A732F6"/>
    <w:rsid w:val="00A746B5"/>
    <w:rsid w:val="00A77712"/>
    <w:rsid w:val="00A80832"/>
    <w:rsid w:val="00A81D71"/>
    <w:rsid w:val="00A86009"/>
    <w:rsid w:val="00A90710"/>
    <w:rsid w:val="00A917D4"/>
    <w:rsid w:val="00A9199D"/>
    <w:rsid w:val="00A92548"/>
    <w:rsid w:val="00A92A84"/>
    <w:rsid w:val="00A9478A"/>
    <w:rsid w:val="00A97E71"/>
    <w:rsid w:val="00AA020E"/>
    <w:rsid w:val="00AA2D8F"/>
    <w:rsid w:val="00AA4D51"/>
    <w:rsid w:val="00AA7790"/>
    <w:rsid w:val="00AB075B"/>
    <w:rsid w:val="00AB1622"/>
    <w:rsid w:val="00AB2F02"/>
    <w:rsid w:val="00AB382B"/>
    <w:rsid w:val="00AB48B8"/>
    <w:rsid w:val="00AB5157"/>
    <w:rsid w:val="00AB6323"/>
    <w:rsid w:val="00AB67D8"/>
    <w:rsid w:val="00AB7C43"/>
    <w:rsid w:val="00AC04CC"/>
    <w:rsid w:val="00AC0F55"/>
    <w:rsid w:val="00AC1BCF"/>
    <w:rsid w:val="00AC20D5"/>
    <w:rsid w:val="00AC3122"/>
    <w:rsid w:val="00AD4276"/>
    <w:rsid w:val="00AD73EE"/>
    <w:rsid w:val="00AE258C"/>
    <w:rsid w:val="00AE4527"/>
    <w:rsid w:val="00AE513C"/>
    <w:rsid w:val="00AE6418"/>
    <w:rsid w:val="00AE6DF9"/>
    <w:rsid w:val="00AE7D92"/>
    <w:rsid w:val="00AF0A54"/>
    <w:rsid w:val="00AF0B17"/>
    <w:rsid w:val="00AF3DC1"/>
    <w:rsid w:val="00AF3EA1"/>
    <w:rsid w:val="00AF48AA"/>
    <w:rsid w:val="00AF59D4"/>
    <w:rsid w:val="00AF5C51"/>
    <w:rsid w:val="00B03D20"/>
    <w:rsid w:val="00B05628"/>
    <w:rsid w:val="00B0569A"/>
    <w:rsid w:val="00B06D60"/>
    <w:rsid w:val="00B11039"/>
    <w:rsid w:val="00B12CCB"/>
    <w:rsid w:val="00B17557"/>
    <w:rsid w:val="00B20222"/>
    <w:rsid w:val="00B21DA1"/>
    <w:rsid w:val="00B23D7F"/>
    <w:rsid w:val="00B26770"/>
    <w:rsid w:val="00B32363"/>
    <w:rsid w:val="00B33C0E"/>
    <w:rsid w:val="00B34018"/>
    <w:rsid w:val="00B34798"/>
    <w:rsid w:val="00B34969"/>
    <w:rsid w:val="00B34F21"/>
    <w:rsid w:val="00B406D7"/>
    <w:rsid w:val="00B40EF8"/>
    <w:rsid w:val="00B4367B"/>
    <w:rsid w:val="00B46909"/>
    <w:rsid w:val="00B46F5C"/>
    <w:rsid w:val="00B471B8"/>
    <w:rsid w:val="00B5129C"/>
    <w:rsid w:val="00B54134"/>
    <w:rsid w:val="00B61B83"/>
    <w:rsid w:val="00B61E70"/>
    <w:rsid w:val="00B63C3D"/>
    <w:rsid w:val="00B73EB5"/>
    <w:rsid w:val="00B73F12"/>
    <w:rsid w:val="00B75960"/>
    <w:rsid w:val="00B76B4D"/>
    <w:rsid w:val="00B77996"/>
    <w:rsid w:val="00B828C8"/>
    <w:rsid w:val="00B830BC"/>
    <w:rsid w:val="00B8335C"/>
    <w:rsid w:val="00B8533D"/>
    <w:rsid w:val="00B85346"/>
    <w:rsid w:val="00B857C1"/>
    <w:rsid w:val="00B859AC"/>
    <w:rsid w:val="00B91459"/>
    <w:rsid w:val="00B91529"/>
    <w:rsid w:val="00B94701"/>
    <w:rsid w:val="00B94ECE"/>
    <w:rsid w:val="00BA2566"/>
    <w:rsid w:val="00BA3E3D"/>
    <w:rsid w:val="00BA3EB5"/>
    <w:rsid w:val="00BA66E8"/>
    <w:rsid w:val="00BB1D0F"/>
    <w:rsid w:val="00BB2181"/>
    <w:rsid w:val="00BB4F46"/>
    <w:rsid w:val="00BB5592"/>
    <w:rsid w:val="00BB686F"/>
    <w:rsid w:val="00BC5195"/>
    <w:rsid w:val="00BC53F6"/>
    <w:rsid w:val="00BC5938"/>
    <w:rsid w:val="00BD2BF1"/>
    <w:rsid w:val="00BD44F5"/>
    <w:rsid w:val="00BD4F07"/>
    <w:rsid w:val="00BD4F9D"/>
    <w:rsid w:val="00BD504F"/>
    <w:rsid w:val="00BD755A"/>
    <w:rsid w:val="00BE1925"/>
    <w:rsid w:val="00BE3773"/>
    <w:rsid w:val="00BE3F79"/>
    <w:rsid w:val="00BE7AC6"/>
    <w:rsid w:val="00BE7C53"/>
    <w:rsid w:val="00BF0C6E"/>
    <w:rsid w:val="00BF35C6"/>
    <w:rsid w:val="00BF433A"/>
    <w:rsid w:val="00BF658E"/>
    <w:rsid w:val="00BF78B0"/>
    <w:rsid w:val="00C00CF0"/>
    <w:rsid w:val="00C04C5D"/>
    <w:rsid w:val="00C05671"/>
    <w:rsid w:val="00C05799"/>
    <w:rsid w:val="00C05F08"/>
    <w:rsid w:val="00C061B5"/>
    <w:rsid w:val="00C1322A"/>
    <w:rsid w:val="00C16085"/>
    <w:rsid w:val="00C160E0"/>
    <w:rsid w:val="00C160EE"/>
    <w:rsid w:val="00C22181"/>
    <w:rsid w:val="00C243CD"/>
    <w:rsid w:val="00C25FC8"/>
    <w:rsid w:val="00C27484"/>
    <w:rsid w:val="00C33E39"/>
    <w:rsid w:val="00C33E69"/>
    <w:rsid w:val="00C35CB0"/>
    <w:rsid w:val="00C35D19"/>
    <w:rsid w:val="00C37E4D"/>
    <w:rsid w:val="00C44AF9"/>
    <w:rsid w:val="00C450E0"/>
    <w:rsid w:val="00C45ED6"/>
    <w:rsid w:val="00C4670F"/>
    <w:rsid w:val="00C46FE4"/>
    <w:rsid w:val="00C47B66"/>
    <w:rsid w:val="00C51EA2"/>
    <w:rsid w:val="00C54780"/>
    <w:rsid w:val="00C54CEC"/>
    <w:rsid w:val="00C63922"/>
    <w:rsid w:val="00C67D10"/>
    <w:rsid w:val="00C70A86"/>
    <w:rsid w:val="00C71DBF"/>
    <w:rsid w:val="00C74007"/>
    <w:rsid w:val="00C7560E"/>
    <w:rsid w:val="00C80872"/>
    <w:rsid w:val="00C82588"/>
    <w:rsid w:val="00C8509E"/>
    <w:rsid w:val="00C86F54"/>
    <w:rsid w:val="00C87EB2"/>
    <w:rsid w:val="00C901DC"/>
    <w:rsid w:val="00C90AF0"/>
    <w:rsid w:val="00C91ADE"/>
    <w:rsid w:val="00C92814"/>
    <w:rsid w:val="00C92EF3"/>
    <w:rsid w:val="00C93C1A"/>
    <w:rsid w:val="00C94505"/>
    <w:rsid w:val="00C94E1C"/>
    <w:rsid w:val="00C9632C"/>
    <w:rsid w:val="00CA09A2"/>
    <w:rsid w:val="00CA3455"/>
    <w:rsid w:val="00CA6AFA"/>
    <w:rsid w:val="00CB093F"/>
    <w:rsid w:val="00CB1E10"/>
    <w:rsid w:val="00CB413F"/>
    <w:rsid w:val="00CB4F69"/>
    <w:rsid w:val="00CB76CD"/>
    <w:rsid w:val="00CB7ADA"/>
    <w:rsid w:val="00CC2306"/>
    <w:rsid w:val="00CC6C04"/>
    <w:rsid w:val="00CD1FD1"/>
    <w:rsid w:val="00CD2AF5"/>
    <w:rsid w:val="00CD3E96"/>
    <w:rsid w:val="00CD4AD9"/>
    <w:rsid w:val="00CD7544"/>
    <w:rsid w:val="00CE43A1"/>
    <w:rsid w:val="00CE7A68"/>
    <w:rsid w:val="00CF0EEA"/>
    <w:rsid w:val="00CF1DED"/>
    <w:rsid w:val="00CF25B8"/>
    <w:rsid w:val="00CF36AC"/>
    <w:rsid w:val="00CF4163"/>
    <w:rsid w:val="00CF578A"/>
    <w:rsid w:val="00CF5A3E"/>
    <w:rsid w:val="00CF6BAB"/>
    <w:rsid w:val="00CF6E80"/>
    <w:rsid w:val="00CF6FF6"/>
    <w:rsid w:val="00D007D5"/>
    <w:rsid w:val="00D009C4"/>
    <w:rsid w:val="00D04DA7"/>
    <w:rsid w:val="00D05451"/>
    <w:rsid w:val="00D10DBA"/>
    <w:rsid w:val="00D10F4A"/>
    <w:rsid w:val="00D11B35"/>
    <w:rsid w:val="00D13E99"/>
    <w:rsid w:val="00D153E0"/>
    <w:rsid w:val="00D15B23"/>
    <w:rsid w:val="00D17A97"/>
    <w:rsid w:val="00D2083D"/>
    <w:rsid w:val="00D20B2B"/>
    <w:rsid w:val="00D21051"/>
    <w:rsid w:val="00D21AAF"/>
    <w:rsid w:val="00D250D6"/>
    <w:rsid w:val="00D2661B"/>
    <w:rsid w:val="00D26989"/>
    <w:rsid w:val="00D310F9"/>
    <w:rsid w:val="00D321FD"/>
    <w:rsid w:val="00D3481A"/>
    <w:rsid w:val="00D35510"/>
    <w:rsid w:val="00D37E5C"/>
    <w:rsid w:val="00D4107C"/>
    <w:rsid w:val="00D42E7F"/>
    <w:rsid w:val="00D46D2F"/>
    <w:rsid w:val="00D500D0"/>
    <w:rsid w:val="00D5576B"/>
    <w:rsid w:val="00D55F91"/>
    <w:rsid w:val="00D60AA5"/>
    <w:rsid w:val="00D630C3"/>
    <w:rsid w:val="00D65FC0"/>
    <w:rsid w:val="00D672C5"/>
    <w:rsid w:val="00D71443"/>
    <w:rsid w:val="00D72E04"/>
    <w:rsid w:val="00D75DA8"/>
    <w:rsid w:val="00D76900"/>
    <w:rsid w:val="00D801A3"/>
    <w:rsid w:val="00D856CA"/>
    <w:rsid w:val="00D86785"/>
    <w:rsid w:val="00D9058F"/>
    <w:rsid w:val="00D913BB"/>
    <w:rsid w:val="00D91659"/>
    <w:rsid w:val="00D93B33"/>
    <w:rsid w:val="00D940A2"/>
    <w:rsid w:val="00D95ABE"/>
    <w:rsid w:val="00D963C6"/>
    <w:rsid w:val="00D97165"/>
    <w:rsid w:val="00DA1BF5"/>
    <w:rsid w:val="00DA3596"/>
    <w:rsid w:val="00DA3E80"/>
    <w:rsid w:val="00DA4A3C"/>
    <w:rsid w:val="00DA549C"/>
    <w:rsid w:val="00DA65A5"/>
    <w:rsid w:val="00DB084F"/>
    <w:rsid w:val="00DB0984"/>
    <w:rsid w:val="00DB31AC"/>
    <w:rsid w:val="00DB3882"/>
    <w:rsid w:val="00DB3C25"/>
    <w:rsid w:val="00DB5FAB"/>
    <w:rsid w:val="00DB6B14"/>
    <w:rsid w:val="00DB6E6E"/>
    <w:rsid w:val="00DC4096"/>
    <w:rsid w:val="00DC6687"/>
    <w:rsid w:val="00DC7C21"/>
    <w:rsid w:val="00DC7FAF"/>
    <w:rsid w:val="00DE0AB2"/>
    <w:rsid w:val="00DE104E"/>
    <w:rsid w:val="00DE400C"/>
    <w:rsid w:val="00DE53ED"/>
    <w:rsid w:val="00DF2D88"/>
    <w:rsid w:val="00DF4158"/>
    <w:rsid w:val="00DF62ED"/>
    <w:rsid w:val="00DF7FBE"/>
    <w:rsid w:val="00E00C05"/>
    <w:rsid w:val="00E03085"/>
    <w:rsid w:val="00E075A9"/>
    <w:rsid w:val="00E07661"/>
    <w:rsid w:val="00E10A39"/>
    <w:rsid w:val="00E124AF"/>
    <w:rsid w:val="00E13190"/>
    <w:rsid w:val="00E13753"/>
    <w:rsid w:val="00E1458B"/>
    <w:rsid w:val="00E160A0"/>
    <w:rsid w:val="00E21CC8"/>
    <w:rsid w:val="00E233CB"/>
    <w:rsid w:val="00E23477"/>
    <w:rsid w:val="00E2451E"/>
    <w:rsid w:val="00E311F9"/>
    <w:rsid w:val="00E33709"/>
    <w:rsid w:val="00E33D90"/>
    <w:rsid w:val="00E354B9"/>
    <w:rsid w:val="00E36106"/>
    <w:rsid w:val="00E36CBD"/>
    <w:rsid w:val="00E4015D"/>
    <w:rsid w:val="00E403FE"/>
    <w:rsid w:val="00E40D16"/>
    <w:rsid w:val="00E4104F"/>
    <w:rsid w:val="00E41299"/>
    <w:rsid w:val="00E44AB0"/>
    <w:rsid w:val="00E4535D"/>
    <w:rsid w:val="00E4590C"/>
    <w:rsid w:val="00E5000E"/>
    <w:rsid w:val="00E5010A"/>
    <w:rsid w:val="00E50DC2"/>
    <w:rsid w:val="00E54B3E"/>
    <w:rsid w:val="00E55E2E"/>
    <w:rsid w:val="00E55F2F"/>
    <w:rsid w:val="00E61308"/>
    <w:rsid w:val="00E62624"/>
    <w:rsid w:val="00E63DCA"/>
    <w:rsid w:val="00E63DF3"/>
    <w:rsid w:val="00E67F66"/>
    <w:rsid w:val="00E70A3C"/>
    <w:rsid w:val="00E71FED"/>
    <w:rsid w:val="00E76946"/>
    <w:rsid w:val="00E773FD"/>
    <w:rsid w:val="00E827C6"/>
    <w:rsid w:val="00E90BA1"/>
    <w:rsid w:val="00E92155"/>
    <w:rsid w:val="00E92169"/>
    <w:rsid w:val="00E92612"/>
    <w:rsid w:val="00E93CFE"/>
    <w:rsid w:val="00E941B0"/>
    <w:rsid w:val="00E955AE"/>
    <w:rsid w:val="00E9687C"/>
    <w:rsid w:val="00EA10EE"/>
    <w:rsid w:val="00EA11B9"/>
    <w:rsid w:val="00EA1228"/>
    <w:rsid w:val="00EA3BA7"/>
    <w:rsid w:val="00EA41DD"/>
    <w:rsid w:val="00EA46E4"/>
    <w:rsid w:val="00EA515B"/>
    <w:rsid w:val="00EA5CB0"/>
    <w:rsid w:val="00EA5E3E"/>
    <w:rsid w:val="00EA6C0A"/>
    <w:rsid w:val="00EB1B28"/>
    <w:rsid w:val="00EB1D17"/>
    <w:rsid w:val="00EB46F6"/>
    <w:rsid w:val="00EB4984"/>
    <w:rsid w:val="00EB4FF3"/>
    <w:rsid w:val="00EC01CC"/>
    <w:rsid w:val="00EC0C51"/>
    <w:rsid w:val="00EC10B5"/>
    <w:rsid w:val="00EC145E"/>
    <w:rsid w:val="00EC4BF4"/>
    <w:rsid w:val="00EC4D69"/>
    <w:rsid w:val="00EC53B9"/>
    <w:rsid w:val="00EC7EDF"/>
    <w:rsid w:val="00ED1545"/>
    <w:rsid w:val="00ED3231"/>
    <w:rsid w:val="00ED65A1"/>
    <w:rsid w:val="00ED7D53"/>
    <w:rsid w:val="00EE523F"/>
    <w:rsid w:val="00EE7E81"/>
    <w:rsid w:val="00EF0F3D"/>
    <w:rsid w:val="00EF2C78"/>
    <w:rsid w:val="00EF4F62"/>
    <w:rsid w:val="00EF611B"/>
    <w:rsid w:val="00F00A34"/>
    <w:rsid w:val="00F01429"/>
    <w:rsid w:val="00F02196"/>
    <w:rsid w:val="00F0282E"/>
    <w:rsid w:val="00F04340"/>
    <w:rsid w:val="00F0470F"/>
    <w:rsid w:val="00F05396"/>
    <w:rsid w:val="00F057F2"/>
    <w:rsid w:val="00F05DDE"/>
    <w:rsid w:val="00F103AC"/>
    <w:rsid w:val="00F137A6"/>
    <w:rsid w:val="00F23562"/>
    <w:rsid w:val="00F33E1B"/>
    <w:rsid w:val="00F344C1"/>
    <w:rsid w:val="00F420B6"/>
    <w:rsid w:val="00F42B9B"/>
    <w:rsid w:val="00F42F04"/>
    <w:rsid w:val="00F45934"/>
    <w:rsid w:val="00F45D8A"/>
    <w:rsid w:val="00F46101"/>
    <w:rsid w:val="00F46DB1"/>
    <w:rsid w:val="00F53D1C"/>
    <w:rsid w:val="00F55743"/>
    <w:rsid w:val="00F55FEA"/>
    <w:rsid w:val="00F562D3"/>
    <w:rsid w:val="00F567E2"/>
    <w:rsid w:val="00F56995"/>
    <w:rsid w:val="00F569DB"/>
    <w:rsid w:val="00F60A3D"/>
    <w:rsid w:val="00F61F4D"/>
    <w:rsid w:val="00F61FBD"/>
    <w:rsid w:val="00F63B10"/>
    <w:rsid w:val="00F63CF1"/>
    <w:rsid w:val="00F659FF"/>
    <w:rsid w:val="00F67FA8"/>
    <w:rsid w:val="00F70988"/>
    <w:rsid w:val="00F7104B"/>
    <w:rsid w:val="00F71516"/>
    <w:rsid w:val="00F751B7"/>
    <w:rsid w:val="00F75B59"/>
    <w:rsid w:val="00F77DF0"/>
    <w:rsid w:val="00F82E96"/>
    <w:rsid w:val="00F84B2C"/>
    <w:rsid w:val="00F854FB"/>
    <w:rsid w:val="00F864F4"/>
    <w:rsid w:val="00F93350"/>
    <w:rsid w:val="00F95F66"/>
    <w:rsid w:val="00FA404D"/>
    <w:rsid w:val="00FB139E"/>
    <w:rsid w:val="00FB2275"/>
    <w:rsid w:val="00FB56C6"/>
    <w:rsid w:val="00FB58BE"/>
    <w:rsid w:val="00FB596A"/>
    <w:rsid w:val="00FB74D3"/>
    <w:rsid w:val="00FC1074"/>
    <w:rsid w:val="00FC2062"/>
    <w:rsid w:val="00FC573A"/>
    <w:rsid w:val="00FC6127"/>
    <w:rsid w:val="00FD0A71"/>
    <w:rsid w:val="00FD23A8"/>
    <w:rsid w:val="00FD35C8"/>
    <w:rsid w:val="00FD5635"/>
    <w:rsid w:val="00FD6B4B"/>
    <w:rsid w:val="00FD7006"/>
    <w:rsid w:val="00FE061A"/>
    <w:rsid w:val="00FE329D"/>
    <w:rsid w:val="00FE4039"/>
    <w:rsid w:val="00FE4AF6"/>
    <w:rsid w:val="00FE5179"/>
    <w:rsid w:val="00FE5DCC"/>
    <w:rsid w:val="00FE6DE2"/>
    <w:rsid w:val="00FF0332"/>
    <w:rsid w:val="00FF5033"/>
    <w:rsid w:val="00FF6032"/>
    <w:rsid w:val="00FF62A4"/>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3F0069E8"/>
  <w15:docId w15:val="{131B7752-9DCE-4373-B2E6-7620F72E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E7E81"/>
    <w:rPr>
      <w:rFonts w:ascii="Times New Roman" w:eastAsia="Times New Roman" w:hAnsi="Times New Roman"/>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link w:val="aa"/>
    <w:uiPriority w:val="99"/>
    <w:qFormat/>
    <w:rsid w:val="00EE7E81"/>
    <w:pPr>
      <w:widowControl w:val="0"/>
      <w:ind w:firstLine="567"/>
      <w:jc w:val="center"/>
    </w:pPr>
    <w:rPr>
      <w:rFonts w:eastAsia="Calibri"/>
      <w:b/>
      <w:bCs/>
      <w:sz w:val="20"/>
      <w:szCs w:val="20"/>
    </w:rPr>
  </w:style>
  <w:style w:type="character" w:customStyle="1" w:styleId="aa">
    <w:name w:val="Название Знак"/>
    <w:link w:val="a9"/>
    <w:uiPriority w:val="99"/>
    <w:locked/>
    <w:rsid w:val="00EE7E81"/>
    <w:rPr>
      <w:rFonts w:ascii="Times New Roman" w:hAnsi="Times New Roman" w:cs="Times New Roman"/>
      <w:b/>
      <w:bCs/>
      <w:sz w:val="20"/>
      <w:szCs w:val="20"/>
    </w:rPr>
  </w:style>
  <w:style w:type="paragraph" w:styleId="ab">
    <w:name w:val="Body Text"/>
    <w:basedOn w:val="a5"/>
    <w:link w:val="ac"/>
    <w:uiPriority w:val="99"/>
    <w:rsid w:val="00EE7E81"/>
    <w:pPr>
      <w:spacing w:after="120"/>
    </w:pPr>
    <w:rPr>
      <w:rFonts w:eastAsia="Calibri"/>
    </w:rPr>
  </w:style>
  <w:style w:type="character" w:customStyle="1" w:styleId="ac">
    <w:name w:val="Основной текст Знак"/>
    <w:link w:val="ab"/>
    <w:uiPriority w:val="99"/>
    <w:locked/>
    <w:rsid w:val="00EE7E81"/>
    <w:rPr>
      <w:rFonts w:ascii="Times New Roman" w:hAnsi="Times New Roman" w:cs="Times New Roman"/>
      <w:sz w:val="24"/>
      <w:szCs w:val="24"/>
      <w:lang w:eastAsia="ru-RU"/>
    </w:rPr>
  </w:style>
  <w:style w:type="paragraph" w:styleId="ad">
    <w:name w:val="Balloon Text"/>
    <w:basedOn w:val="a5"/>
    <w:link w:val="ae"/>
    <w:uiPriority w:val="99"/>
    <w:semiHidden/>
    <w:rsid w:val="005E0F7F"/>
    <w:rPr>
      <w:rFonts w:ascii="Tahoma" w:eastAsia="Calibri" w:hAnsi="Tahoma"/>
      <w:sz w:val="16"/>
      <w:szCs w:val="16"/>
    </w:rPr>
  </w:style>
  <w:style w:type="character" w:customStyle="1" w:styleId="ae">
    <w:name w:val="Текст выноски Знак"/>
    <w:link w:val="ad"/>
    <w:uiPriority w:val="99"/>
    <w:semiHidden/>
    <w:locked/>
    <w:rsid w:val="005E0F7F"/>
    <w:rPr>
      <w:rFonts w:ascii="Tahoma" w:hAnsi="Tahoma" w:cs="Tahoma"/>
      <w:sz w:val="16"/>
      <w:szCs w:val="16"/>
      <w:lang w:eastAsia="ru-RU"/>
    </w:rPr>
  </w:style>
  <w:style w:type="paragraph" w:styleId="af">
    <w:name w:val="Plain Text"/>
    <w:basedOn w:val="a5"/>
    <w:link w:val="af0"/>
    <w:uiPriority w:val="99"/>
    <w:unhideWhenUsed/>
    <w:rsid w:val="00C04C5D"/>
    <w:rPr>
      <w:rFonts w:ascii="Calibri" w:eastAsia="Calibri" w:hAnsi="Calibri"/>
      <w:sz w:val="20"/>
      <w:szCs w:val="21"/>
      <w:lang w:eastAsia="en-US"/>
    </w:rPr>
  </w:style>
  <w:style w:type="character" w:customStyle="1" w:styleId="af0">
    <w:name w:val="Текст Знак"/>
    <w:link w:val="af"/>
    <w:uiPriority w:val="99"/>
    <w:rsid w:val="00C04C5D"/>
    <w:rPr>
      <w:szCs w:val="21"/>
      <w:lang w:eastAsia="en-US"/>
    </w:rPr>
  </w:style>
  <w:style w:type="paragraph" w:customStyle="1" w:styleId="11">
    <w:name w:val="Без интервала11"/>
    <w:rsid w:val="00DA65A5"/>
    <w:pPr>
      <w:spacing w:before="60" w:after="60" w:line="276" w:lineRule="auto"/>
      <w:jc w:val="both"/>
    </w:pPr>
    <w:rPr>
      <w:rFonts w:ascii="Franklin Gothic Book" w:eastAsia="Times New Roman" w:hAnsi="Franklin Gothic Book"/>
      <w:sz w:val="22"/>
      <w:szCs w:val="22"/>
      <w:lang w:val="en-US" w:eastAsia="en-US"/>
    </w:rPr>
  </w:style>
  <w:style w:type="paragraph" w:customStyle="1" w:styleId="NoSpacing1">
    <w:name w:val="No Spacing1"/>
    <w:rsid w:val="00DA65A5"/>
    <w:pPr>
      <w:spacing w:before="60" w:after="60" w:line="276" w:lineRule="auto"/>
      <w:jc w:val="both"/>
    </w:pPr>
    <w:rPr>
      <w:rFonts w:ascii="Franklin Gothic Book" w:eastAsia="Times New Roman" w:hAnsi="Franklin Gothic Book"/>
      <w:sz w:val="22"/>
      <w:szCs w:val="22"/>
      <w:lang w:val="en-US" w:eastAsia="en-US"/>
    </w:rPr>
  </w:style>
  <w:style w:type="paragraph" w:styleId="af1">
    <w:name w:val="footnote text"/>
    <w:basedOn w:val="a5"/>
    <w:link w:val="af2"/>
    <w:uiPriority w:val="99"/>
    <w:unhideWhenUsed/>
    <w:rsid w:val="00F33E1B"/>
    <w:pPr>
      <w:spacing w:after="60"/>
      <w:ind w:firstLine="567"/>
      <w:jc w:val="both"/>
    </w:pPr>
    <w:rPr>
      <w:rFonts w:ascii="Times New Roman CYR" w:hAnsi="Times New Roman CYR"/>
      <w:sz w:val="20"/>
      <w:szCs w:val="20"/>
    </w:rPr>
  </w:style>
  <w:style w:type="character" w:customStyle="1" w:styleId="af2">
    <w:name w:val="Текст сноски Знак"/>
    <w:link w:val="af1"/>
    <w:uiPriority w:val="99"/>
    <w:rsid w:val="00F33E1B"/>
    <w:rPr>
      <w:rFonts w:ascii="Times New Roman CYR" w:eastAsia="Times New Roman" w:hAnsi="Times New Roman CYR"/>
    </w:rPr>
  </w:style>
  <w:style w:type="character" w:styleId="af3">
    <w:name w:val="footnote reference"/>
    <w:uiPriority w:val="99"/>
    <w:unhideWhenUsed/>
    <w:rsid w:val="00F33E1B"/>
    <w:rPr>
      <w:vertAlign w:val="superscript"/>
    </w:rPr>
  </w:style>
  <w:style w:type="paragraph" w:styleId="af4">
    <w:name w:val="List Paragraph"/>
    <w:basedOn w:val="a5"/>
    <w:uiPriority w:val="34"/>
    <w:qFormat/>
    <w:rsid w:val="00F61F4D"/>
    <w:pPr>
      <w:ind w:left="708"/>
    </w:pPr>
  </w:style>
  <w:style w:type="paragraph" w:customStyle="1" w:styleId="af5">
    <w:name w:val="Пункт со скобкой"/>
    <w:basedOn w:val="a5"/>
    <w:qFormat/>
    <w:rsid w:val="006E0328"/>
    <w:pPr>
      <w:tabs>
        <w:tab w:val="left" w:pos="709"/>
      </w:tabs>
      <w:autoSpaceDE w:val="0"/>
      <w:autoSpaceDN w:val="0"/>
      <w:adjustRightInd w:val="0"/>
      <w:spacing w:before="120"/>
      <w:ind w:left="1400" w:hanging="360"/>
      <w:jc w:val="both"/>
      <w:outlineLvl w:val="2"/>
    </w:pPr>
  </w:style>
  <w:style w:type="paragraph" w:customStyle="1" w:styleId="a4">
    <w:name w:val="Пункт с точкой"/>
    <w:basedOn w:val="a5"/>
    <w:qFormat/>
    <w:rsid w:val="006E0328"/>
    <w:pPr>
      <w:numPr>
        <w:numId w:val="2"/>
      </w:numPr>
      <w:autoSpaceDE w:val="0"/>
      <w:autoSpaceDN w:val="0"/>
      <w:adjustRightInd w:val="0"/>
      <w:spacing w:before="60"/>
      <w:jc w:val="both"/>
      <w:outlineLvl w:val="2"/>
    </w:pPr>
  </w:style>
  <w:style w:type="paragraph" w:customStyle="1" w:styleId="ConsPlusNonformat">
    <w:name w:val="ConsPlusNonformat"/>
    <w:uiPriority w:val="99"/>
    <w:rsid w:val="00B76B4D"/>
    <w:pPr>
      <w:autoSpaceDE w:val="0"/>
      <w:autoSpaceDN w:val="0"/>
      <w:adjustRightInd w:val="0"/>
    </w:pPr>
    <w:rPr>
      <w:rFonts w:ascii="Courier New" w:hAnsi="Courier New" w:cs="Courier New"/>
    </w:rPr>
  </w:style>
  <w:style w:type="paragraph" w:customStyle="1" w:styleId="af6">
    <w:name w:val="Текст таб"/>
    <w:basedOn w:val="a5"/>
    <w:qFormat/>
    <w:rsid w:val="00EA41DD"/>
    <w:pPr>
      <w:tabs>
        <w:tab w:val="left" w:pos="709"/>
      </w:tabs>
      <w:autoSpaceDE w:val="0"/>
      <w:autoSpaceDN w:val="0"/>
      <w:adjustRightInd w:val="0"/>
      <w:spacing w:before="120"/>
      <w:ind w:left="709"/>
      <w:jc w:val="both"/>
      <w:outlineLvl w:val="2"/>
    </w:pPr>
    <w:rPr>
      <w:rFonts w:ascii="Arial" w:hAnsi="Arial" w:cs="Arial"/>
    </w:rPr>
  </w:style>
  <w:style w:type="paragraph" w:customStyle="1" w:styleId="a2">
    <w:name w:val="Пункт"/>
    <w:basedOn w:val="a5"/>
    <w:qFormat/>
    <w:rsid w:val="00EA41DD"/>
    <w:pPr>
      <w:numPr>
        <w:numId w:val="1"/>
      </w:numPr>
      <w:tabs>
        <w:tab w:val="left" w:pos="709"/>
      </w:tabs>
      <w:autoSpaceDE w:val="0"/>
      <w:autoSpaceDN w:val="0"/>
      <w:adjustRightInd w:val="0"/>
      <w:spacing w:before="240"/>
      <w:jc w:val="both"/>
      <w:outlineLvl w:val="2"/>
    </w:pPr>
    <w:rPr>
      <w:rFonts w:ascii="Arial" w:hAnsi="Arial" w:cs="Arial"/>
    </w:rPr>
  </w:style>
  <w:style w:type="paragraph" w:customStyle="1" w:styleId="af7">
    <w:name w:val="Подпункт"/>
    <w:basedOn w:val="a5"/>
    <w:qFormat/>
    <w:rsid w:val="00572E85"/>
    <w:pPr>
      <w:tabs>
        <w:tab w:val="left" w:pos="851"/>
      </w:tabs>
      <w:spacing w:before="60"/>
      <w:ind w:left="470" w:hanging="360"/>
      <w:jc w:val="both"/>
    </w:pPr>
    <w:rPr>
      <w:rFonts w:eastAsia="Calibri"/>
      <w:lang w:eastAsia="en-US"/>
    </w:rPr>
  </w:style>
  <w:style w:type="character" w:styleId="af8">
    <w:name w:val="annotation reference"/>
    <w:basedOn w:val="a6"/>
    <w:uiPriority w:val="99"/>
    <w:semiHidden/>
    <w:unhideWhenUsed/>
    <w:rsid w:val="009D57A4"/>
    <w:rPr>
      <w:sz w:val="16"/>
      <w:szCs w:val="16"/>
    </w:rPr>
  </w:style>
  <w:style w:type="paragraph" w:styleId="af9">
    <w:name w:val="annotation text"/>
    <w:basedOn w:val="a5"/>
    <w:link w:val="afa"/>
    <w:uiPriority w:val="99"/>
    <w:semiHidden/>
    <w:unhideWhenUsed/>
    <w:rsid w:val="009D57A4"/>
    <w:rPr>
      <w:sz w:val="20"/>
      <w:szCs w:val="20"/>
    </w:rPr>
  </w:style>
  <w:style w:type="character" w:customStyle="1" w:styleId="afa">
    <w:name w:val="Текст примечания Знак"/>
    <w:basedOn w:val="a6"/>
    <w:link w:val="af9"/>
    <w:uiPriority w:val="99"/>
    <w:semiHidden/>
    <w:rsid w:val="009D57A4"/>
    <w:rPr>
      <w:rFonts w:ascii="Times New Roman" w:eastAsia="Times New Roman" w:hAnsi="Times New Roman"/>
    </w:rPr>
  </w:style>
  <w:style w:type="paragraph" w:styleId="afb">
    <w:name w:val="annotation subject"/>
    <w:basedOn w:val="af9"/>
    <w:next w:val="af9"/>
    <w:link w:val="afc"/>
    <w:uiPriority w:val="99"/>
    <w:semiHidden/>
    <w:unhideWhenUsed/>
    <w:rsid w:val="009D57A4"/>
    <w:rPr>
      <w:b/>
      <w:bCs/>
    </w:rPr>
  </w:style>
  <w:style w:type="character" w:customStyle="1" w:styleId="afc">
    <w:name w:val="Тема примечания Знак"/>
    <w:basedOn w:val="afa"/>
    <w:link w:val="afb"/>
    <w:uiPriority w:val="99"/>
    <w:semiHidden/>
    <w:rsid w:val="009D57A4"/>
    <w:rPr>
      <w:rFonts w:ascii="Times New Roman" w:eastAsia="Times New Roman" w:hAnsi="Times New Roman"/>
      <w:b/>
      <w:bCs/>
    </w:rPr>
  </w:style>
  <w:style w:type="paragraph" w:customStyle="1" w:styleId="a">
    <w:name w:val="Пункт с буквой"/>
    <w:basedOn w:val="a5"/>
    <w:rsid w:val="0097277C"/>
    <w:pPr>
      <w:numPr>
        <w:numId w:val="3"/>
      </w:numPr>
    </w:pPr>
  </w:style>
  <w:style w:type="paragraph" w:styleId="afd">
    <w:name w:val="header"/>
    <w:basedOn w:val="a5"/>
    <w:link w:val="afe"/>
    <w:uiPriority w:val="99"/>
    <w:unhideWhenUsed/>
    <w:rsid w:val="00B859AC"/>
    <w:pPr>
      <w:tabs>
        <w:tab w:val="center" w:pos="4677"/>
        <w:tab w:val="right" w:pos="9355"/>
      </w:tabs>
    </w:pPr>
  </w:style>
  <w:style w:type="character" w:customStyle="1" w:styleId="afe">
    <w:name w:val="Верхний колонтитул Знак"/>
    <w:basedOn w:val="a6"/>
    <w:link w:val="afd"/>
    <w:uiPriority w:val="99"/>
    <w:rsid w:val="00B859AC"/>
    <w:rPr>
      <w:rFonts w:ascii="Times New Roman" w:eastAsia="Times New Roman" w:hAnsi="Times New Roman"/>
      <w:sz w:val="24"/>
      <w:szCs w:val="24"/>
    </w:rPr>
  </w:style>
  <w:style w:type="paragraph" w:styleId="aff">
    <w:name w:val="footer"/>
    <w:basedOn w:val="a5"/>
    <w:link w:val="aff0"/>
    <w:uiPriority w:val="99"/>
    <w:unhideWhenUsed/>
    <w:rsid w:val="00B859AC"/>
    <w:pPr>
      <w:tabs>
        <w:tab w:val="center" w:pos="4677"/>
        <w:tab w:val="right" w:pos="9355"/>
      </w:tabs>
    </w:pPr>
  </w:style>
  <w:style w:type="character" w:customStyle="1" w:styleId="aff0">
    <w:name w:val="Нижний колонтитул Знак"/>
    <w:basedOn w:val="a6"/>
    <w:link w:val="aff"/>
    <w:uiPriority w:val="99"/>
    <w:rsid w:val="00B859AC"/>
    <w:rPr>
      <w:rFonts w:ascii="Times New Roman" w:eastAsia="Times New Roman" w:hAnsi="Times New Roman"/>
      <w:sz w:val="24"/>
      <w:szCs w:val="24"/>
    </w:rPr>
  </w:style>
  <w:style w:type="paragraph" w:customStyle="1" w:styleId="aff1">
    <w:name w:val="Раздел"/>
    <w:basedOn w:val="3"/>
    <w:qFormat/>
    <w:rsid w:val="00BE3F79"/>
    <w:pPr>
      <w:keepNext/>
      <w:pageBreakBefore/>
      <w:overflowPunct w:val="0"/>
      <w:autoSpaceDE w:val="0"/>
      <w:autoSpaceDN w:val="0"/>
      <w:adjustRightInd w:val="0"/>
      <w:spacing w:before="360" w:after="0"/>
      <w:ind w:left="720" w:hanging="360"/>
      <w:jc w:val="both"/>
      <w:textAlignment w:val="baseline"/>
    </w:pPr>
    <w:rPr>
      <w:b/>
      <w:sz w:val="24"/>
      <w:szCs w:val="20"/>
    </w:rPr>
  </w:style>
  <w:style w:type="paragraph" w:customStyle="1" w:styleId="aff2">
    <w:name w:val="Подподпункт"/>
    <w:basedOn w:val="ab"/>
    <w:qFormat/>
    <w:rsid w:val="00BE3F79"/>
    <w:pPr>
      <w:tabs>
        <w:tab w:val="num" w:pos="851"/>
      </w:tabs>
      <w:overflowPunct w:val="0"/>
      <w:autoSpaceDE w:val="0"/>
      <w:autoSpaceDN w:val="0"/>
      <w:adjustRightInd w:val="0"/>
      <w:spacing w:before="120" w:after="0"/>
      <w:ind w:left="851" w:hanging="851"/>
      <w:jc w:val="both"/>
      <w:textAlignment w:val="baseline"/>
    </w:pPr>
    <w:rPr>
      <w:rFonts w:eastAsia="Times New Roman"/>
      <w:szCs w:val="20"/>
    </w:rPr>
  </w:style>
  <w:style w:type="paragraph" w:customStyle="1" w:styleId="aff3">
    <w:name w:val="Статья_"/>
    <w:basedOn w:val="a2"/>
    <w:qFormat/>
    <w:rsid w:val="00BE3F79"/>
    <w:pPr>
      <w:keepNext/>
      <w:numPr>
        <w:numId w:val="0"/>
      </w:numPr>
      <w:tabs>
        <w:tab w:val="clear" w:pos="709"/>
        <w:tab w:val="num" w:pos="1418"/>
      </w:tabs>
      <w:overflowPunct w:val="0"/>
      <w:spacing w:before="360"/>
      <w:ind w:left="1418" w:hanging="1418"/>
      <w:textAlignment w:val="baseline"/>
      <w:outlineLvl w:val="0"/>
    </w:pPr>
    <w:rPr>
      <w:rFonts w:ascii="Times New Roman" w:hAnsi="Times New Roman" w:cs="Times New Roman"/>
      <w:b/>
      <w:bCs/>
      <w:szCs w:val="20"/>
    </w:rPr>
  </w:style>
  <w:style w:type="paragraph" w:customStyle="1" w:styleId="aff4">
    <w:name w:val="Подраздел"/>
    <w:basedOn w:val="aff3"/>
    <w:qFormat/>
    <w:rsid w:val="00BE3F79"/>
    <w:pPr>
      <w:pageBreakBefore/>
      <w:tabs>
        <w:tab w:val="clear" w:pos="1418"/>
        <w:tab w:val="num" w:pos="2268"/>
      </w:tabs>
      <w:spacing w:before="240"/>
      <w:ind w:left="2268" w:hanging="2268"/>
    </w:pPr>
  </w:style>
  <w:style w:type="paragraph" w:styleId="3">
    <w:name w:val="Body Text Indent 3"/>
    <w:basedOn w:val="a5"/>
    <w:link w:val="30"/>
    <w:uiPriority w:val="99"/>
    <w:semiHidden/>
    <w:unhideWhenUsed/>
    <w:rsid w:val="00BE3F79"/>
    <w:pPr>
      <w:spacing w:after="120"/>
      <w:ind w:left="283"/>
    </w:pPr>
    <w:rPr>
      <w:sz w:val="16"/>
      <w:szCs w:val="16"/>
    </w:rPr>
  </w:style>
  <w:style w:type="character" w:customStyle="1" w:styleId="30">
    <w:name w:val="Основной текст с отступом 3 Знак"/>
    <w:basedOn w:val="a6"/>
    <w:link w:val="3"/>
    <w:uiPriority w:val="99"/>
    <w:semiHidden/>
    <w:rsid w:val="00BE3F79"/>
    <w:rPr>
      <w:rFonts w:ascii="Times New Roman" w:eastAsia="Times New Roman" w:hAnsi="Times New Roman"/>
      <w:sz w:val="16"/>
      <w:szCs w:val="16"/>
    </w:rPr>
  </w:style>
  <w:style w:type="paragraph" w:styleId="aff5">
    <w:name w:val="Normal (Web)"/>
    <w:basedOn w:val="a5"/>
    <w:uiPriority w:val="99"/>
    <w:semiHidden/>
    <w:unhideWhenUsed/>
    <w:rsid w:val="00205002"/>
    <w:pPr>
      <w:spacing w:before="100" w:beforeAutospacing="1" w:after="100" w:afterAutospacing="1"/>
    </w:pPr>
  </w:style>
  <w:style w:type="paragraph" w:customStyle="1" w:styleId="21">
    <w:name w:val="Основной текст 21"/>
    <w:basedOn w:val="a5"/>
    <w:rsid w:val="00C7560E"/>
    <w:pPr>
      <w:overflowPunct w:val="0"/>
      <w:autoSpaceDE w:val="0"/>
      <w:autoSpaceDN w:val="0"/>
      <w:adjustRightInd w:val="0"/>
      <w:ind w:firstLine="708"/>
      <w:jc w:val="both"/>
      <w:textAlignment w:val="baseline"/>
    </w:pPr>
    <w:rPr>
      <w:rFonts w:ascii="Times New Roman CYR" w:hAnsi="Times New Roman CYR"/>
      <w:szCs w:val="20"/>
    </w:rPr>
  </w:style>
  <w:style w:type="paragraph" w:customStyle="1" w:styleId="Pointmark">
    <w:name w:val="Point (mark)"/>
    <w:basedOn w:val="a5"/>
    <w:qFormat/>
    <w:rsid w:val="00C7560E"/>
    <w:pPr>
      <w:numPr>
        <w:numId w:val="6"/>
      </w:numPr>
      <w:jc w:val="both"/>
    </w:pPr>
    <w:rPr>
      <w:szCs w:val="20"/>
    </w:rPr>
  </w:style>
  <w:style w:type="paragraph" w:customStyle="1" w:styleId="Point">
    <w:name w:val="Point"/>
    <w:basedOn w:val="a5"/>
    <w:link w:val="Point1"/>
    <w:qFormat/>
    <w:rsid w:val="00C7560E"/>
    <w:pPr>
      <w:numPr>
        <w:ilvl w:val="1"/>
        <w:numId w:val="6"/>
      </w:numPr>
      <w:jc w:val="both"/>
    </w:pPr>
    <w:rPr>
      <w:szCs w:val="20"/>
      <w:lang w:val="x-none" w:eastAsia="x-none"/>
    </w:rPr>
  </w:style>
  <w:style w:type="paragraph" w:customStyle="1" w:styleId="Point2">
    <w:name w:val="Point 2"/>
    <w:basedOn w:val="a5"/>
    <w:qFormat/>
    <w:rsid w:val="00C7560E"/>
    <w:pPr>
      <w:numPr>
        <w:ilvl w:val="2"/>
        <w:numId w:val="6"/>
      </w:numPr>
      <w:jc w:val="both"/>
    </w:pPr>
    <w:rPr>
      <w:szCs w:val="20"/>
    </w:rPr>
  </w:style>
  <w:style w:type="paragraph" w:customStyle="1" w:styleId="Point3">
    <w:name w:val="Point 3"/>
    <w:basedOn w:val="a5"/>
    <w:qFormat/>
    <w:rsid w:val="00C7560E"/>
    <w:pPr>
      <w:numPr>
        <w:ilvl w:val="3"/>
        <w:numId w:val="6"/>
      </w:numPr>
      <w:jc w:val="both"/>
    </w:pPr>
    <w:rPr>
      <w:szCs w:val="20"/>
    </w:rPr>
  </w:style>
  <w:style w:type="character" w:styleId="aff6">
    <w:name w:val="Hyperlink"/>
    <w:basedOn w:val="a6"/>
    <w:uiPriority w:val="99"/>
    <w:unhideWhenUsed/>
    <w:rsid w:val="000948FF"/>
    <w:rPr>
      <w:color w:val="0000FF" w:themeColor="hyperlink"/>
      <w:u w:val="single"/>
    </w:rPr>
  </w:style>
  <w:style w:type="character" w:styleId="aff7">
    <w:name w:val="FollowedHyperlink"/>
    <w:basedOn w:val="a6"/>
    <w:uiPriority w:val="99"/>
    <w:semiHidden/>
    <w:unhideWhenUsed/>
    <w:rsid w:val="004B225D"/>
    <w:rPr>
      <w:color w:val="800080" w:themeColor="followedHyperlink"/>
      <w:u w:val="single"/>
    </w:rPr>
  </w:style>
  <w:style w:type="paragraph" w:customStyle="1" w:styleId="Title1">
    <w:name w:val="Title 1"/>
    <w:qFormat/>
    <w:rsid w:val="003C07B0"/>
    <w:pPr>
      <w:keepNext/>
      <w:keepLines/>
      <w:pageBreakBefore/>
      <w:tabs>
        <w:tab w:val="num" w:pos="1418"/>
      </w:tabs>
      <w:ind w:left="1418" w:hanging="1418"/>
      <w:jc w:val="both"/>
    </w:pPr>
    <w:rPr>
      <w:rFonts w:ascii="Times New Roman" w:eastAsia="Times New Roman" w:hAnsi="Times New Roman"/>
      <w:b/>
      <w:sz w:val="24"/>
      <w:szCs w:val="24"/>
      <w:lang w:eastAsia="en-US"/>
    </w:rPr>
  </w:style>
  <w:style w:type="paragraph" w:customStyle="1" w:styleId="Title3">
    <w:name w:val="Title 3"/>
    <w:basedOn w:val="a5"/>
    <w:qFormat/>
    <w:rsid w:val="003C07B0"/>
    <w:pPr>
      <w:keepNext/>
      <w:tabs>
        <w:tab w:val="num" w:pos="0"/>
        <w:tab w:val="left" w:pos="851"/>
      </w:tabs>
      <w:spacing w:before="240"/>
      <w:ind w:left="851" w:hanging="851"/>
      <w:jc w:val="both"/>
    </w:pPr>
    <w:rPr>
      <w:b/>
      <w:lang w:eastAsia="en-US"/>
    </w:rPr>
  </w:style>
  <w:style w:type="paragraph" w:customStyle="1" w:styleId="Title2">
    <w:name w:val="Title 2"/>
    <w:basedOn w:val="Title1"/>
    <w:qFormat/>
    <w:rsid w:val="003C07B0"/>
    <w:pPr>
      <w:tabs>
        <w:tab w:val="clear" w:pos="1418"/>
        <w:tab w:val="num" w:pos="1080"/>
      </w:tabs>
      <w:ind w:left="-648" w:hanging="432"/>
    </w:pPr>
    <w:rPr>
      <w:lang w:val="en-US"/>
    </w:rPr>
  </w:style>
  <w:style w:type="table" w:styleId="aff8">
    <w:name w:val="Table Grid"/>
    <w:basedOn w:val="a7"/>
    <w:locked/>
    <w:rsid w:val="001F7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подпункт приложения"/>
    <w:basedOn w:val="a5"/>
    <w:qFormat/>
    <w:rsid w:val="00CD3E96"/>
    <w:pPr>
      <w:widowControl w:val="0"/>
      <w:numPr>
        <w:ilvl w:val="3"/>
        <w:numId w:val="8"/>
      </w:numPr>
      <w:overflowPunct w:val="0"/>
      <w:autoSpaceDE w:val="0"/>
      <w:autoSpaceDN w:val="0"/>
      <w:adjustRightInd w:val="0"/>
      <w:spacing w:before="120"/>
      <w:jc w:val="both"/>
      <w:textAlignment w:val="baseline"/>
    </w:pPr>
    <w:rPr>
      <w:bCs/>
    </w:rPr>
  </w:style>
  <w:style w:type="paragraph" w:customStyle="1" w:styleId="4-">
    <w:name w:val="Подпункт приложения 4-го уровня"/>
    <w:basedOn w:val="a5"/>
    <w:qFormat/>
    <w:rsid w:val="00CD3E96"/>
    <w:pPr>
      <w:widowControl w:val="0"/>
      <w:numPr>
        <w:ilvl w:val="4"/>
        <w:numId w:val="8"/>
      </w:numPr>
      <w:overflowPunct w:val="0"/>
      <w:autoSpaceDE w:val="0"/>
      <w:autoSpaceDN w:val="0"/>
      <w:adjustRightInd w:val="0"/>
      <w:spacing w:before="60"/>
      <w:jc w:val="both"/>
      <w:textAlignment w:val="baseline"/>
    </w:pPr>
    <w:rPr>
      <w:szCs w:val="20"/>
    </w:rPr>
  </w:style>
  <w:style w:type="paragraph" w:customStyle="1" w:styleId="a3">
    <w:name w:val="Приложение"/>
    <w:basedOn w:val="a5"/>
    <w:qFormat/>
    <w:rsid w:val="00CD3E96"/>
    <w:pPr>
      <w:numPr>
        <w:numId w:val="9"/>
      </w:numPr>
      <w:overflowPunct w:val="0"/>
      <w:autoSpaceDE w:val="0"/>
      <w:autoSpaceDN w:val="0"/>
      <w:adjustRightInd w:val="0"/>
      <w:jc w:val="right"/>
      <w:textAlignment w:val="baseline"/>
    </w:pPr>
    <w:rPr>
      <w:b/>
      <w:sz w:val="28"/>
      <w:szCs w:val="20"/>
    </w:rPr>
  </w:style>
  <w:style w:type="paragraph" w:customStyle="1" w:styleId="a0">
    <w:name w:val="раздел приложения"/>
    <w:basedOn w:val="a5"/>
    <w:qFormat/>
    <w:rsid w:val="00CD3E96"/>
    <w:pPr>
      <w:keepNext/>
      <w:numPr>
        <w:ilvl w:val="1"/>
        <w:numId w:val="8"/>
      </w:numPr>
      <w:spacing w:before="360"/>
      <w:jc w:val="both"/>
    </w:pPr>
    <w:rPr>
      <w:b/>
      <w:szCs w:val="20"/>
    </w:rPr>
  </w:style>
  <w:style w:type="character" w:customStyle="1" w:styleId="Point1">
    <w:name w:val="Point Знак1"/>
    <w:link w:val="Point"/>
    <w:locked/>
    <w:rsid w:val="0036352C"/>
    <w:rPr>
      <w:rFonts w:ascii="Times New Roman" w:eastAsia="Times New Roman" w:hAnsi="Times New Roman"/>
      <w:sz w:val="24"/>
      <w:lang w:val="x-none" w:eastAsia="x-none"/>
    </w:rPr>
  </w:style>
  <w:style w:type="paragraph" w:styleId="aff9">
    <w:name w:val="Revision"/>
    <w:hidden/>
    <w:uiPriority w:val="99"/>
    <w:semiHidden/>
    <w:rsid w:val="00134BD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5608">
      <w:bodyDiv w:val="1"/>
      <w:marLeft w:val="0"/>
      <w:marRight w:val="0"/>
      <w:marTop w:val="0"/>
      <w:marBottom w:val="0"/>
      <w:divBdr>
        <w:top w:val="none" w:sz="0" w:space="0" w:color="auto"/>
        <w:left w:val="none" w:sz="0" w:space="0" w:color="auto"/>
        <w:bottom w:val="none" w:sz="0" w:space="0" w:color="auto"/>
        <w:right w:val="none" w:sz="0" w:space="0" w:color="auto"/>
      </w:divBdr>
    </w:div>
    <w:div w:id="113211932">
      <w:bodyDiv w:val="1"/>
      <w:marLeft w:val="0"/>
      <w:marRight w:val="0"/>
      <w:marTop w:val="0"/>
      <w:marBottom w:val="0"/>
      <w:divBdr>
        <w:top w:val="none" w:sz="0" w:space="0" w:color="auto"/>
        <w:left w:val="none" w:sz="0" w:space="0" w:color="auto"/>
        <w:bottom w:val="none" w:sz="0" w:space="0" w:color="auto"/>
        <w:right w:val="none" w:sz="0" w:space="0" w:color="auto"/>
      </w:divBdr>
    </w:div>
    <w:div w:id="270750601">
      <w:bodyDiv w:val="1"/>
      <w:marLeft w:val="0"/>
      <w:marRight w:val="0"/>
      <w:marTop w:val="0"/>
      <w:marBottom w:val="0"/>
      <w:divBdr>
        <w:top w:val="none" w:sz="0" w:space="0" w:color="auto"/>
        <w:left w:val="none" w:sz="0" w:space="0" w:color="auto"/>
        <w:bottom w:val="none" w:sz="0" w:space="0" w:color="auto"/>
        <w:right w:val="none" w:sz="0" w:space="0" w:color="auto"/>
      </w:divBdr>
    </w:div>
    <w:div w:id="307636959">
      <w:bodyDiv w:val="1"/>
      <w:marLeft w:val="0"/>
      <w:marRight w:val="0"/>
      <w:marTop w:val="0"/>
      <w:marBottom w:val="0"/>
      <w:divBdr>
        <w:top w:val="none" w:sz="0" w:space="0" w:color="auto"/>
        <w:left w:val="none" w:sz="0" w:space="0" w:color="auto"/>
        <w:bottom w:val="none" w:sz="0" w:space="0" w:color="auto"/>
        <w:right w:val="none" w:sz="0" w:space="0" w:color="auto"/>
      </w:divBdr>
    </w:div>
    <w:div w:id="331876792">
      <w:bodyDiv w:val="1"/>
      <w:marLeft w:val="0"/>
      <w:marRight w:val="0"/>
      <w:marTop w:val="0"/>
      <w:marBottom w:val="0"/>
      <w:divBdr>
        <w:top w:val="none" w:sz="0" w:space="0" w:color="auto"/>
        <w:left w:val="none" w:sz="0" w:space="0" w:color="auto"/>
        <w:bottom w:val="none" w:sz="0" w:space="0" w:color="auto"/>
        <w:right w:val="none" w:sz="0" w:space="0" w:color="auto"/>
      </w:divBdr>
    </w:div>
    <w:div w:id="339162557">
      <w:bodyDiv w:val="1"/>
      <w:marLeft w:val="0"/>
      <w:marRight w:val="0"/>
      <w:marTop w:val="0"/>
      <w:marBottom w:val="0"/>
      <w:divBdr>
        <w:top w:val="none" w:sz="0" w:space="0" w:color="auto"/>
        <w:left w:val="none" w:sz="0" w:space="0" w:color="auto"/>
        <w:bottom w:val="none" w:sz="0" w:space="0" w:color="auto"/>
        <w:right w:val="none" w:sz="0" w:space="0" w:color="auto"/>
      </w:divBdr>
    </w:div>
    <w:div w:id="398787340">
      <w:bodyDiv w:val="1"/>
      <w:marLeft w:val="0"/>
      <w:marRight w:val="0"/>
      <w:marTop w:val="0"/>
      <w:marBottom w:val="0"/>
      <w:divBdr>
        <w:top w:val="none" w:sz="0" w:space="0" w:color="auto"/>
        <w:left w:val="none" w:sz="0" w:space="0" w:color="auto"/>
        <w:bottom w:val="none" w:sz="0" w:space="0" w:color="auto"/>
        <w:right w:val="none" w:sz="0" w:space="0" w:color="auto"/>
      </w:divBdr>
    </w:div>
    <w:div w:id="551117861">
      <w:bodyDiv w:val="1"/>
      <w:marLeft w:val="0"/>
      <w:marRight w:val="0"/>
      <w:marTop w:val="0"/>
      <w:marBottom w:val="0"/>
      <w:divBdr>
        <w:top w:val="none" w:sz="0" w:space="0" w:color="auto"/>
        <w:left w:val="none" w:sz="0" w:space="0" w:color="auto"/>
        <w:bottom w:val="none" w:sz="0" w:space="0" w:color="auto"/>
        <w:right w:val="none" w:sz="0" w:space="0" w:color="auto"/>
      </w:divBdr>
    </w:div>
    <w:div w:id="682779426">
      <w:bodyDiv w:val="1"/>
      <w:marLeft w:val="0"/>
      <w:marRight w:val="0"/>
      <w:marTop w:val="0"/>
      <w:marBottom w:val="0"/>
      <w:divBdr>
        <w:top w:val="none" w:sz="0" w:space="0" w:color="auto"/>
        <w:left w:val="none" w:sz="0" w:space="0" w:color="auto"/>
        <w:bottom w:val="none" w:sz="0" w:space="0" w:color="auto"/>
        <w:right w:val="none" w:sz="0" w:space="0" w:color="auto"/>
      </w:divBdr>
    </w:div>
    <w:div w:id="875318525">
      <w:bodyDiv w:val="1"/>
      <w:marLeft w:val="0"/>
      <w:marRight w:val="0"/>
      <w:marTop w:val="0"/>
      <w:marBottom w:val="0"/>
      <w:divBdr>
        <w:top w:val="none" w:sz="0" w:space="0" w:color="auto"/>
        <w:left w:val="none" w:sz="0" w:space="0" w:color="auto"/>
        <w:bottom w:val="none" w:sz="0" w:space="0" w:color="auto"/>
        <w:right w:val="none" w:sz="0" w:space="0" w:color="auto"/>
      </w:divBdr>
    </w:div>
    <w:div w:id="916017992">
      <w:bodyDiv w:val="1"/>
      <w:marLeft w:val="0"/>
      <w:marRight w:val="0"/>
      <w:marTop w:val="0"/>
      <w:marBottom w:val="0"/>
      <w:divBdr>
        <w:top w:val="none" w:sz="0" w:space="0" w:color="auto"/>
        <w:left w:val="none" w:sz="0" w:space="0" w:color="auto"/>
        <w:bottom w:val="none" w:sz="0" w:space="0" w:color="auto"/>
        <w:right w:val="none" w:sz="0" w:space="0" w:color="auto"/>
      </w:divBdr>
    </w:div>
    <w:div w:id="939097903">
      <w:bodyDiv w:val="1"/>
      <w:marLeft w:val="0"/>
      <w:marRight w:val="0"/>
      <w:marTop w:val="0"/>
      <w:marBottom w:val="0"/>
      <w:divBdr>
        <w:top w:val="none" w:sz="0" w:space="0" w:color="auto"/>
        <w:left w:val="none" w:sz="0" w:space="0" w:color="auto"/>
        <w:bottom w:val="none" w:sz="0" w:space="0" w:color="auto"/>
        <w:right w:val="none" w:sz="0" w:space="0" w:color="auto"/>
      </w:divBdr>
    </w:div>
    <w:div w:id="953099381">
      <w:bodyDiv w:val="1"/>
      <w:marLeft w:val="0"/>
      <w:marRight w:val="0"/>
      <w:marTop w:val="0"/>
      <w:marBottom w:val="0"/>
      <w:divBdr>
        <w:top w:val="none" w:sz="0" w:space="0" w:color="auto"/>
        <w:left w:val="none" w:sz="0" w:space="0" w:color="auto"/>
        <w:bottom w:val="none" w:sz="0" w:space="0" w:color="auto"/>
        <w:right w:val="none" w:sz="0" w:space="0" w:color="auto"/>
      </w:divBdr>
    </w:div>
    <w:div w:id="978194258">
      <w:bodyDiv w:val="1"/>
      <w:marLeft w:val="0"/>
      <w:marRight w:val="0"/>
      <w:marTop w:val="0"/>
      <w:marBottom w:val="0"/>
      <w:divBdr>
        <w:top w:val="none" w:sz="0" w:space="0" w:color="auto"/>
        <w:left w:val="none" w:sz="0" w:space="0" w:color="auto"/>
        <w:bottom w:val="none" w:sz="0" w:space="0" w:color="auto"/>
        <w:right w:val="none" w:sz="0" w:space="0" w:color="auto"/>
      </w:divBdr>
    </w:div>
    <w:div w:id="1071345811">
      <w:bodyDiv w:val="1"/>
      <w:marLeft w:val="0"/>
      <w:marRight w:val="0"/>
      <w:marTop w:val="0"/>
      <w:marBottom w:val="0"/>
      <w:divBdr>
        <w:top w:val="none" w:sz="0" w:space="0" w:color="auto"/>
        <w:left w:val="none" w:sz="0" w:space="0" w:color="auto"/>
        <w:bottom w:val="none" w:sz="0" w:space="0" w:color="auto"/>
        <w:right w:val="none" w:sz="0" w:space="0" w:color="auto"/>
      </w:divBdr>
    </w:div>
    <w:div w:id="1345205831">
      <w:bodyDiv w:val="1"/>
      <w:marLeft w:val="0"/>
      <w:marRight w:val="0"/>
      <w:marTop w:val="0"/>
      <w:marBottom w:val="0"/>
      <w:divBdr>
        <w:top w:val="none" w:sz="0" w:space="0" w:color="auto"/>
        <w:left w:val="none" w:sz="0" w:space="0" w:color="auto"/>
        <w:bottom w:val="none" w:sz="0" w:space="0" w:color="auto"/>
        <w:right w:val="none" w:sz="0" w:space="0" w:color="auto"/>
      </w:divBdr>
    </w:div>
    <w:div w:id="1656298336">
      <w:bodyDiv w:val="1"/>
      <w:marLeft w:val="0"/>
      <w:marRight w:val="0"/>
      <w:marTop w:val="0"/>
      <w:marBottom w:val="0"/>
      <w:divBdr>
        <w:top w:val="none" w:sz="0" w:space="0" w:color="auto"/>
        <w:left w:val="none" w:sz="0" w:space="0" w:color="auto"/>
        <w:bottom w:val="none" w:sz="0" w:space="0" w:color="auto"/>
        <w:right w:val="none" w:sz="0" w:space="0" w:color="auto"/>
      </w:divBdr>
    </w:div>
    <w:div w:id="1875196382">
      <w:bodyDiv w:val="1"/>
      <w:marLeft w:val="0"/>
      <w:marRight w:val="0"/>
      <w:marTop w:val="0"/>
      <w:marBottom w:val="0"/>
      <w:divBdr>
        <w:top w:val="none" w:sz="0" w:space="0" w:color="auto"/>
        <w:left w:val="none" w:sz="0" w:space="0" w:color="auto"/>
        <w:bottom w:val="none" w:sz="0" w:space="0" w:color="auto"/>
        <w:right w:val="none" w:sz="0" w:space="0" w:color="auto"/>
      </w:divBdr>
    </w:div>
    <w:div w:id="2055807880">
      <w:bodyDiv w:val="1"/>
      <w:marLeft w:val="0"/>
      <w:marRight w:val="0"/>
      <w:marTop w:val="0"/>
      <w:marBottom w:val="0"/>
      <w:divBdr>
        <w:top w:val="none" w:sz="0" w:space="0" w:color="auto"/>
        <w:left w:val="none" w:sz="0" w:space="0" w:color="auto"/>
        <w:bottom w:val="none" w:sz="0" w:space="0" w:color="auto"/>
        <w:right w:val="none" w:sz="0" w:space="0" w:color="auto"/>
      </w:divBdr>
    </w:div>
    <w:div w:id="21178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268C-851D-40D6-BE11-AABB0C17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6</Pages>
  <Words>1433</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MICEX</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Сергей Петрович</dc:creator>
  <cp:keywords/>
  <dc:description/>
  <cp:lastModifiedBy>Чаптыкова Ирина Витальевна</cp:lastModifiedBy>
  <cp:revision>10</cp:revision>
  <cp:lastPrinted>2018-08-30T16:13:00Z</cp:lastPrinted>
  <dcterms:created xsi:type="dcterms:W3CDTF">2018-07-11T10:10:00Z</dcterms:created>
  <dcterms:modified xsi:type="dcterms:W3CDTF">2018-09-11T13:44:00Z</dcterms:modified>
</cp:coreProperties>
</file>