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EE2" w:rsidRDefault="009B7EE2" w:rsidP="009B7EE2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lang w:eastAsia="ru-RU"/>
        </w:rPr>
      </w:pPr>
      <w:r w:rsidRPr="008F705F">
        <w:rPr>
          <w:rFonts w:ascii="Calibri" w:eastAsia="Times New Roman" w:hAnsi="Calibri" w:cs="Times New Roman"/>
          <w:b/>
          <w:bCs/>
          <w:color w:val="000000"/>
          <w:lang w:eastAsia="ru-RU"/>
        </w:rPr>
        <w:t xml:space="preserve">Информация об отдельных </w:t>
      </w:r>
      <w:r>
        <w:rPr>
          <w:rFonts w:ascii="Calibri" w:eastAsia="Times New Roman" w:hAnsi="Calibri" w:cs="Times New Roman"/>
          <w:b/>
          <w:bCs/>
          <w:color w:val="000000"/>
          <w:lang w:eastAsia="ru-RU"/>
        </w:rPr>
        <w:t xml:space="preserve">обязательных </w:t>
      </w:r>
      <w:r w:rsidRPr="008F705F">
        <w:rPr>
          <w:rFonts w:ascii="Calibri" w:eastAsia="Times New Roman" w:hAnsi="Calibri" w:cs="Times New Roman"/>
          <w:b/>
          <w:bCs/>
          <w:color w:val="000000"/>
          <w:lang w:eastAsia="ru-RU"/>
        </w:rPr>
        <w:t>нормативах и показателях центрального контрагента</w:t>
      </w:r>
      <w:r>
        <w:rPr>
          <w:rFonts w:ascii="Calibri" w:eastAsia="Times New Roman" w:hAnsi="Calibri" w:cs="Times New Roman"/>
          <w:b/>
          <w:bCs/>
          <w:color w:val="000000"/>
          <w:lang w:eastAsia="ru-RU"/>
        </w:rPr>
        <w:t>,</w:t>
      </w:r>
    </w:p>
    <w:p w:rsidR="009B7EE2" w:rsidRDefault="00104B3C" w:rsidP="009B7EE2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u w:val="single"/>
          <w:lang w:eastAsia="ru-RU"/>
        </w:rPr>
      </w:pPr>
      <w:r>
        <w:rPr>
          <w:rFonts w:ascii="Calibri" w:eastAsia="Times New Roman" w:hAnsi="Calibri" w:cs="Times New Roman"/>
          <w:b/>
          <w:bCs/>
          <w:color w:val="000000"/>
          <w:u w:val="single"/>
          <w:lang w:eastAsia="ru-RU"/>
        </w:rPr>
        <w:t>по состоянию на 01.10</w:t>
      </w:r>
      <w:r w:rsidR="009B7EE2" w:rsidRPr="00673C1B">
        <w:rPr>
          <w:rFonts w:ascii="Calibri" w:eastAsia="Times New Roman" w:hAnsi="Calibri" w:cs="Times New Roman"/>
          <w:b/>
          <w:bCs/>
          <w:color w:val="000000"/>
          <w:u w:val="single"/>
          <w:lang w:eastAsia="ru-RU"/>
        </w:rPr>
        <w:t>.2018 г.</w:t>
      </w:r>
    </w:p>
    <w:p w:rsidR="000B26C1" w:rsidRDefault="00DE30DF" w:rsidP="00673C1B">
      <w:pPr>
        <w:spacing w:after="0" w:line="360" w:lineRule="auto"/>
      </w:pPr>
      <w:r>
        <w:t xml:space="preserve">Таблица 1.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50"/>
        <w:gridCol w:w="1695"/>
      </w:tblGrid>
      <w:tr w:rsidR="000475E8" w:rsidTr="00673C1B">
        <w:tc>
          <w:tcPr>
            <w:tcW w:w="7650" w:type="dxa"/>
          </w:tcPr>
          <w:p w:rsidR="000475E8" w:rsidRDefault="000475E8">
            <w:r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Наименование норматива</w:t>
            </w:r>
          </w:p>
        </w:tc>
        <w:tc>
          <w:tcPr>
            <w:tcW w:w="1695" w:type="dxa"/>
          </w:tcPr>
          <w:p w:rsidR="000475E8" w:rsidRDefault="000475E8" w:rsidP="00673C1B">
            <w:r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Значение</w:t>
            </w:r>
            <w:r w:rsidR="00673C1B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 xml:space="preserve"> (%)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 xml:space="preserve"> </w:t>
            </w:r>
          </w:p>
        </w:tc>
      </w:tr>
      <w:tr w:rsidR="000475E8" w:rsidTr="00673C1B">
        <w:tc>
          <w:tcPr>
            <w:tcW w:w="7650" w:type="dxa"/>
          </w:tcPr>
          <w:p w:rsidR="000475E8" w:rsidRDefault="00B56A67" w:rsidP="00012FB2">
            <w:r>
              <w:t>Н</w:t>
            </w:r>
            <w:r w:rsidRPr="00B56A67">
              <w:t xml:space="preserve">орматив </w:t>
            </w:r>
            <w:r w:rsidR="00012FB2" w:rsidRPr="00012FB2">
              <w:t xml:space="preserve">достаточности собственных средств (капитала) центрального контрагента </w:t>
            </w:r>
            <w:r>
              <w:t>(</w:t>
            </w:r>
            <w:r w:rsidR="000475E8">
              <w:t>Н1цк</w:t>
            </w:r>
            <w:r>
              <w:t>)</w:t>
            </w:r>
          </w:p>
        </w:tc>
        <w:tc>
          <w:tcPr>
            <w:tcW w:w="1695" w:type="dxa"/>
          </w:tcPr>
          <w:p w:rsidR="000475E8" w:rsidRDefault="00104B3C" w:rsidP="006741B6">
            <w:pPr>
              <w:jc w:val="right"/>
            </w:pPr>
            <w:r>
              <w:t>163,4</w:t>
            </w:r>
          </w:p>
        </w:tc>
      </w:tr>
      <w:tr w:rsidR="000475E8" w:rsidTr="00673C1B">
        <w:tc>
          <w:tcPr>
            <w:tcW w:w="7650" w:type="dxa"/>
          </w:tcPr>
          <w:p w:rsidR="000475E8" w:rsidRDefault="00B56A67">
            <w:r>
              <w:t>Норматив</w:t>
            </w:r>
            <w:r w:rsidRPr="000475E8">
              <w:t xml:space="preserve"> достаточности совокупных ресурсов центрального контрагента</w:t>
            </w:r>
            <w:r>
              <w:t xml:space="preserve"> (</w:t>
            </w:r>
            <w:r w:rsidR="000475E8">
              <w:t>Н2цк</w:t>
            </w:r>
            <w:r>
              <w:t>)</w:t>
            </w:r>
          </w:p>
        </w:tc>
        <w:tc>
          <w:tcPr>
            <w:tcW w:w="1695" w:type="dxa"/>
          </w:tcPr>
          <w:p w:rsidR="000475E8" w:rsidRPr="00FC20AC" w:rsidRDefault="00FC20AC" w:rsidP="00FC20AC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5862AF">
              <w:t>,</w:t>
            </w:r>
            <w:r>
              <w:rPr>
                <w:lang w:val="en-US"/>
              </w:rPr>
              <w:t>4</w:t>
            </w:r>
          </w:p>
        </w:tc>
      </w:tr>
    </w:tbl>
    <w:p w:rsidR="000475E8" w:rsidRDefault="000475E8"/>
    <w:p w:rsidR="00DE30DF" w:rsidRDefault="00DE30DF">
      <w:r>
        <w:t xml:space="preserve">Таблица 2.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50"/>
        <w:gridCol w:w="1695"/>
      </w:tblGrid>
      <w:tr w:rsidR="000475E8" w:rsidTr="00673C1B">
        <w:tc>
          <w:tcPr>
            <w:tcW w:w="7650" w:type="dxa"/>
          </w:tcPr>
          <w:p w:rsidR="000475E8" w:rsidRPr="000475E8" w:rsidRDefault="000475E8">
            <w:pPr>
              <w:rPr>
                <w:b/>
              </w:rPr>
            </w:pPr>
            <w:r w:rsidRPr="000475E8">
              <w:rPr>
                <w:b/>
              </w:rPr>
              <w:t>Наименование показателя</w:t>
            </w:r>
          </w:p>
        </w:tc>
        <w:tc>
          <w:tcPr>
            <w:tcW w:w="1695" w:type="dxa"/>
          </w:tcPr>
          <w:p w:rsidR="00673C1B" w:rsidRDefault="000475E8" w:rsidP="003969D5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Значение</w:t>
            </w:r>
          </w:p>
          <w:p w:rsidR="000475E8" w:rsidRDefault="00673C1B" w:rsidP="003969D5">
            <w:pPr>
              <w:jc w:val="center"/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(</w:t>
            </w:r>
            <w:r w:rsidR="000475E8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тыс. руб.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)</w:t>
            </w:r>
          </w:p>
        </w:tc>
      </w:tr>
      <w:tr w:rsidR="000475E8" w:rsidTr="00673C1B">
        <w:tc>
          <w:tcPr>
            <w:tcW w:w="7650" w:type="dxa"/>
          </w:tcPr>
          <w:p w:rsidR="000475E8" w:rsidRDefault="000475E8" w:rsidP="000A60A9">
            <w:pPr>
              <w:jc w:val="both"/>
            </w:pPr>
            <w:r w:rsidRPr="000475E8">
              <w:t>Минимальная величина средств, необходимая для обеспечения прекращения или реструктуризации деятельности центрального контрагента</w:t>
            </w:r>
            <w:r w:rsidR="00B56A67">
              <w:t xml:space="preserve"> (величина МЛикв)</w:t>
            </w:r>
          </w:p>
        </w:tc>
        <w:tc>
          <w:tcPr>
            <w:tcW w:w="1695" w:type="dxa"/>
          </w:tcPr>
          <w:p w:rsidR="000475E8" w:rsidRPr="00D64C05" w:rsidRDefault="00D64C05" w:rsidP="00D64C05">
            <w:pPr>
              <w:jc w:val="right"/>
            </w:pPr>
            <w:r>
              <w:t>693</w:t>
            </w:r>
            <w:r w:rsidR="009111F6">
              <w:rPr>
                <w:lang w:val="en-US"/>
              </w:rPr>
              <w:t xml:space="preserve"> </w:t>
            </w:r>
            <w:bookmarkStart w:id="0" w:name="_GoBack"/>
            <w:bookmarkEnd w:id="0"/>
            <w:r>
              <w:t>200</w:t>
            </w:r>
          </w:p>
        </w:tc>
      </w:tr>
      <w:tr w:rsidR="000475E8" w:rsidTr="00673C1B">
        <w:tc>
          <w:tcPr>
            <w:tcW w:w="7650" w:type="dxa"/>
          </w:tcPr>
          <w:p w:rsidR="000475E8" w:rsidRDefault="000475E8" w:rsidP="000A60A9">
            <w:pPr>
              <w:jc w:val="both"/>
            </w:pPr>
            <w:r w:rsidRPr="000475E8">
              <w:t>Минимальная величина средств, необходимая для покрытия потенциальных потерь в результате ухудшения финансового положения центрального контрагента вследствие уменьшения его доходов или увеличения расходов, не связанных с неисполнением или ненадлежащим исполнением обязательств участниками клиринга</w:t>
            </w:r>
            <w:r w:rsidR="00B56A67">
              <w:t xml:space="preserve"> (величина МДР)</w:t>
            </w:r>
          </w:p>
        </w:tc>
        <w:tc>
          <w:tcPr>
            <w:tcW w:w="1695" w:type="dxa"/>
          </w:tcPr>
          <w:p w:rsidR="000475E8" w:rsidRPr="00D64C05" w:rsidRDefault="00D64C05" w:rsidP="00D64C05">
            <w:pPr>
              <w:jc w:val="right"/>
            </w:pPr>
            <w:r>
              <w:t>346</w:t>
            </w:r>
            <w:r w:rsidR="009111F6">
              <w:rPr>
                <w:lang w:val="en-US"/>
              </w:rPr>
              <w:t xml:space="preserve"> </w:t>
            </w:r>
            <w:r>
              <w:t>600</w:t>
            </w:r>
          </w:p>
        </w:tc>
      </w:tr>
    </w:tbl>
    <w:p w:rsidR="000475E8" w:rsidRDefault="000475E8"/>
    <w:p w:rsidR="00B56A67" w:rsidRDefault="00B56A67"/>
    <w:p w:rsidR="009B7EE2" w:rsidRDefault="009B7EE2" w:rsidP="009B7EE2">
      <w:pPr>
        <w:jc w:val="both"/>
        <w:rPr>
          <w:color w:val="000000" w:themeColor="text1"/>
        </w:rPr>
      </w:pPr>
      <w:r w:rsidRPr="00193C2D">
        <w:rPr>
          <w:b/>
          <w:color w:val="FF0000"/>
        </w:rPr>
        <w:t xml:space="preserve">Примечание: </w:t>
      </w:r>
      <w:r w:rsidRPr="00193C2D">
        <w:rPr>
          <w:color w:val="000000" w:themeColor="text1"/>
        </w:rPr>
        <w:t>в связи</w:t>
      </w:r>
      <w:r w:rsidRPr="00193C2D">
        <w:rPr>
          <w:b/>
          <w:color w:val="000000" w:themeColor="text1"/>
        </w:rPr>
        <w:t xml:space="preserve"> </w:t>
      </w:r>
      <w:r>
        <w:rPr>
          <w:color w:val="000000" w:themeColor="text1"/>
        </w:rPr>
        <w:t>с получением НКЦ</w:t>
      </w:r>
      <w:r w:rsidRPr="00193C2D">
        <w:rPr>
          <w:color w:val="000000" w:themeColor="text1"/>
        </w:rPr>
        <w:t xml:space="preserve"> статуса небанковской кредитной организа</w:t>
      </w:r>
      <w:r>
        <w:rPr>
          <w:color w:val="000000" w:themeColor="text1"/>
        </w:rPr>
        <w:t>ции – центрального контрагента (</w:t>
      </w:r>
      <w:r w:rsidRPr="00193C2D">
        <w:rPr>
          <w:color w:val="000000" w:themeColor="text1"/>
        </w:rPr>
        <w:t>28</w:t>
      </w:r>
      <w:r>
        <w:rPr>
          <w:color w:val="000000" w:themeColor="text1"/>
        </w:rPr>
        <w:t xml:space="preserve">.11.2017), а также с учетом требований </w:t>
      </w:r>
      <w:r>
        <w:t>Указания Банка России от 21.06.2017 №</w:t>
      </w:r>
      <w:r w:rsidRPr="000015AD">
        <w:t xml:space="preserve"> 4429-У "Об информации, раскрываемой центральным контрагентом, требованиях к порядку и срокам ее раскрытия, а также об определении правил предоставления информации участникам клиринга"</w:t>
      </w:r>
      <w:r>
        <w:t xml:space="preserve"> </w:t>
      </w:r>
      <w:r w:rsidRPr="00193C2D">
        <w:rPr>
          <w:color w:val="000000" w:themeColor="text1"/>
        </w:rPr>
        <w:t>НКЦ</w:t>
      </w:r>
      <w:r>
        <w:rPr>
          <w:color w:val="000000" w:themeColor="text1"/>
        </w:rPr>
        <w:t xml:space="preserve"> раскрывает информацию</w:t>
      </w:r>
      <w:r w:rsidRPr="000015AD">
        <w:rPr>
          <w:color w:val="000000" w:themeColor="text1"/>
        </w:rPr>
        <w:t xml:space="preserve"> об отдельных обязательных нормативах и показателях центрального контрагента</w:t>
      </w:r>
      <w:r>
        <w:rPr>
          <w:color w:val="000000" w:themeColor="text1"/>
        </w:rPr>
        <w:t xml:space="preserve"> из отчетности </w:t>
      </w:r>
      <w:r w:rsidRPr="000015AD">
        <w:rPr>
          <w:color w:val="000000" w:themeColor="text1"/>
        </w:rPr>
        <w:t>по форме 0409722 "Сведения об обязательных нормативах и о выделенном капитале центрального контрагента"</w:t>
      </w:r>
      <w:r>
        <w:rPr>
          <w:color w:val="000000" w:themeColor="text1"/>
        </w:rPr>
        <w:t xml:space="preserve">, составляемую </w:t>
      </w:r>
      <w:r w:rsidRPr="00193C2D">
        <w:rPr>
          <w:color w:val="000000" w:themeColor="text1"/>
        </w:rPr>
        <w:t xml:space="preserve">в соответствии с Инструкцией Банка России от 14 ноября 2016 г. </w:t>
      </w:r>
      <w:r>
        <w:rPr>
          <w:color w:val="000000" w:themeColor="text1"/>
        </w:rPr>
        <w:t xml:space="preserve"> </w:t>
      </w:r>
      <w:r w:rsidRPr="00193C2D">
        <w:rPr>
          <w:color w:val="000000" w:themeColor="text1"/>
        </w:rPr>
        <w:t>№ 175-И «О банковских операциях небанковских кредитных организаций – центральных контрагентов, об обязательных нормативах небанковских кредитных организаций – центральных контрагентов и особенностях осуществления Банком Ро</w:t>
      </w:r>
      <w:r>
        <w:rPr>
          <w:color w:val="000000" w:themeColor="text1"/>
        </w:rPr>
        <w:t xml:space="preserve">ссии надзора за их соблюдением». </w:t>
      </w:r>
    </w:p>
    <w:p w:rsidR="000475E8" w:rsidRDefault="000475E8"/>
    <w:sectPr w:rsidR="000475E8" w:rsidSect="00B56A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A6C18"/>
    <w:multiLevelType w:val="hybridMultilevel"/>
    <w:tmpl w:val="379E2F58"/>
    <w:lvl w:ilvl="0" w:tplc="5B9287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5CD"/>
    <w:rsid w:val="00012FB2"/>
    <w:rsid w:val="000475E8"/>
    <w:rsid w:val="00084412"/>
    <w:rsid w:val="000A60A9"/>
    <w:rsid w:val="000B15CD"/>
    <w:rsid w:val="000B26C1"/>
    <w:rsid w:val="00104B3C"/>
    <w:rsid w:val="00175083"/>
    <w:rsid w:val="003969D5"/>
    <w:rsid w:val="00414A9A"/>
    <w:rsid w:val="005135CF"/>
    <w:rsid w:val="005862AF"/>
    <w:rsid w:val="00673C1B"/>
    <w:rsid w:val="006741B6"/>
    <w:rsid w:val="00752914"/>
    <w:rsid w:val="007728CF"/>
    <w:rsid w:val="008922D4"/>
    <w:rsid w:val="009111F6"/>
    <w:rsid w:val="009B7EE2"/>
    <w:rsid w:val="009E01AF"/>
    <w:rsid w:val="00B56A67"/>
    <w:rsid w:val="00D15605"/>
    <w:rsid w:val="00D355AC"/>
    <w:rsid w:val="00D64C05"/>
    <w:rsid w:val="00DE30DF"/>
    <w:rsid w:val="00E7039C"/>
    <w:rsid w:val="00F6275B"/>
    <w:rsid w:val="00FC2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708BDC-8EF8-48A5-BB3F-DBE68AF58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75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7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475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MOEX</Company>
  <LinksUpToDate>false</LinksUpToDate>
  <CharactersWithSpaces>1801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Климов Евгений Александрович</dc:creator>
  <cp:lastModifiedBy>Амачкина Светлана Евгеньевна</cp:lastModifiedBy>
  <cp:revision>2</cp:revision>
  <dcterms:created xsi:type="dcterms:W3CDTF">2018-10-05T12:34:00Z</dcterms:created>
  <dcterms:modified xsi:type="dcterms:W3CDTF">2018-10-05T12:34:00Z</dcterms:modified>
</cp:coreProperties>
</file>