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5.xml" ContentType="application/vnd.openxmlformats-officedocument.themeOverrid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1A125" w14:textId="77777777" w:rsidR="00BF135F" w:rsidRPr="00BF135F" w:rsidRDefault="00BF135F" w:rsidP="00BF135F">
      <w:pPr>
        <w:widowControl w:val="0"/>
        <w:tabs>
          <w:tab w:val="left" w:pos="4536"/>
        </w:tabs>
        <w:overflowPunct w:val="0"/>
        <w:autoSpaceDE w:val="0"/>
        <w:autoSpaceDN w:val="0"/>
        <w:adjustRightInd w:val="0"/>
        <w:ind w:left="708" w:right="187" w:firstLine="720"/>
        <w:jc w:val="right"/>
        <w:textAlignment w:val="baseline"/>
        <w:rPr>
          <w:rFonts w:ascii="Times New Roman" w:eastAsia="Times New Roman" w:hAnsi="Times New Roman"/>
          <w:sz w:val="28"/>
          <w:szCs w:val="28"/>
          <w:lang w:eastAsia="ru-RU"/>
        </w:rPr>
      </w:pPr>
      <w:bookmarkStart w:id="0" w:name="_GoBack"/>
      <w:bookmarkEnd w:id="0"/>
      <w:r w:rsidRPr="00BF135F">
        <w:rPr>
          <w:rFonts w:ascii="Times New Roman" w:eastAsia="Times New Roman" w:hAnsi="Times New Roman"/>
          <w:sz w:val="28"/>
          <w:szCs w:val="28"/>
          <w:lang w:eastAsia="ru-RU"/>
        </w:rPr>
        <w:t>УТВЕРЖДЕН</w:t>
      </w:r>
    </w:p>
    <w:p w14:paraId="20BFBAB8" w14:textId="5A76A594" w:rsidR="00BF135F" w:rsidRPr="00BF135F" w:rsidRDefault="00BF135F" w:rsidP="00BF135F">
      <w:pPr>
        <w:widowControl w:val="0"/>
        <w:tabs>
          <w:tab w:val="left" w:pos="4536"/>
        </w:tabs>
        <w:overflowPunct w:val="0"/>
        <w:autoSpaceDE w:val="0"/>
        <w:autoSpaceDN w:val="0"/>
        <w:adjustRightInd w:val="0"/>
        <w:ind w:right="187" w:firstLine="720"/>
        <w:jc w:val="right"/>
        <w:textAlignment w:val="baseline"/>
        <w:rPr>
          <w:rFonts w:ascii="Times New Roman" w:eastAsia="Times New Roman" w:hAnsi="Times New Roman"/>
          <w:sz w:val="28"/>
          <w:szCs w:val="28"/>
          <w:lang w:eastAsia="ru-RU"/>
        </w:rPr>
      </w:pPr>
      <w:r w:rsidRPr="00BF135F">
        <w:rPr>
          <w:rFonts w:ascii="Times New Roman" w:eastAsia="Times New Roman" w:hAnsi="Times New Roman"/>
          <w:sz w:val="28"/>
          <w:szCs w:val="28"/>
          <w:lang w:eastAsia="ru-RU"/>
        </w:rPr>
        <w:t>Решением единственного акционера</w:t>
      </w:r>
      <w:r w:rsidR="00A7013B">
        <w:rPr>
          <w:rFonts w:ascii="Times New Roman" w:eastAsia="Times New Roman" w:hAnsi="Times New Roman"/>
          <w:sz w:val="28"/>
          <w:szCs w:val="28"/>
          <w:lang w:eastAsia="ru-RU"/>
        </w:rPr>
        <w:t xml:space="preserve"> №41</w:t>
      </w:r>
    </w:p>
    <w:p w14:paraId="766AFA1C" w14:textId="6C70A159" w:rsidR="00BF135F" w:rsidRPr="00BF135F" w:rsidRDefault="00EC083B" w:rsidP="00BF135F">
      <w:pPr>
        <w:widowControl w:val="0"/>
        <w:tabs>
          <w:tab w:val="left" w:pos="4536"/>
        </w:tabs>
        <w:overflowPunct w:val="0"/>
        <w:autoSpaceDE w:val="0"/>
        <w:autoSpaceDN w:val="0"/>
        <w:adjustRightInd w:val="0"/>
        <w:ind w:right="187" w:firstLine="720"/>
        <w:jc w:val="right"/>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r w:rsidR="00BF135F" w:rsidRPr="00BF135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мая</w:t>
      </w:r>
      <w:r w:rsidR="00BF135F" w:rsidRPr="00BF135F">
        <w:rPr>
          <w:rFonts w:ascii="Times New Roman" w:eastAsia="Times New Roman" w:hAnsi="Times New Roman"/>
          <w:sz w:val="28"/>
          <w:szCs w:val="28"/>
          <w:lang w:eastAsia="ru-RU"/>
        </w:rPr>
        <w:t xml:space="preserve"> 201</w:t>
      </w:r>
      <w:r w:rsidR="00A804E3" w:rsidRPr="00D7741E">
        <w:rPr>
          <w:rFonts w:ascii="Times New Roman" w:eastAsia="Times New Roman" w:hAnsi="Times New Roman"/>
          <w:sz w:val="28"/>
          <w:szCs w:val="28"/>
          <w:lang w:eastAsia="ru-RU"/>
        </w:rPr>
        <w:t>8</w:t>
      </w:r>
      <w:r w:rsidR="00BF135F" w:rsidRPr="00BF135F">
        <w:rPr>
          <w:rFonts w:ascii="Times New Roman" w:eastAsia="Times New Roman" w:hAnsi="Times New Roman"/>
          <w:sz w:val="28"/>
          <w:szCs w:val="28"/>
          <w:lang w:eastAsia="ru-RU"/>
        </w:rPr>
        <w:t xml:space="preserve"> года</w:t>
      </w:r>
    </w:p>
    <w:p w14:paraId="0109F924" w14:textId="3451AEC3" w:rsidR="00BF135F" w:rsidRPr="00BF135F" w:rsidRDefault="00BF135F" w:rsidP="00BF135F">
      <w:pPr>
        <w:widowControl w:val="0"/>
        <w:tabs>
          <w:tab w:val="left" w:pos="4536"/>
        </w:tabs>
        <w:overflowPunct w:val="0"/>
        <w:autoSpaceDE w:val="0"/>
        <w:autoSpaceDN w:val="0"/>
        <w:adjustRightInd w:val="0"/>
        <w:spacing w:before="240"/>
        <w:ind w:right="187" w:firstLine="720"/>
        <w:jc w:val="both"/>
        <w:textAlignment w:val="baseline"/>
        <w:rPr>
          <w:rFonts w:ascii="Arial" w:eastAsia="Times New Roman" w:hAnsi="Arial" w:cs="Arial"/>
          <w:color w:val="FFFFFF"/>
          <w:sz w:val="28"/>
          <w:szCs w:val="28"/>
          <w:lang w:eastAsia="ru-RU"/>
        </w:rPr>
      </w:pPr>
      <w:r w:rsidRPr="00BF135F">
        <w:rPr>
          <w:rFonts w:ascii="Times New Roman" w:eastAsia="Times New Roman" w:hAnsi="Times New Roman"/>
          <w:color w:val="FFFFFF"/>
          <w:sz w:val="28"/>
          <w:szCs w:val="28"/>
          <w:lang w:eastAsia="ru-RU"/>
        </w:rPr>
        <w:t>ОАО «ММВБ-РТС</w:t>
      </w:r>
      <w:r w:rsidRPr="00BF135F">
        <w:rPr>
          <w:rFonts w:ascii="Arial" w:eastAsia="Times New Roman" w:hAnsi="Arial" w:cs="Arial"/>
          <w:color w:val="FFFFFF"/>
          <w:sz w:val="28"/>
          <w:szCs w:val="28"/>
          <w:lang w:eastAsia="ru-RU"/>
        </w:rPr>
        <w:t xml:space="preserve">» </w:t>
      </w:r>
    </w:p>
    <w:p w14:paraId="76A77C05" w14:textId="77777777" w:rsidR="00BF135F" w:rsidRPr="00BF135F" w:rsidRDefault="00BF135F" w:rsidP="00BF135F">
      <w:pPr>
        <w:widowControl w:val="0"/>
        <w:tabs>
          <w:tab w:val="left" w:pos="4536"/>
        </w:tabs>
        <w:overflowPunct w:val="0"/>
        <w:autoSpaceDE w:val="0"/>
        <w:autoSpaceDN w:val="0"/>
        <w:adjustRightInd w:val="0"/>
        <w:ind w:right="187" w:firstLine="720"/>
        <w:jc w:val="right"/>
        <w:textAlignment w:val="baseline"/>
        <w:rPr>
          <w:rFonts w:ascii="Arial" w:eastAsia="Times New Roman" w:hAnsi="Arial" w:cs="Arial"/>
          <w:color w:val="FFFFFF"/>
          <w:sz w:val="28"/>
          <w:szCs w:val="28"/>
          <w:lang w:eastAsia="ru-RU"/>
        </w:rPr>
      </w:pPr>
      <w:r w:rsidRPr="00BF135F">
        <w:rPr>
          <w:rFonts w:ascii="Arial" w:eastAsia="Times New Roman" w:hAnsi="Arial" w:cs="Arial"/>
          <w:color w:val="FFFFFF"/>
          <w:sz w:val="28"/>
          <w:szCs w:val="28"/>
          <w:lang w:eastAsia="ru-RU"/>
        </w:rPr>
        <w:t xml:space="preserve">__________________________   </w:t>
      </w:r>
    </w:p>
    <w:p w14:paraId="124DB086" w14:textId="77777777" w:rsidR="00BF135F" w:rsidRPr="00BF135F" w:rsidRDefault="00BF135F" w:rsidP="00BF135F">
      <w:pPr>
        <w:widowControl w:val="0"/>
        <w:tabs>
          <w:tab w:val="left" w:pos="4536"/>
        </w:tabs>
        <w:overflowPunct w:val="0"/>
        <w:autoSpaceDE w:val="0"/>
        <w:autoSpaceDN w:val="0"/>
        <w:adjustRightInd w:val="0"/>
        <w:ind w:right="187" w:firstLine="720"/>
        <w:jc w:val="right"/>
        <w:textAlignment w:val="baseline"/>
        <w:rPr>
          <w:rFonts w:ascii="Arial" w:eastAsia="Times New Roman" w:hAnsi="Arial" w:cs="Arial"/>
          <w:color w:val="FFFFFF"/>
          <w:sz w:val="28"/>
          <w:szCs w:val="28"/>
          <w:lang w:eastAsia="ru-RU"/>
        </w:rPr>
      </w:pPr>
      <w:r w:rsidRPr="00BF135F">
        <w:rPr>
          <w:rFonts w:ascii="Arial" w:eastAsia="Times New Roman" w:hAnsi="Arial" w:cs="Arial"/>
          <w:color w:val="FFFFFF"/>
          <w:sz w:val="28"/>
          <w:szCs w:val="28"/>
          <w:lang w:eastAsia="ru-RU"/>
        </w:rPr>
        <w:t>Аганбегян Р.А.</w:t>
      </w:r>
    </w:p>
    <w:p w14:paraId="4979C87D" w14:textId="77777777" w:rsidR="00BF135F" w:rsidRPr="00BF135F" w:rsidRDefault="00BF135F" w:rsidP="00BF135F">
      <w:pPr>
        <w:widowControl w:val="0"/>
        <w:tabs>
          <w:tab w:val="left" w:pos="4536"/>
        </w:tabs>
        <w:overflowPunct w:val="0"/>
        <w:autoSpaceDE w:val="0"/>
        <w:autoSpaceDN w:val="0"/>
        <w:adjustRightInd w:val="0"/>
        <w:ind w:right="187" w:firstLine="720"/>
        <w:jc w:val="right"/>
        <w:textAlignment w:val="baseline"/>
        <w:rPr>
          <w:rFonts w:ascii="Arial" w:eastAsia="Times New Roman" w:hAnsi="Arial" w:cs="Arial"/>
          <w:color w:val="FFFFFF"/>
          <w:sz w:val="28"/>
          <w:szCs w:val="28"/>
          <w:lang w:eastAsia="ru-RU"/>
        </w:rPr>
      </w:pPr>
      <w:r w:rsidRPr="00BF135F">
        <w:rPr>
          <w:rFonts w:ascii="Arial" w:eastAsia="Times New Roman" w:hAnsi="Arial" w:cs="Arial"/>
          <w:color w:val="FFFFFF"/>
          <w:sz w:val="28"/>
          <w:szCs w:val="28"/>
          <w:lang w:eastAsia="ru-RU"/>
        </w:rPr>
        <w:t xml:space="preserve">                  М.П.</w:t>
      </w:r>
    </w:p>
    <w:p w14:paraId="600D4C02" w14:textId="77777777" w:rsidR="00BF135F" w:rsidRPr="00BF135F" w:rsidRDefault="00BF135F" w:rsidP="00BF135F">
      <w:pPr>
        <w:widowControl w:val="0"/>
        <w:tabs>
          <w:tab w:val="left" w:pos="4536"/>
        </w:tabs>
        <w:overflowPunct w:val="0"/>
        <w:autoSpaceDE w:val="0"/>
        <w:autoSpaceDN w:val="0"/>
        <w:adjustRightInd w:val="0"/>
        <w:ind w:right="187" w:firstLine="720"/>
        <w:jc w:val="right"/>
        <w:textAlignment w:val="baseline"/>
        <w:rPr>
          <w:rFonts w:ascii="Arial" w:eastAsia="Times New Roman" w:hAnsi="Arial" w:cs="Arial"/>
          <w:sz w:val="28"/>
          <w:szCs w:val="28"/>
          <w:lang w:eastAsia="ru-RU"/>
        </w:rPr>
      </w:pPr>
    </w:p>
    <w:p w14:paraId="7929D871" w14:textId="77777777" w:rsidR="00BF135F" w:rsidRPr="00BF135F" w:rsidRDefault="00BF135F" w:rsidP="00BF135F">
      <w:pPr>
        <w:widowControl w:val="0"/>
        <w:tabs>
          <w:tab w:val="left" w:pos="4536"/>
        </w:tabs>
        <w:overflowPunct w:val="0"/>
        <w:autoSpaceDE w:val="0"/>
        <w:autoSpaceDN w:val="0"/>
        <w:adjustRightInd w:val="0"/>
        <w:ind w:right="187" w:firstLine="720"/>
        <w:jc w:val="right"/>
        <w:textAlignment w:val="baseline"/>
        <w:rPr>
          <w:rFonts w:ascii="Times New Roman" w:eastAsia="Times New Roman" w:hAnsi="Times New Roman"/>
          <w:sz w:val="28"/>
          <w:szCs w:val="28"/>
          <w:lang w:eastAsia="ru-RU"/>
        </w:rPr>
      </w:pPr>
      <w:r w:rsidRPr="00BF135F">
        <w:rPr>
          <w:rFonts w:ascii="Times New Roman" w:eastAsia="Times New Roman" w:hAnsi="Times New Roman"/>
          <w:sz w:val="28"/>
          <w:szCs w:val="28"/>
          <w:lang w:eastAsia="ru-RU"/>
        </w:rPr>
        <w:t>ПРЕДВАРИТЕЛЬНО УТВЕРЖДЕН</w:t>
      </w:r>
    </w:p>
    <w:p w14:paraId="55616095" w14:textId="77777777" w:rsidR="00BF135F" w:rsidRPr="00BF135F" w:rsidRDefault="00BF135F" w:rsidP="00BF135F">
      <w:pPr>
        <w:widowControl w:val="0"/>
        <w:tabs>
          <w:tab w:val="left" w:pos="4536"/>
        </w:tabs>
        <w:overflowPunct w:val="0"/>
        <w:autoSpaceDE w:val="0"/>
        <w:autoSpaceDN w:val="0"/>
        <w:adjustRightInd w:val="0"/>
        <w:ind w:right="187" w:firstLine="720"/>
        <w:jc w:val="right"/>
        <w:textAlignment w:val="baseline"/>
        <w:rPr>
          <w:rFonts w:ascii="Times New Roman" w:eastAsia="Times New Roman" w:hAnsi="Times New Roman"/>
          <w:sz w:val="28"/>
          <w:szCs w:val="28"/>
          <w:lang w:eastAsia="ru-RU"/>
        </w:rPr>
      </w:pPr>
      <w:r w:rsidRPr="00BF135F">
        <w:rPr>
          <w:rFonts w:ascii="Times New Roman" w:eastAsia="Times New Roman" w:hAnsi="Times New Roman"/>
          <w:sz w:val="28"/>
          <w:szCs w:val="28"/>
          <w:lang w:eastAsia="ru-RU"/>
        </w:rPr>
        <w:t xml:space="preserve">решением Наблюдательного совета </w:t>
      </w:r>
    </w:p>
    <w:p w14:paraId="13C325F3" w14:textId="77777777" w:rsidR="00BF135F" w:rsidRPr="00BF135F" w:rsidRDefault="0002161F" w:rsidP="00BF135F">
      <w:pPr>
        <w:widowControl w:val="0"/>
        <w:tabs>
          <w:tab w:val="left" w:pos="4536"/>
        </w:tabs>
        <w:overflowPunct w:val="0"/>
        <w:autoSpaceDE w:val="0"/>
        <w:autoSpaceDN w:val="0"/>
        <w:adjustRightInd w:val="0"/>
        <w:ind w:right="187" w:firstLine="720"/>
        <w:jc w:val="right"/>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НКО НКЦ (АО)</w:t>
      </w:r>
    </w:p>
    <w:p w14:paraId="7756F99A" w14:textId="571B6BA5" w:rsidR="00BF135F" w:rsidRPr="00BF135F" w:rsidRDefault="00EC083B" w:rsidP="00BF135F">
      <w:pPr>
        <w:widowControl w:val="0"/>
        <w:tabs>
          <w:tab w:val="left" w:pos="4536"/>
        </w:tabs>
        <w:overflowPunct w:val="0"/>
        <w:autoSpaceDE w:val="0"/>
        <w:autoSpaceDN w:val="0"/>
        <w:adjustRightInd w:val="0"/>
        <w:ind w:right="187" w:firstLine="720"/>
        <w:jc w:val="right"/>
        <w:textAlignment w:val="baseline"/>
        <w:rPr>
          <w:rFonts w:ascii="Times New Roman" w:eastAsia="Times New Roman" w:hAnsi="Times New Roman"/>
          <w:sz w:val="28"/>
          <w:szCs w:val="28"/>
          <w:lang w:eastAsia="ru-RU"/>
        </w:rPr>
      </w:pPr>
      <w:r w:rsidRPr="00BF135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«13</w:t>
      </w:r>
      <w:r w:rsidR="00BF135F" w:rsidRPr="00BF135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апреля</w:t>
      </w:r>
      <w:r w:rsidR="00BF135F" w:rsidRPr="00BF135F">
        <w:rPr>
          <w:rFonts w:ascii="Times New Roman" w:eastAsia="Times New Roman" w:hAnsi="Times New Roman"/>
          <w:sz w:val="28"/>
          <w:szCs w:val="28"/>
          <w:lang w:eastAsia="ru-RU"/>
        </w:rPr>
        <w:t xml:space="preserve"> 201</w:t>
      </w:r>
      <w:r w:rsidR="0002161F">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года, Протокол № 11</w:t>
      </w:r>
    </w:p>
    <w:p w14:paraId="5EB28254" w14:textId="77777777" w:rsidR="00BF135F" w:rsidRPr="00BF135F" w:rsidRDefault="00BF135F" w:rsidP="00BF135F">
      <w:pPr>
        <w:widowControl w:val="0"/>
        <w:tabs>
          <w:tab w:val="left" w:pos="4536"/>
        </w:tabs>
        <w:overflowPunct w:val="0"/>
        <w:autoSpaceDE w:val="0"/>
        <w:autoSpaceDN w:val="0"/>
        <w:adjustRightInd w:val="0"/>
        <w:ind w:right="187" w:firstLine="720"/>
        <w:jc w:val="right"/>
        <w:textAlignment w:val="baseline"/>
        <w:rPr>
          <w:rFonts w:ascii="Times New Roman" w:eastAsia="Times New Roman" w:hAnsi="Times New Roman"/>
          <w:sz w:val="28"/>
          <w:szCs w:val="28"/>
          <w:lang w:eastAsia="ru-RU"/>
        </w:rPr>
      </w:pPr>
    </w:p>
    <w:p w14:paraId="013EB440" w14:textId="77777777" w:rsidR="00BF135F" w:rsidRPr="00BF135F" w:rsidRDefault="00BF135F" w:rsidP="00BF135F">
      <w:pPr>
        <w:widowControl w:val="0"/>
        <w:tabs>
          <w:tab w:val="left" w:pos="4536"/>
        </w:tabs>
        <w:overflowPunct w:val="0"/>
        <w:autoSpaceDE w:val="0"/>
        <w:autoSpaceDN w:val="0"/>
        <w:adjustRightInd w:val="0"/>
        <w:ind w:right="187" w:firstLine="720"/>
        <w:jc w:val="right"/>
        <w:textAlignment w:val="baseline"/>
        <w:rPr>
          <w:rFonts w:ascii="Times New Roman" w:eastAsia="Times New Roman" w:hAnsi="Times New Roman"/>
          <w:color w:val="FFFFFF"/>
          <w:sz w:val="28"/>
          <w:szCs w:val="28"/>
          <w:lang w:eastAsia="ru-RU"/>
        </w:rPr>
      </w:pPr>
    </w:p>
    <w:p w14:paraId="5D95A5A8" w14:textId="77777777" w:rsidR="00BF135F" w:rsidRPr="00BF135F" w:rsidRDefault="00BF135F" w:rsidP="00BF135F">
      <w:pPr>
        <w:widowControl w:val="0"/>
        <w:tabs>
          <w:tab w:val="left" w:pos="4536"/>
        </w:tabs>
        <w:overflowPunct w:val="0"/>
        <w:autoSpaceDE w:val="0"/>
        <w:autoSpaceDN w:val="0"/>
        <w:adjustRightInd w:val="0"/>
        <w:ind w:right="187" w:firstLine="720"/>
        <w:jc w:val="right"/>
        <w:textAlignment w:val="baseline"/>
        <w:rPr>
          <w:rFonts w:ascii="Times New Roman" w:eastAsia="Times New Roman" w:hAnsi="Times New Roman"/>
          <w:color w:val="FFFFFF"/>
          <w:sz w:val="28"/>
          <w:szCs w:val="28"/>
          <w:lang w:eastAsia="ru-RU"/>
        </w:rPr>
      </w:pPr>
      <w:r w:rsidRPr="00BF135F">
        <w:rPr>
          <w:rFonts w:ascii="Times New Roman" w:eastAsia="Times New Roman" w:hAnsi="Times New Roman"/>
          <w:color w:val="FFFFFF"/>
          <w:sz w:val="28"/>
          <w:szCs w:val="28"/>
          <w:lang w:eastAsia="ru-RU"/>
        </w:rPr>
        <w:t xml:space="preserve">Председатель Наблюдательного совета </w:t>
      </w:r>
    </w:p>
    <w:p w14:paraId="510116E4" w14:textId="77777777" w:rsidR="00BF135F" w:rsidRPr="00BF135F" w:rsidRDefault="00BF135F" w:rsidP="00BF135F">
      <w:pPr>
        <w:widowControl w:val="0"/>
        <w:tabs>
          <w:tab w:val="left" w:pos="4536"/>
        </w:tabs>
        <w:overflowPunct w:val="0"/>
        <w:autoSpaceDE w:val="0"/>
        <w:autoSpaceDN w:val="0"/>
        <w:adjustRightInd w:val="0"/>
        <w:ind w:right="187" w:firstLine="720"/>
        <w:jc w:val="right"/>
        <w:textAlignment w:val="baseline"/>
        <w:rPr>
          <w:rFonts w:ascii="Times New Roman" w:eastAsia="Times New Roman" w:hAnsi="Times New Roman"/>
          <w:color w:val="FFFFFF"/>
          <w:sz w:val="28"/>
          <w:szCs w:val="28"/>
          <w:lang w:eastAsia="ru-RU"/>
        </w:rPr>
      </w:pPr>
      <w:r w:rsidRPr="00BF135F">
        <w:rPr>
          <w:rFonts w:ascii="Times New Roman" w:eastAsia="Times New Roman" w:hAnsi="Times New Roman"/>
          <w:color w:val="FFFFFF"/>
          <w:sz w:val="28"/>
          <w:szCs w:val="28"/>
          <w:lang w:eastAsia="ru-RU"/>
        </w:rPr>
        <w:t>ЗАО АКБ «Национальный Клиринговый Центр»</w:t>
      </w:r>
    </w:p>
    <w:p w14:paraId="31D80D9C" w14:textId="77777777" w:rsidR="00BF135F" w:rsidRPr="00BF135F" w:rsidRDefault="00BF135F" w:rsidP="00BF135F">
      <w:pPr>
        <w:widowControl w:val="0"/>
        <w:tabs>
          <w:tab w:val="left" w:pos="4536"/>
        </w:tabs>
        <w:overflowPunct w:val="0"/>
        <w:autoSpaceDE w:val="0"/>
        <w:autoSpaceDN w:val="0"/>
        <w:adjustRightInd w:val="0"/>
        <w:ind w:right="187" w:firstLine="720"/>
        <w:jc w:val="right"/>
        <w:textAlignment w:val="baseline"/>
        <w:rPr>
          <w:rFonts w:ascii="Times New Roman" w:eastAsia="Times New Roman" w:hAnsi="Times New Roman"/>
          <w:b/>
          <w:color w:val="FFFFFF"/>
          <w:sz w:val="28"/>
          <w:szCs w:val="28"/>
          <w:lang w:eastAsia="ru-RU"/>
        </w:rPr>
      </w:pPr>
      <w:r w:rsidRPr="00BF135F">
        <w:rPr>
          <w:rFonts w:ascii="Times New Roman" w:eastAsia="Times New Roman" w:hAnsi="Times New Roman"/>
          <w:b/>
          <w:color w:val="FFFFFF"/>
          <w:sz w:val="28"/>
          <w:szCs w:val="28"/>
          <w:lang w:eastAsia="ru-RU"/>
        </w:rPr>
        <w:t xml:space="preserve">__________________________ </w:t>
      </w:r>
    </w:p>
    <w:p w14:paraId="488ED8E9" w14:textId="77777777" w:rsidR="00BF135F" w:rsidRPr="00BF135F" w:rsidRDefault="00BF135F" w:rsidP="00BF135F">
      <w:pPr>
        <w:widowControl w:val="0"/>
        <w:tabs>
          <w:tab w:val="left" w:pos="4536"/>
        </w:tabs>
        <w:overflowPunct w:val="0"/>
        <w:autoSpaceDE w:val="0"/>
        <w:autoSpaceDN w:val="0"/>
        <w:adjustRightInd w:val="0"/>
        <w:ind w:right="187" w:firstLine="720"/>
        <w:jc w:val="right"/>
        <w:textAlignment w:val="baseline"/>
        <w:rPr>
          <w:rFonts w:ascii="Times New Roman" w:eastAsia="Times New Roman" w:hAnsi="Times New Roman"/>
          <w:color w:val="FFFFFF"/>
          <w:sz w:val="28"/>
          <w:szCs w:val="28"/>
          <w:lang w:eastAsia="ru-RU"/>
        </w:rPr>
      </w:pPr>
      <w:r w:rsidRPr="00BF135F">
        <w:rPr>
          <w:rFonts w:ascii="Times New Roman" w:eastAsia="Times New Roman" w:hAnsi="Times New Roman"/>
          <w:color w:val="FFFFFF"/>
          <w:sz w:val="28"/>
          <w:szCs w:val="28"/>
          <w:lang w:eastAsia="ru-RU"/>
        </w:rPr>
        <w:t>Лыков С.П.</w:t>
      </w:r>
    </w:p>
    <w:p w14:paraId="2B24482D" w14:textId="77777777" w:rsidR="00BF135F" w:rsidRPr="00BF135F" w:rsidRDefault="00BF135F" w:rsidP="00BF135F">
      <w:pPr>
        <w:widowControl w:val="0"/>
        <w:tabs>
          <w:tab w:val="left" w:pos="4536"/>
        </w:tabs>
        <w:overflowPunct w:val="0"/>
        <w:autoSpaceDE w:val="0"/>
        <w:autoSpaceDN w:val="0"/>
        <w:adjustRightInd w:val="0"/>
        <w:ind w:right="187" w:firstLine="720"/>
        <w:jc w:val="right"/>
        <w:textAlignment w:val="baseline"/>
        <w:rPr>
          <w:rFonts w:ascii="Times New Roman" w:eastAsia="Times New Roman" w:hAnsi="Times New Roman"/>
          <w:sz w:val="28"/>
          <w:szCs w:val="28"/>
          <w:lang w:eastAsia="ru-RU"/>
        </w:rPr>
      </w:pPr>
      <w:r w:rsidRPr="00BF135F">
        <w:rPr>
          <w:rFonts w:ascii="Times New Roman" w:eastAsia="Times New Roman" w:hAnsi="Times New Roman"/>
          <w:color w:val="FFFFFF"/>
          <w:sz w:val="28"/>
          <w:szCs w:val="28"/>
          <w:lang w:eastAsia="ru-RU"/>
        </w:rPr>
        <w:t xml:space="preserve">                   М.П.</w:t>
      </w:r>
    </w:p>
    <w:p w14:paraId="29F19E8C" w14:textId="77777777" w:rsidR="00BF135F" w:rsidRPr="00BF135F" w:rsidRDefault="00BF135F" w:rsidP="00BF135F">
      <w:pPr>
        <w:widowControl w:val="0"/>
        <w:overflowPunct w:val="0"/>
        <w:autoSpaceDE w:val="0"/>
        <w:autoSpaceDN w:val="0"/>
        <w:adjustRightInd w:val="0"/>
        <w:spacing w:before="240" w:after="60"/>
        <w:ind w:right="283" w:firstLine="720"/>
        <w:jc w:val="center"/>
        <w:textAlignment w:val="baseline"/>
        <w:outlineLvl w:val="4"/>
        <w:rPr>
          <w:rFonts w:ascii="Times New Roman" w:eastAsia="Times New Roman" w:hAnsi="Times New Roman"/>
          <w:b/>
          <w:bCs/>
          <w:i/>
          <w:iCs/>
          <w:sz w:val="28"/>
          <w:szCs w:val="28"/>
          <w:lang w:eastAsia="ru-RU"/>
        </w:rPr>
      </w:pPr>
    </w:p>
    <w:p w14:paraId="355C1D2D" w14:textId="77777777" w:rsidR="00BF135F" w:rsidRPr="00BF135F" w:rsidRDefault="00BF135F" w:rsidP="00BF135F">
      <w:pPr>
        <w:widowControl w:val="0"/>
        <w:overflowPunct w:val="0"/>
        <w:autoSpaceDE w:val="0"/>
        <w:autoSpaceDN w:val="0"/>
        <w:adjustRightInd w:val="0"/>
        <w:spacing w:before="240" w:after="60"/>
        <w:ind w:right="283" w:firstLine="720"/>
        <w:jc w:val="center"/>
        <w:textAlignment w:val="baseline"/>
        <w:outlineLvl w:val="4"/>
        <w:rPr>
          <w:rFonts w:ascii="Times New Roman" w:eastAsia="Times New Roman" w:hAnsi="Times New Roman"/>
          <w:b/>
          <w:bCs/>
          <w:i/>
          <w:iCs/>
          <w:sz w:val="40"/>
          <w:szCs w:val="40"/>
          <w:lang w:eastAsia="ru-RU"/>
        </w:rPr>
      </w:pPr>
      <w:r w:rsidRPr="00BF135F">
        <w:rPr>
          <w:rFonts w:ascii="Times New Roman" w:eastAsia="Times New Roman" w:hAnsi="Times New Roman"/>
          <w:b/>
          <w:bCs/>
          <w:i/>
          <w:iCs/>
          <w:sz w:val="40"/>
          <w:szCs w:val="40"/>
          <w:lang w:eastAsia="ru-RU"/>
        </w:rPr>
        <w:t>ГОДОВОЙ ОТЧЕТ</w:t>
      </w:r>
    </w:p>
    <w:p w14:paraId="29D829A8" w14:textId="77777777" w:rsidR="00BF135F" w:rsidRPr="00BF135F" w:rsidRDefault="00BF135F" w:rsidP="00BF135F">
      <w:pPr>
        <w:widowControl w:val="0"/>
        <w:overflowPunct w:val="0"/>
        <w:autoSpaceDE w:val="0"/>
        <w:autoSpaceDN w:val="0"/>
        <w:adjustRightInd w:val="0"/>
        <w:jc w:val="center"/>
        <w:textAlignment w:val="baseline"/>
        <w:rPr>
          <w:rFonts w:ascii="Times New Roman" w:eastAsia="Times New Roman" w:hAnsi="Times New Roman"/>
          <w:b/>
          <w:sz w:val="40"/>
          <w:szCs w:val="40"/>
          <w:lang w:eastAsia="ru-RU"/>
        </w:rPr>
      </w:pPr>
    </w:p>
    <w:p w14:paraId="64C2D17E" w14:textId="0525DC32" w:rsidR="00BF135F" w:rsidRPr="00BF135F" w:rsidRDefault="00BF135F" w:rsidP="00BF135F">
      <w:pPr>
        <w:widowControl w:val="0"/>
        <w:overflowPunct w:val="0"/>
        <w:autoSpaceDE w:val="0"/>
        <w:autoSpaceDN w:val="0"/>
        <w:adjustRightInd w:val="0"/>
        <w:jc w:val="center"/>
        <w:textAlignment w:val="baseline"/>
        <w:rPr>
          <w:rFonts w:ascii="Times New Roman" w:eastAsia="Times New Roman" w:hAnsi="Times New Roman"/>
          <w:b/>
          <w:sz w:val="36"/>
          <w:szCs w:val="36"/>
          <w:lang w:eastAsia="ru-RU"/>
        </w:rPr>
      </w:pPr>
      <w:r>
        <w:rPr>
          <w:rFonts w:ascii="Times New Roman" w:eastAsia="Times New Roman" w:hAnsi="Times New Roman"/>
          <w:b/>
          <w:sz w:val="36"/>
          <w:szCs w:val="36"/>
          <w:lang w:eastAsia="ru-RU"/>
        </w:rPr>
        <w:t>Небанковской кредитной организации-центрального контрагента «Национальн</w:t>
      </w:r>
      <w:r w:rsidR="00BA1915">
        <w:rPr>
          <w:rFonts w:ascii="Times New Roman" w:eastAsia="Times New Roman" w:hAnsi="Times New Roman"/>
          <w:b/>
          <w:sz w:val="36"/>
          <w:szCs w:val="36"/>
          <w:lang w:eastAsia="ru-RU"/>
        </w:rPr>
        <w:t>ый</w:t>
      </w:r>
      <w:r>
        <w:rPr>
          <w:rFonts w:ascii="Times New Roman" w:eastAsia="Times New Roman" w:hAnsi="Times New Roman"/>
          <w:b/>
          <w:sz w:val="36"/>
          <w:szCs w:val="36"/>
          <w:lang w:eastAsia="ru-RU"/>
        </w:rPr>
        <w:t xml:space="preserve"> Кли</w:t>
      </w:r>
      <w:r w:rsidR="00EC083B">
        <w:rPr>
          <w:rFonts w:ascii="Times New Roman" w:eastAsia="Times New Roman" w:hAnsi="Times New Roman"/>
          <w:b/>
          <w:sz w:val="36"/>
          <w:szCs w:val="36"/>
          <w:lang w:eastAsia="ru-RU"/>
        </w:rPr>
        <w:t>рингов</w:t>
      </w:r>
      <w:r w:rsidR="00BA1915">
        <w:rPr>
          <w:rFonts w:ascii="Times New Roman" w:eastAsia="Times New Roman" w:hAnsi="Times New Roman"/>
          <w:b/>
          <w:sz w:val="36"/>
          <w:szCs w:val="36"/>
          <w:lang w:eastAsia="ru-RU"/>
        </w:rPr>
        <w:t>ый Центр</w:t>
      </w:r>
      <w:r w:rsidR="00EC083B">
        <w:rPr>
          <w:rFonts w:ascii="Times New Roman" w:eastAsia="Times New Roman" w:hAnsi="Times New Roman"/>
          <w:b/>
          <w:sz w:val="36"/>
          <w:szCs w:val="36"/>
          <w:lang w:eastAsia="ru-RU"/>
        </w:rPr>
        <w:t xml:space="preserve">» (Акционерное </w:t>
      </w:r>
      <w:r>
        <w:rPr>
          <w:rFonts w:ascii="Times New Roman" w:eastAsia="Times New Roman" w:hAnsi="Times New Roman"/>
          <w:b/>
          <w:sz w:val="36"/>
          <w:szCs w:val="36"/>
          <w:lang w:eastAsia="ru-RU"/>
        </w:rPr>
        <w:t>общество)</w:t>
      </w:r>
    </w:p>
    <w:p w14:paraId="20EBC935" w14:textId="77777777" w:rsidR="00BF135F" w:rsidRPr="00BF135F" w:rsidRDefault="00BF135F" w:rsidP="00BF135F">
      <w:pPr>
        <w:widowControl w:val="0"/>
        <w:overflowPunct w:val="0"/>
        <w:autoSpaceDE w:val="0"/>
        <w:autoSpaceDN w:val="0"/>
        <w:adjustRightInd w:val="0"/>
        <w:jc w:val="center"/>
        <w:textAlignment w:val="baseline"/>
        <w:rPr>
          <w:rFonts w:ascii="Times New Roman" w:eastAsia="Times New Roman" w:hAnsi="Times New Roman"/>
          <w:b/>
          <w:sz w:val="40"/>
          <w:szCs w:val="40"/>
          <w:lang w:eastAsia="ru-RU"/>
        </w:rPr>
      </w:pPr>
      <w:r>
        <w:rPr>
          <w:rFonts w:ascii="Times New Roman" w:eastAsia="Times New Roman" w:hAnsi="Times New Roman"/>
          <w:b/>
          <w:sz w:val="36"/>
          <w:szCs w:val="36"/>
          <w:lang w:eastAsia="ru-RU"/>
        </w:rPr>
        <w:t>за</w:t>
      </w:r>
      <w:r w:rsidRPr="00BF135F">
        <w:rPr>
          <w:rFonts w:ascii="Times New Roman" w:eastAsia="Times New Roman" w:hAnsi="Times New Roman"/>
          <w:b/>
          <w:sz w:val="36"/>
          <w:szCs w:val="36"/>
          <w:lang w:eastAsia="ru-RU"/>
        </w:rPr>
        <w:t xml:space="preserve"> 201</w:t>
      </w:r>
      <w:r>
        <w:rPr>
          <w:rFonts w:ascii="Times New Roman" w:eastAsia="Times New Roman" w:hAnsi="Times New Roman"/>
          <w:b/>
          <w:sz w:val="36"/>
          <w:szCs w:val="36"/>
          <w:lang w:eastAsia="ru-RU"/>
        </w:rPr>
        <w:t>7 год</w:t>
      </w:r>
    </w:p>
    <w:p w14:paraId="1092C874" w14:textId="77777777" w:rsidR="00BF135F" w:rsidRPr="00BF135F" w:rsidRDefault="00BF135F" w:rsidP="00BF135F">
      <w:pPr>
        <w:widowControl w:val="0"/>
        <w:overflowPunct w:val="0"/>
        <w:autoSpaceDE w:val="0"/>
        <w:autoSpaceDN w:val="0"/>
        <w:adjustRightInd w:val="0"/>
        <w:jc w:val="center"/>
        <w:textAlignment w:val="baseline"/>
        <w:rPr>
          <w:rFonts w:ascii="Times New Roman" w:eastAsia="Times New Roman" w:hAnsi="Times New Roman"/>
          <w:sz w:val="20"/>
          <w:szCs w:val="20"/>
          <w:lang w:eastAsia="ru-RU"/>
        </w:rPr>
      </w:pPr>
    </w:p>
    <w:p w14:paraId="6A20C794" w14:textId="77777777" w:rsidR="00BF135F" w:rsidRPr="00BF135F" w:rsidRDefault="00BF135F" w:rsidP="00BF135F">
      <w:pPr>
        <w:widowControl w:val="0"/>
        <w:overflowPunct w:val="0"/>
        <w:autoSpaceDE w:val="0"/>
        <w:autoSpaceDN w:val="0"/>
        <w:adjustRightInd w:val="0"/>
        <w:textAlignment w:val="baseline"/>
        <w:rPr>
          <w:rFonts w:ascii="Times New Roman" w:eastAsia="Times New Roman" w:hAnsi="Times New Roman"/>
          <w:sz w:val="20"/>
          <w:szCs w:val="20"/>
          <w:lang w:eastAsia="ru-RU"/>
        </w:rPr>
      </w:pPr>
    </w:p>
    <w:p w14:paraId="0B4CD632" w14:textId="77777777" w:rsidR="00361CF3" w:rsidRPr="00BF135F" w:rsidRDefault="00BF135F" w:rsidP="00BF135F">
      <w:pPr>
        <w:widowControl w:val="0"/>
        <w:overflowPunct w:val="0"/>
        <w:autoSpaceDE w:val="0"/>
        <w:autoSpaceDN w:val="0"/>
        <w:adjustRightInd w:val="0"/>
        <w:jc w:val="center"/>
        <w:textAlignment w:val="baseline"/>
        <w:rPr>
          <w:rFonts w:ascii="Times New Roman" w:eastAsia="Times New Roman" w:hAnsi="Times New Roman"/>
          <w:b/>
          <w:sz w:val="28"/>
          <w:szCs w:val="28"/>
          <w:lang w:eastAsia="ru-RU"/>
        </w:rPr>
      </w:pPr>
      <w:r w:rsidRPr="00BF135F">
        <w:rPr>
          <w:rFonts w:ascii="Times New Roman" w:eastAsia="Times New Roman" w:hAnsi="Times New Roman"/>
          <w:sz w:val="20"/>
          <w:szCs w:val="20"/>
          <w:lang w:eastAsia="ru-RU"/>
        </w:rPr>
        <w:br w:type="page"/>
      </w:r>
    </w:p>
    <w:sdt>
      <w:sdtPr>
        <w:rPr>
          <w:rFonts w:ascii="Calibri" w:eastAsiaTheme="minorHAnsi" w:hAnsi="Calibri" w:cs="Times New Roman"/>
          <w:color w:val="auto"/>
          <w:sz w:val="22"/>
          <w:szCs w:val="22"/>
          <w:lang w:eastAsia="en-US"/>
        </w:rPr>
        <w:id w:val="-1876845182"/>
        <w:docPartObj>
          <w:docPartGallery w:val="Table of Contents"/>
          <w:docPartUnique/>
        </w:docPartObj>
      </w:sdtPr>
      <w:sdtEndPr>
        <w:rPr>
          <w:b/>
          <w:bCs/>
        </w:rPr>
      </w:sdtEndPr>
      <w:sdtContent>
        <w:p w14:paraId="7A4A4A1D" w14:textId="4B8BEE72" w:rsidR="00266F28" w:rsidRPr="00266F28" w:rsidRDefault="00266F28">
          <w:pPr>
            <w:pStyle w:val="af4"/>
            <w:rPr>
              <w:rFonts w:ascii="Times New Roman" w:hAnsi="Times New Roman" w:cs="Times New Roman"/>
              <w:b/>
              <w:color w:val="000000" w:themeColor="text1"/>
            </w:rPr>
          </w:pPr>
          <w:r w:rsidRPr="00266F28">
            <w:rPr>
              <w:rFonts w:ascii="Times New Roman" w:hAnsi="Times New Roman" w:cs="Times New Roman"/>
              <w:b/>
              <w:color w:val="000000" w:themeColor="text1"/>
            </w:rPr>
            <w:t>Оглавление</w:t>
          </w:r>
        </w:p>
        <w:p w14:paraId="2BDD4BE7" w14:textId="21F91788" w:rsidR="00266F28" w:rsidRDefault="00266F28">
          <w:pPr>
            <w:pStyle w:val="12"/>
            <w:tabs>
              <w:tab w:val="right" w:leader="dot" w:pos="9345"/>
            </w:tabs>
            <w:rPr>
              <w:rFonts w:asciiTheme="minorHAnsi" w:eastAsiaTheme="minorEastAsia" w:hAnsiTheme="minorHAnsi" w:cstheme="minorBidi"/>
              <w:noProof/>
              <w:lang w:eastAsia="ru-RU"/>
            </w:rPr>
          </w:pPr>
          <w:r>
            <w:fldChar w:fldCharType="begin"/>
          </w:r>
          <w:r>
            <w:instrText xml:space="preserve"> TOC \o "1-3" \h \z \u </w:instrText>
          </w:r>
          <w:r>
            <w:fldChar w:fldCharType="separate"/>
          </w:r>
          <w:hyperlink w:anchor="_Toc510776650" w:history="1">
            <w:r w:rsidRPr="0087633C">
              <w:rPr>
                <w:rStyle w:val="a3"/>
                <w:rFonts w:ascii="Times New Roman" w:eastAsia="Times New Roman" w:hAnsi="Times New Roman" w:cs="Arial"/>
                <w:b/>
                <w:noProof/>
                <w:lang w:eastAsia="ru-RU"/>
              </w:rPr>
              <w:t>1. Общие сведения</w:t>
            </w:r>
            <w:r>
              <w:rPr>
                <w:noProof/>
                <w:webHidden/>
              </w:rPr>
              <w:tab/>
            </w:r>
            <w:r>
              <w:rPr>
                <w:noProof/>
                <w:webHidden/>
              </w:rPr>
              <w:fldChar w:fldCharType="begin"/>
            </w:r>
            <w:r>
              <w:rPr>
                <w:noProof/>
                <w:webHidden/>
              </w:rPr>
              <w:instrText xml:space="preserve"> PAGEREF _Toc510776650 \h </w:instrText>
            </w:r>
            <w:r>
              <w:rPr>
                <w:noProof/>
                <w:webHidden/>
              </w:rPr>
            </w:r>
            <w:r>
              <w:rPr>
                <w:noProof/>
                <w:webHidden/>
              </w:rPr>
              <w:fldChar w:fldCharType="separate"/>
            </w:r>
            <w:r>
              <w:rPr>
                <w:noProof/>
                <w:webHidden/>
              </w:rPr>
              <w:t>4</w:t>
            </w:r>
            <w:r>
              <w:rPr>
                <w:noProof/>
                <w:webHidden/>
              </w:rPr>
              <w:fldChar w:fldCharType="end"/>
            </w:r>
          </w:hyperlink>
        </w:p>
        <w:p w14:paraId="63B5AA04" w14:textId="75009076" w:rsidR="00266F28" w:rsidRDefault="00315BCD">
          <w:pPr>
            <w:pStyle w:val="12"/>
            <w:tabs>
              <w:tab w:val="right" w:leader="dot" w:pos="9345"/>
            </w:tabs>
            <w:rPr>
              <w:rFonts w:asciiTheme="minorHAnsi" w:eastAsiaTheme="minorEastAsia" w:hAnsiTheme="minorHAnsi" w:cstheme="minorBidi"/>
              <w:noProof/>
              <w:lang w:eastAsia="ru-RU"/>
            </w:rPr>
          </w:pPr>
          <w:hyperlink w:anchor="_Toc510776651" w:history="1">
            <w:r w:rsidR="00266F28" w:rsidRPr="0087633C">
              <w:rPr>
                <w:rStyle w:val="a3"/>
                <w:rFonts w:ascii="Times New Roman" w:eastAsia="Times New Roman" w:hAnsi="Times New Roman"/>
                <w:b/>
                <w:bCs/>
                <w:noProof/>
                <w:lang w:eastAsia="ru-RU"/>
              </w:rPr>
              <w:t>2. Уставный капитал и состав акционеров</w:t>
            </w:r>
            <w:r w:rsidR="00266F28">
              <w:rPr>
                <w:noProof/>
                <w:webHidden/>
              </w:rPr>
              <w:tab/>
            </w:r>
            <w:r w:rsidR="00266F28">
              <w:rPr>
                <w:noProof/>
                <w:webHidden/>
              </w:rPr>
              <w:fldChar w:fldCharType="begin"/>
            </w:r>
            <w:r w:rsidR="00266F28">
              <w:rPr>
                <w:noProof/>
                <w:webHidden/>
              </w:rPr>
              <w:instrText xml:space="preserve"> PAGEREF _Toc510776651 \h </w:instrText>
            </w:r>
            <w:r w:rsidR="00266F28">
              <w:rPr>
                <w:noProof/>
                <w:webHidden/>
              </w:rPr>
            </w:r>
            <w:r w:rsidR="00266F28">
              <w:rPr>
                <w:noProof/>
                <w:webHidden/>
              </w:rPr>
              <w:fldChar w:fldCharType="separate"/>
            </w:r>
            <w:r w:rsidR="00266F28">
              <w:rPr>
                <w:noProof/>
                <w:webHidden/>
              </w:rPr>
              <w:t>5</w:t>
            </w:r>
            <w:r w:rsidR="00266F28">
              <w:rPr>
                <w:noProof/>
                <w:webHidden/>
              </w:rPr>
              <w:fldChar w:fldCharType="end"/>
            </w:r>
          </w:hyperlink>
        </w:p>
        <w:p w14:paraId="4B485822" w14:textId="7748A515" w:rsidR="00266F28" w:rsidRDefault="00315BCD">
          <w:pPr>
            <w:pStyle w:val="12"/>
            <w:tabs>
              <w:tab w:val="right" w:leader="dot" w:pos="9345"/>
            </w:tabs>
            <w:rPr>
              <w:rFonts w:asciiTheme="minorHAnsi" w:eastAsiaTheme="minorEastAsia" w:hAnsiTheme="minorHAnsi" w:cstheme="minorBidi"/>
              <w:noProof/>
              <w:lang w:eastAsia="ru-RU"/>
            </w:rPr>
          </w:pPr>
          <w:hyperlink w:anchor="_Toc510776652" w:history="1">
            <w:r w:rsidR="00266F28" w:rsidRPr="0087633C">
              <w:rPr>
                <w:rStyle w:val="a3"/>
                <w:rFonts w:ascii="Times New Roman" w:eastAsia="Times New Roman" w:hAnsi="Times New Roman" w:cs="Arial"/>
                <w:b/>
                <w:noProof/>
                <w:lang w:eastAsia="ru-RU"/>
              </w:rPr>
              <w:t>3</w:t>
            </w:r>
            <w:r w:rsidR="00266F28" w:rsidRPr="0087633C">
              <w:rPr>
                <w:rStyle w:val="a3"/>
                <w:rFonts w:ascii="Times New Roman" w:hAnsi="Times New Roman"/>
                <w:b/>
                <w:noProof/>
              </w:rPr>
              <w:t>. Положение НКО НКЦ (АО) в отрасли</w:t>
            </w:r>
            <w:r w:rsidR="00266F28">
              <w:rPr>
                <w:noProof/>
                <w:webHidden/>
              </w:rPr>
              <w:tab/>
            </w:r>
            <w:r w:rsidR="00266F28">
              <w:rPr>
                <w:noProof/>
                <w:webHidden/>
              </w:rPr>
              <w:fldChar w:fldCharType="begin"/>
            </w:r>
            <w:r w:rsidR="00266F28">
              <w:rPr>
                <w:noProof/>
                <w:webHidden/>
              </w:rPr>
              <w:instrText xml:space="preserve"> PAGEREF _Toc510776652 \h </w:instrText>
            </w:r>
            <w:r w:rsidR="00266F28">
              <w:rPr>
                <w:noProof/>
                <w:webHidden/>
              </w:rPr>
            </w:r>
            <w:r w:rsidR="00266F28">
              <w:rPr>
                <w:noProof/>
                <w:webHidden/>
              </w:rPr>
              <w:fldChar w:fldCharType="separate"/>
            </w:r>
            <w:r w:rsidR="00266F28">
              <w:rPr>
                <w:noProof/>
                <w:webHidden/>
              </w:rPr>
              <w:t>6</w:t>
            </w:r>
            <w:r w:rsidR="00266F28">
              <w:rPr>
                <w:noProof/>
                <w:webHidden/>
              </w:rPr>
              <w:fldChar w:fldCharType="end"/>
            </w:r>
          </w:hyperlink>
        </w:p>
        <w:p w14:paraId="3169F3C8" w14:textId="48E97CF6" w:rsidR="00266F28" w:rsidRDefault="00315BCD">
          <w:pPr>
            <w:pStyle w:val="12"/>
            <w:tabs>
              <w:tab w:val="right" w:leader="dot" w:pos="9345"/>
            </w:tabs>
            <w:rPr>
              <w:rFonts w:asciiTheme="minorHAnsi" w:eastAsiaTheme="minorEastAsia" w:hAnsiTheme="minorHAnsi" w:cstheme="minorBidi"/>
              <w:noProof/>
              <w:lang w:eastAsia="ru-RU"/>
            </w:rPr>
          </w:pPr>
          <w:hyperlink w:anchor="_Toc510776653" w:history="1">
            <w:r w:rsidR="00266F28" w:rsidRPr="0087633C">
              <w:rPr>
                <w:rStyle w:val="a3"/>
                <w:rFonts w:ascii="Times New Roman" w:eastAsia="Times New Roman" w:hAnsi="Times New Roman" w:cs="Arial"/>
                <w:b/>
                <w:noProof/>
                <w:lang w:eastAsia="ru-RU"/>
              </w:rPr>
              <w:t>4. Перспективы развития</w:t>
            </w:r>
            <w:r w:rsidR="00266F28">
              <w:rPr>
                <w:noProof/>
                <w:webHidden/>
              </w:rPr>
              <w:tab/>
            </w:r>
            <w:r w:rsidR="00266F28">
              <w:rPr>
                <w:noProof/>
                <w:webHidden/>
              </w:rPr>
              <w:fldChar w:fldCharType="begin"/>
            </w:r>
            <w:r w:rsidR="00266F28">
              <w:rPr>
                <w:noProof/>
                <w:webHidden/>
              </w:rPr>
              <w:instrText xml:space="preserve"> PAGEREF _Toc510776653 \h </w:instrText>
            </w:r>
            <w:r w:rsidR="00266F28">
              <w:rPr>
                <w:noProof/>
                <w:webHidden/>
              </w:rPr>
            </w:r>
            <w:r w:rsidR="00266F28">
              <w:rPr>
                <w:noProof/>
                <w:webHidden/>
              </w:rPr>
              <w:fldChar w:fldCharType="separate"/>
            </w:r>
            <w:r w:rsidR="00266F28">
              <w:rPr>
                <w:noProof/>
                <w:webHidden/>
              </w:rPr>
              <w:t>17</w:t>
            </w:r>
            <w:r w:rsidR="00266F28">
              <w:rPr>
                <w:noProof/>
                <w:webHidden/>
              </w:rPr>
              <w:fldChar w:fldCharType="end"/>
            </w:r>
          </w:hyperlink>
        </w:p>
        <w:p w14:paraId="48BA1AEB" w14:textId="65A4D628" w:rsidR="00266F28" w:rsidRDefault="00315BCD">
          <w:pPr>
            <w:pStyle w:val="12"/>
            <w:tabs>
              <w:tab w:val="right" w:leader="dot" w:pos="9345"/>
            </w:tabs>
            <w:rPr>
              <w:rFonts w:asciiTheme="minorHAnsi" w:eastAsiaTheme="minorEastAsia" w:hAnsiTheme="minorHAnsi" w:cstheme="minorBidi"/>
              <w:noProof/>
              <w:lang w:eastAsia="ru-RU"/>
            </w:rPr>
          </w:pPr>
          <w:hyperlink w:anchor="_Toc510776654" w:history="1">
            <w:r w:rsidR="00266F28" w:rsidRPr="0087633C">
              <w:rPr>
                <w:rStyle w:val="a3"/>
                <w:rFonts w:ascii="Times New Roman" w:eastAsia="Times New Roman" w:hAnsi="Times New Roman" w:cs="Arial"/>
                <w:b/>
                <w:noProof/>
                <w:lang w:eastAsia="ru-RU"/>
              </w:rPr>
              <w:t>5.Результаты развития по основным (приоритетным) направлениям деятельности</w:t>
            </w:r>
            <w:r w:rsidR="00266F28">
              <w:rPr>
                <w:noProof/>
                <w:webHidden/>
              </w:rPr>
              <w:tab/>
            </w:r>
            <w:r w:rsidR="00266F28">
              <w:rPr>
                <w:noProof/>
                <w:webHidden/>
              </w:rPr>
              <w:fldChar w:fldCharType="begin"/>
            </w:r>
            <w:r w:rsidR="00266F28">
              <w:rPr>
                <w:noProof/>
                <w:webHidden/>
              </w:rPr>
              <w:instrText xml:space="preserve"> PAGEREF _Toc510776654 \h </w:instrText>
            </w:r>
            <w:r w:rsidR="00266F28">
              <w:rPr>
                <w:noProof/>
                <w:webHidden/>
              </w:rPr>
            </w:r>
            <w:r w:rsidR="00266F28">
              <w:rPr>
                <w:noProof/>
                <w:webHidden/>
              </w:rPr>
              <w:fldChar w:fldCharType="separate"/>
            </w:r>
            <w:r w:rsidR="00266F28">
              <w:rPr>
                <w:noProof/>
                <w:webHidden/>
              </w:rPr>
              <w:t>21</w:t>
            </w:r>
            <w:r w:rsidR="00266F28">
              <w:rPr>
                <w:noProof/>
                <w:webHidden/>
              </w:rPr>
              <w:fldChar w:fldCharType="end"/>
            </w:r>
          </w:hyperlink>
        </w:p>
        <w:p w14:paraId="26A78C5A" w14:textId="51F2E28D" w:rsidR="00266F28" w:rsidRDefault="00315BCD">
          <w:pPr>
            <w:pStyle w:val="21"/>
            <w:tabs>
              <w:tab w:val="right" w:leader="dot" w:pos="9345"/>
            </w:tabs>
            <w:rPr>
              <w:rFonts w:asciiTheme="minorHAnsi" w:eastAsiaTheme="minorEastAsia" w:hAnsiTheme="minorHAnsi" w:cstheme="minorBidi"/>
              <w:noProof/>
              <w:lang w:eastAsia="ru-RU"/>
            </w:rPr>
          </w:pPr>
          <w:hyperlink w:anchor="_Toc510776655" w:history="1">
            <w:r w:rsidR="00266F28" w:rsidRPr="0087633C">
              <w:rPr>
                <w:rStyle w:val="a3"/>
                <w:rFonts w:ascii="Times New Roman" w:hAnsi="Times New Roman"/>
                <w:b/>
                <w:noProof/>
              </w:rPr>
              <w:t>5.1 Клиринговая деятельность на валютном рынке и рынке драгоценных металлов</w:t>
            </w:r>
            <w:r w:rsidR="00266F28">
              <w:rPr>
                <w:noProof/>
                <w:webHidden/>
              </w:rPr>
              <w:tab/>
            </w:r>
            <w:r w:rsidR="00266F28">
              <w:rPr>
                <w:noProof/>
                <w:webHidden/>
              </w:rPr>
              <w:fldChar w:fldCharType="begin"/>
            </w:r>
            <w:r w:rsidR="00266F28">
              <w:rPr>
                <w:noProof/>
                <w:webHidden/>
              </w:rPr>
              <w:instrText xml:space="preserve"> PAGEREF _Toc510776655 \h </w:instrText>
            </w:r>
            <w:r w:rsidR="00266F28">
              <w:rPr>
                <w:noProof/>
                <w:webHidden/>
              </w:rPr>
            </w:r>
            <w:r w:rsidR="00266F28">
              <w:rPr>
                <w:noProof/>
                <w:webHidden/>
              </w:rPr>
              <w:fldChar w:fldCharType="separate"/>
            </w:r>
            <w:r w:rsidR="00266F28">
              <w:rPr>
                <w:noProof/>
                <w:webHidden/>
              </w:rPr>
              <w:t>21</w:t>
            </w:r>
            <w:r w:rsidR="00266F28">
              <w:rPr>
                <w:noProof/>
                <w:webHidden/>
              </w:rPr>
              <w:fldChar w:fldCharType="end"/>
            </w:r>
          </w:hyperlink>
        </w:p>
        <w:p w14:paraId="04C03084" w14:textId="5CEADE00" w:rsidR="00266F28" w:rsidRDefault="00315BCD">
          <w:pPr>
            <w:pStyle w:val="21"/>
            <w:tabs>
              <w:tab w:val="right" w:leader="dot" w:pos="9345"/>
            </w:tabs>
            <w:rPr>
              <w:rFonts w:asciiTheme="minorHAnsi" w:eastAsiaTheme="minorEastAsia" w:hAnsiTheme="minorHAnsi" w:cstheme="minorBidi"/>
              <w:noProof/>
              <w:lang w:eastAsia="ru-RU"/>
            </w:rPr>
          </w:pPr>
          <w:hyperlink w:anchor="_Toc510776656" w:history="1">
            <w:r w:rsidR="00266F28" w:rsidRPr="0087633C">
              <w:rPr>
                <w:rStyle w:val="a3"/>
                <w:rFonts w:ascii="Times New Roman" w:hAnsi="Times New Roman"/>
                <w:b/>
                <w:noProof/>
              </w:rPr>
              <w:t>5.2. Клиринговая деятельность на фондовом рынке и рынке депозитов</w:t>
            </w:r>
            <w:r w:rsidR="00266F28">
              <w:rPr>
                <w:noProof/>
                <w:webHidden/>
              </w:rPr>
              <w:tab/>
            </w:r>
            <w:r w:rsidR="00266F28">
              <w:rPr>
                <w:noProof/>
                <w:webHidden/>
              </w:rPr>
              <w:fldChar w:fldCharType="begin"/>
            </w:r>
            <w:r w:rsidR="00266F28">
              <w:rPr>
                <w:noProof/>
                <w:webHidden/>
              </w:rPr>
              <w:instrText xml:space="preserve"> PAGEREF _Toc510776656 \h </w:instrText>
            </w:r>
            <w:r w:rsidR="00266F28">
              <w:rPr>
                <w:noProof/>
                <w:webHidden/>
              </w:rPr>
            </w:r>
            <w:r w:rsidR="00266F28">
              <w:rPr>
                <w:noProof/>
                <w:webHidden/>
              </w:rPr>
              <w:fldChar w:fldCharType="separate"/>
            </w:r>
            <w:r w:rsidR="00266F28">
              <w:rPr>
                <w:noProof/>
                <w:webHidden/>
              </w:rPr>
              <w:t>23</w:t>
            </w:r>
            <w:r w:rsidR="00266F28">
              <w:rPr>
                <w:noProof/>
                <w:webHidden/>
              </w:rPr>
              <w:fldChar w:fldCharType="end"/>
            </w:r>
          </w:hyperlink>
        </w:p>
        <w:p w14:paraId="5C11E6EF" w14:textId="1903F6A1" w:rsidR="00266F28" w:rsidRDefault="00315BCD">
          <w:pPr>
            <w:pStyle w:val="21"/>
            <w:tabs>
              <w:tab w:val="right" w:leader="dot" w:pos="9345"/>
            </w:tabs>
            <w:rPr>
              <w:rFonts w:asciiTheme="minorHAnsi" w:eastAsiaTheme="minorEastAsia" w:hAnsiTheme="minorHAnsi" w:cstheme="minorBidi"/>
              <w:noProof/>
              <w:lang w:eastAsia="ru-RU"/>
            </w:rPr>
          </w:pPr>
          <w:hyperlink w:anchor="_Toc510776657" w:history="1">
            <w:r w:rsidR="00266F28" w:rsidRPr="0087633C">
              <w:rPr>
                <w:rStyle w:val="a3"/>
                <w:rFonts w:ascii="Times New Roman" w:hAnsi="Times New Roman"/>
                <w:b/>
                <w:noProof/>
              </w:rPr>
              <w:t>5.3. Клиринговая деятельность на срочном рынке</w:t>
            </w:r>
            <w:r w:rsidR="00266F28">
              <w:rPr>
                <w:noProof/>
                <w:webHidden/>
              </w:rPr>
              <w:tab/>
            </w:r>
            <w:r w:rsidR="00266F28">
              <w:rPr>
                <w:noProof/>
                <w:webHidden/>
              </w:rPr>
              <w:fldChar w:fldCharType="begin"/>
            </w:r>
            <w:r w:rsidR="00266F28">
              <w:rPr>
                <w:noProof/>
                <w:webHidden/>
              </w:rPr>
              <w:instrText xml:space="preserve"> PAGEREF _Toc510776657 \h </w:instrText>
            </w:r>
            <w:r w:rsidR="00266F28">
              <w:rPr>
                <w:noProof/>
                <w:webHidden/>
              </w:rPr>
            </w:r>
            <w:r w:rsidR="00266F28">
              <w:rPr>
                <w:noProof/>
                <w:webHidden/>
              </w:rPr>
              <w:fldChar w:fldCharType="separate"/>
            </w:r>
            <w:r w:rsidR="00266F28">
              <w:rPr>
                <w:noProof/>
                <w:webHidden/>
              </w:rPr>
              <w:t>24</w:t>
            </w:r>
            <w:r w:rsidR="00266F28">
              <w:rPr>
                <w:noProof/>
                <w:webHidden/>
              </w:rPr>
              <w:fldChar w:fldCharType="end"/>
            </w:r>
          </w:hyperlink>
        </w:p>
        <w:p w14:paraId="35D53465" w14:textId="13C23112" w:rsidR="00266F28" w:rsidRDefault="00315BCD">
          <w:pPr>
            <w:pStyle w:val="21"/>
            <w:tabs>
              <w:tab w:val="right" w:leader="dot" w:pos="9345"/>
            </w:tabs>
            <w:rPr>
              <w:rFonts w:asciiTheme="minorHAnsi" w:eastAsiaTheme="minorEastAsia" w:hAnsiTheme="minorHAnsi" w:cstheme="minorBidi"/>
              <w:noProof/>
              <w:lang w:eastAsia="ru-RU"/>
            </w:rPr>
          </w:pPr>
          <w:hyperlink w:anchor="_Toc510776658" w:history="1">
            <w:r w:rsidR="00266F28" w:rsidRPr="0087633C">
              <w:rPr>
                <w:rStyle w:val="a3"/>
                <w:rFonts w:ascii="Times New Roman" w:hAnsi="Times New Roman"/>
                <w:b/>
                <w:noProof/>
              </w:rPr>
              <w:t>5.4. Клиринговая деятельность на товарном рынке. Выполнение функций оператора товарных поставок</w:t>
            </w:r>
            <w:r w:rsidR="00266F28">
              <w:rPr>
                <w:noProof/>
                <w:webHidden/>
              </w:rPr>
              <w:tab/>
            </w:r>
            <w:r w:rsidR="00266F28">
              <w:rPr>
                <w:noProof/>
                <w:webHidden/>
              </w:rPr>
              <w:fldChar w:fldCharType="begin"/>
            </w:r>
            <w:r w:rsidR="00266F28">
              <w:rPr>
                <w:noProof/>
                <w:webHidden/>
              </w:rPr>
              <w:instrText xml:space="preserve"> PAGEREF _Toc510776658 \h </w:instrText>
            </w:r>
            <w:r w:rsidR="00266F28">
              <w:rPr>
                <w:noProof/>
                <w:webHidden/>
              </w:rPr>
            </w:r>
            <w:r w:rsidR="00266F28">
              <w:rPr>
                <w:noProof/>
                <w:webHidden/>
              </w:rPr>
              <w:fldChar w:fldCharType="separate"/>
            </w:r>
            <w:r w:rsidR="00266F28">
              <w:rPr>
                <w:noProof/>
                <w:webHidden/>
              </w:rPr>
              <w:t>27</w:t>
            </w:r>
            <w:r w:rsidR="00266F28">
              <w:rPr>
                <w:noProof/>
                <w:webHidden/>
              </w:rPr>
              <w:fldChar w:fldCharType="end"/>
            </w:r>
          </w:hyperlink>
        </w:p>
        <w:p w14:paraId="4F47CACD" w14:textId="6B0AA12A" w:rsidR="00266F28" w:rsidRDefault="00315BCD">
          <w:pPr>
            <w:pStyle w:val="21"/>
            <w:tabs>
              <w:tab w:val="right" w:leader="dot" w:pos="9345"/>
            </w:tabs>
            <w:rPr>
              <w:rFonts w:asciiTheme="minorHAnsi" w:eastAsiaTheme="minorEastAsia" w:hAnsiTheme="minorHAnsi" w:cstheme="minorBidi"/>
              <w:noProof/>
              <w:lang w:eastAsia="ru-RU"/>
            </w:rPr>
          </w:pPr>
          <w:hyperlink w:anchor="_Toc510776659" w:history="1">
            <w:r w:rsidR="00266F28" w:rsidRPr="0087633C">
              <w:rPr>
                <w:rStyle w:val="a3"/>
                <w:rFonts w:ascii="Times New Roman" w:hAnsi="Times New Roman"/>
                <w:b/>
                <w:noProof/>
              </w:rPr>
              <w:t>5.5. Клиринговая деятельность на рынке стандартизированных ПФИ</w:t>
            </w:r>
            <w:r w:rsidR="00266F28">
              <w:rPr>
                <w:noProof/>
                <w:webHidden/>
              </w:rPr>
              <w:tab/>
            </w:r>
            <w:r w:rsidR="00266F28">
              <w:rPr>
                <w:noProof/>
                <w:webHidden/>
              </w:rPr>
              <w:fldChar w:fldCharType="begin"/>
            </w:r>
            <w:r w:rsidR="00266F28">
              <w:rPr>
                <w:noProof/>
                <w:webHidden/>
              </w:rPr>
              <w:instrText xml:space="preserve"> PAGEREF _Toc510776659 \h </w:instrText>
            </w:r>
            <w:r w:rsidR="00266F28">
              <w:rPr>
                <w:noProof/>
                <w:webHidden/>
              </w:rPr>
            </w:r>
            <w:r w:rsidR="00266F28">
              <w:rPr>
                <w:noProof/>
                <w:webHidden/>
              </w:rPr>
              <w:fldChar w:fldCharType="separate"/>
            </w:r>
            <w:r w:rsidR="00266F28">
              <w:rPr>
                <w:noProof/>
                <w:webHidden/>
              </w:rPr>
              <w:t>28</w:t>
            </w:r>
            <w:r w:rsidR="00266F28">
              <w:rPr>
                <w:noProof/>
                <w:webHidden/>
              </w:rPr>
              <w:fldChar w:fldCharType="end"/>
            </w:r>
          </w:hyperlink>
        </w:p>
        <w:p w14:paraId="103BF896" w14:textId="0AAD8BBB" w:rsidR="00266F28" w:rsidRDefault="00315BCD">
          <w:pPr>
            <w:pStyle w:val="12"/>
            <w:tabs>
              <w:tab w:val="right" w:leader="dot" w:pos="9345"/>
            </w:tabs>
            <w:rPr>
              <w:rFonts w:asciiTheme="minorHAnsi" w:eastAsiaTheme="minorEastAsia" w:hAnsiTheme="minorHAnsi" w:cstheme="minorBidi"/>
              <w:noProof/>
              <w:lang w:eastAsia="ru-RU"/>
            </w:rPr>
          </w:pPr>
          <w:hyperlink w:anchor="_Toc510776660" w:history="1">
            <w:r w:rsidR="00266F28" w:rsidRPr="0087633C">
              <w:rPr>
                <w:rStyle w:val="a3"/>
                <w:rFonts w:ascii="Times New Roman" w:eastAsia="Times New Roman" w:hAnsi="Times New Roman" w:cs="Arial"/>
                <w:b/>
                <w:noProof/>
                <w:lang w:eastAsia="ru-RU"/>
              </w:rPr>
              <w:t>6. Собственные операции на финансовых рынках</w:t>
            </w:r>
            <w:r w:rsidR="00266F28">
              <w:rPr>
                <w:noProof/>
                <w:webHidden/>
              </w:rPr>
              <w:tab/>
            </w:r>
            <w:r w:rsidR="00266F28">
              <w:rPr>
                <w:noProof/>
                <w:webHidden/>
              </w:rPr>
              <w:fldChar w:fldCharType="begin"/>
            </w:r>
            <w:r w:rsidR="00266F28">
              <w:rPr>
                <w:noProof/>
                <w:webHidden/>
              </w:rPr>
              <w:instrText xml:space="preserve"> PAGEREF _Toc510776660 \h </w:instrText>
            </w:r>
            <w:r w:rsidR="00266F28">
              <w:rPr>
                <w:noProof/>
                <w:webHidden/>
              </w:rPr>
            </w:r>
            <w:r w:rsidR="00266F28">
              <w:rPr>
                <w:noProof/>
                <w:webHidden/>
              </w:rPr>
              <w:fldChar w:fldCharType="separate"/>
            </w:r>
            <w:r w:rsidR="00266F28">
              <w:rPr>
                <w:noProof/>
                <w:webHidden/>
              </w:rPr>
              <w:t>29</w:t>
            </w:r>
            <w:r w:rsidR="00266F28">
              <w:rPr>
                <w:noProof/>
                <w:webHidden/>
              </w:rPr>
              <w:fldChar w:fldCharType="end"/>
            </w:r>
          </w:hyperlink>
        </w:p>
        <w:p w14:paraId="67BC4B5C" w14:textId="424B7AC5" w:rsidR="00266F28" w:rsidRDefault="00315BCD">
          <w:pPr>
            <w:pStyle w:val="12"/>
            <w:tabs>
              <w:tab w:val="right" w:leader="dot" w:pos="9345"/>
            </w:tabs>
            <w:rPr>
              <w:rFonts w:asciiTheme="minorHAnsi" w:eastAsiaTheme="minorEastAsia" w:hAnsiTheme="minorHAnsi" w:cstheme="minorBidi"/>
              <w:noProof/>
              <w:lang w:eastAsia="ru-RU"/>
            </w:rPr>
          </w:pPr>
          <w:hyperlink w:anchor="_Toc510776661" w:history="1">
            <w:r w:rsidR="00266F28" w:rsidRPr="0087633C">
              <w:rPr>
                <w:rStyle w:val="a3"/>
                <w:rFonts w:ascii="Times New Roman" w:eastAsia="Times New Roman" w:hAnsi="Times New Roman" w:cs="Arial"/>
                <w:b/>
                <w:noProof/>
                <w:lang w:eastAsia="ru-RU"/>
              </w:rPr>
              <w:t>7. Управление рисками, включая меры по поддержанию качества управления НКО НКЦ  (АО) как ЦК</w:t>
            </w:r>
            <w:r w:rsidR="00266F28">
              <w:rPr>
                <w:noProof/>
                <w:webHidden/>
              </w:rPr>
              <w:tab/>
            </w:r>
            <w:r w:rsidR="00266F28">
              <w:rPr>
                <w:noProof/>
                <w:webHidden/>
              </w:rPr>
              <w:fldChar w:fldCharType="begin"/>
            </w:r>
            <w:r w:rsidR="00266F28">
              <w:rPr>
                <w:noProof/>
                <w:webHidden/>
              </w:rPr>
              <w:instrText xml:space="preserve"> PAGEREF _Toc510776661 \h </w:instrText>
            </w:r>
            <w:r w:rsidR="00266F28">
              <w:rPr>
                <w:noProof/>
                <w:webHidden/>
              </w:rPr>
            </w:r>
            <w:r w:rsidR="00266F28">
              <w:rPr>
                <w:noProof/>
                <w:webHidden/>
              </w:rPr>
              <w:fldChar w:fldCharType="separate"/>
            </w:r>
            <w:r w:rsidR="00266F28">
              <w:rPr>
                <w:noProof/>
                <w:webHidden/>
              </w:rPr>
              <w:t>33</w:t>
            </w:r>
            <w:r w:rsidR="00266F28">
              <w:rPr>
                <w:noProof/>
                <w:webHidden/>
              </w:rPr>
              <w:fldChar w:fldCharType="end"/>
            </w:r>
          </w:hyperlink>
        </w:p>
        <w:p w14:paraId="3DA40374" w14:textId="7BB4AA5A" w:rsidR="00266F28" w:rsidRDefault="00315BCD">
          <w:pPr>
            <w:pStyle w:val="21"/>
            <w:tabs>
              <w:tab w:val="left" w:pos="880"/>
              <w:tab w:val="right" w:leader="dot" w:pos="9345"/>
            </w:tabs>
            <w:rPr>
              <w:rFonts w:asciiTheme="minorHAnsi" w:eastAsiaTheme="minorEastAsia" w:hAnsiTheme="minorHAnsi" w:cstheme="minorBidi"/>
              <w:noProof/>
              <w:lang w:eastAsia="ru-RU"/>
            </w:rPr>
          </w:pPr>
          <w:hyperlink w:anchor="_Toc510776662" w:history="1">
            <w:r w:rsidR="00266F28" w:rsidRPr="0087633C">
              <w:rPr>
                <w:rStyle w:val="a3"/>
                <w:rFonts w:ascii="Times New Roman" w:eastAsia="Calibri" w:hAnsi="Times New Roman"/>
                <w:b/>
                <w:noProof/>
              </w:rPr>
              <w:t>7.1</w:t>
            </w:r>
            <w:r w:rsidR="00266F28">
              <w:rPr>
                <w:rFonts w:asciiTheme="minorHAnsi" w:eastAsiaTheme="minorEastAsia" w:hAnsiTheme="minorHAnsi" w:cstheme="minorBidi"/>
                <w:noProof/>
                <w:lang w:eastAsia="ru-RU"/>
              </w:rPr>
              <w:tab/>
            </w:r>
            <w:r w:rsidR="00266F28" w:rsidRPr="0087633C">
              <w:rPr>
                <w:rStyle w:val="a3"/>
                <w:rFonts w:ascii="Times New Roman" w:eastAsia="Calibri" w:hAnsi="Times New Roman"/>
                <w:b/>
                <w:noProof/>
              </w:rPr>
              <w:t>Соответствие системы управления рисками требованиям регулятора и международным стандартам</w:t>
            </w:r>
            <w:r w:rsidR="00266F28">
              <w:rPr>
                <w:noProof/>
                <w:webHidden/>
              </w:rPr>
              <w:tab/>
            </w:r>
            <w:r w:rsidR="00266F28">
              <w:rPr>
                <w:noProof/>
                <w:webHidden/>
              </w:rPr>
              <w:fldChar w:fldCharType="begin"/>
            </w:r>
            <w:r w:rsidR="00266F28">
              <w:rPr>
                <w:noProof/>
                <w:webHidden/>
              </w:rPr>
              <w:instrText xml:space="preserve"> PAGEREF _Toc510776662 \h </w:instrText>
            </w:r>
            <w:r w:rsidR="00266F28">
              <w:rPr>
                <w:noProof/>
                <w:webHidden/>
              </w:rPr>
            </w:r>
            <w:r w:rsidR="00266F28">
              <w:rPr>
                <w:noProof/>
                <w:webHidden/>
              </w:rPr>
              <w:fldChar w:fldCharType="separate"/>
            </w:r>
            <w:r w:rsidR="00266F28">
              <w:rPr>
                <w:noProof/>
                <w:webHidden/>
              </w:rPr>
              <w:t>33</w:t>
            </w:r>
            <w:r w:rsidR="00266F28">
              <w:rPr>
                <w:noProof/>
                <w:webHidden/>
              </w:rPr>
              <w:fldChar w:fldCharType="end"/>
            </w:r>
          </w:hyperlink>
        </w:p>
        <w:p w14:paraId="58255CB8" w14:textId="26F244D6" w:rsidR="00266F28" w:rsidRDefault="00315BCD">
          <w:pPr>
            <w:pStyle w:val="21"/>
            <w:tabs>
              <w:tab w:val="left" w:pos="880"/>
              <w:tab w:val="right" w:leader="dot" w:pos="9345"/>
            </w:tabs>
            <w:rPr>
              <w:rFonts w:asciiTheme="minorHAnsi" w:eastAsiaTheme="minorEastAsia" w:hAnsiTheme="minorHAnsi" w:cstheme="minorBidi"/>
              <w:noProof/>
              <w:lang w:eastAsia="ru-RU"/>
            </w:rPr>
          </w:pPr>
          <w:hyperlink w:anchor="_Toc510776663" w:history="1">
            <w:r w:rsidR="00266F28" w:rsidRPr="0087633C">
              <w:rPr>
                <w:rStyle w:val="a3"/>
                <w:rFonts w:ascii="Times New Roman" w:eastAsia="Calibri" w:hAnsi="Times New Roman"/>
                <w:b/>
                <w:noProof/>
              </w:rPr>
              <w:t>7.2</w:t>
            </w:r>
            <w:r w:rsidR="00266F28">
              <w:rPr>
                <w:rFonts w:asciiTheme="minorHAnsi" w:eastAsiaTheme="minorEastAsia" w:hAnsiTheme="minorHAnsi" w:cstheme="minorBidi"/>
                <w:noProof/>
                <w:lang w:eastAsia="ru-RU"/>
              </w:rPr>
              <w:tab/>
            </w:r>
            <w:r w:rsidR="00266F28" w:rsidRPr="0087633C">
              <w:rPr>
                <w:rStyle w:val="a3"/>
                <w:rFonts w:ascii="Times New Roman" w:eastAsia="Calibri" w:hAnsi="Times New Roman"/>
                <w:b/>
                <w:noProof/>
              </w:rPr>
              <w:t>Управление рисками клиринговой организации и центрального контрагента</w:t>
            </w:r>
            <w:r w:rsidR="00266F28">
              <w:rPr>
                <w:noProof/>
                <w:webHidden/>
              </w:rPr>
              <w:tab/>
            </w:r>
            <w:r w:rsidR="00266F28">
              <w:rPr>
                <w:noProof/>
                <w:webHidden/>
              </w:rPr>
              <w:fldChar w:fldCharType="begin"/>
            </w:r>
            <w:r w:rsidR="00266F28">
              <w:rPr>
                <w:noProof/>
                <w:webHidden/>
              </w:rPr>
              <w:instrText xml:space="preserve"> PAGEREF _Toc510776663 \h </w:instrText>
            </w:r>
            <w:r w:rsidR="00266F28">
              <w:rPr>
                <w:noProof/>
                <w:webHidden/>
              </w:rPr>
            </w:r>
            <w:r w:rsidR="00266F28">
              <w:rPr>
                <w:noProof/>
                <w:webHidden/>
              </w:rPr>
              <w:fldChar w:fldCharType="separate"/>
            </w:r>
            <w:r w:rsidR="00266F28">
              <w:rPr>
                <w:noProof/>
                <w:webHidden/>
              </w:rPr>
              <w:t>35</w:t>
            </w:r>
            <w:r w:rsidR="00266F28">
              <w:rPr>
                <w:noProof/>
                <w:webHidden/>
              </w:rPr>
              <w:fldChar w:fldCharType="end"/>
            </w:r>
          </w:hyperlink>
        </w:p>
        <w:p w14:paraId="2C62E80B" w14:textId="3F9861DE" w:rsidR="00266F28" w:rsidRDefault="00315BCD">
          <w:pPr>
            <w:pStyle w:val="31"/>
            <w:tabs>
              <w:tab w:val="right" w:leader="dot" w:pos="9345"/>
            </w:tabs>
            <w:rPr>
              <w:rFonts w:asciiTheme="minorHAnsi" w:eastAsiaTheme="minorEastAsia" w:hAnsiTheme="minorHAnsi" w:cstheme="minorBidi"/>
              <w:noProof/>
              <w:lang w:eastAsia="ru-RU"/>
            </w:rPr>
          </w:pPr>
          <w:hyperlink w:anchor="_Toc510776664" w:history="1">
            <w:r w:rsidR="00266F28" w:rsidRPr="0087633C">
              <w:rPr>
                <w:rStyle w:val="a3"/>
                <w:rFonts w:ascii="Times New Roman" w:eastAsia="Calibri" w:hAnsi="Times New Roman"/>
                <w:b/>
                <w:i/>
                <w:noProof/>
              </w:rPr>
              <w:t>Система маржирования сделок участников клиринга</w:t>
            </w:r>
            <w:r w:rsidR="00266F28">
              <w:rPr>
                <w:noProof/>
                <w:webHidden/>
              </w:rPr>
              <w:tab/>
            </w:r>
            <w:r w:rsidR="00266F28">
              <w:rPr>
                <w:noProof/>
                <w:webHidden/>
              </w:rPr>
              <w:fldChar w:fldCharType="begin"/>
            </w:r>
            <w:r w:rsidR="00266F28">
              <w:rPr>
                <w:noProof/>
                <w:webHidden/>
              </w:rPr>
              <w:instrText xml:space="preserve"> PAGEREF _Toc510776664 \h </w:instrText>
            </w:r>
            <w:r w:rsidR="00266F28">
              <w:rPr>
                <w:noProof/>
                <w:webHidden/>
              </w:rPr>
            </w:r>
            <w:r w:rsidR="00266F28">
              <w:rPr>
                <w:noProof/>
                <w:webHidden/>
              </w:rPr>
              <w:fldChar w:fldCharType="separate"/>
            </w:r>
            <w:r w:rsidR="00266F28">
              <w:rPr>
                <w:noProof/>
                <w:webHidden/>
              </w:rPr>
              <w:t>35</w:t>
            </w:r>
            <w:r w:rsidR="00266F28">
              <w:rPr>
                <w:noProof/>
                <w:webHidden/>
              </w:rPr>
              <w:fldChar w:fldCharType="end"/>
            </w:r>
          </w:hyperlink>
        </w:p>
        <w:p w14:paraId="696CC8BB" w14:textId="78930E6A" w:rsidR="00266F28" w:rsidRDefault="00315BCD">
          <w:pPr>
            <w:pStyle w:val="31"/>
            <w:tabs>
              <w:tab w:val="right" w:leader="dot" w:pos="9345"/>
            </w:tabs>
            <w:rPr>
              <w:rFonts w:asciiTheme="minorHAnsi" w:eastAsiaTheme="minorEastAsia" w:hAnsiTheme="minorHAnsi" w:cstheme="minorBidi"/>
              <w:noProof/>
              <w:lang w:eastAsia="ru-RU"/>
            </w:rPr>
          </w:pPr>
          <w:hyperlink w:anchor="_Toc510776665" w:history="1">
            <w:r w:rsidR="00266F28" w:rsidRPr="0087633C">
              <w:rPr>
                <w:rStyle w:val="a3"/>
                <w:rFonts w:ascii="Times New Roman" w:eastAsia="Calibri" w:hAnsi="Times New Roman"/>
                <w:b/>
                <w:i/>
                <w:noProof/>
              </w:rPr>
              <w:t>Структура защиты ЦК</w:t>
            </w:r>
            <w:r w:rsidR="00266F28">
              <w:rPr>
                <w:noProof/>
                <w:webHidden/>
              </w:rPr>
              <w:tab/>
            </w:r>
            <w:r w:rsidR="00266F28">
              <w:rPr>
                <w:noProof/>
                <w:webHidden/>
              </w:rPr>
              <w:fldChar w:fldCharType="begin"/>
            </w:r>
            <w:r w:rsidR="00266F28">
              <w:rPr>
                <w:noProof/>
                <w:webHidden/>
              </w:rPr>
              <w:instrText xml:space="preserve"> PAGEREF _Toc510776665 \h </w:instrText>
            </w:r>
            <w:r w:rsidR="00266F28">
              <w:rPr>
                <w:noProof/>
                <w:webHidden/>
              </w:rPr>
            </w:r>
            <w:r w:rsidR="00266F28">
              <w:rPr>
                <w:noProof/>
                <w:webHidden/>
              </w:rPr>
              <w:fldChar w:fldCharType="separate"/>
            </w:r>
            <w:r w:rsidR="00266F28">
              <w:rPr>
                <w:noProof/>
                <w:webHidden/>
              </w:rPr>
              <w:t>36</w:t>
            </w:r>
            <w:r w:rsidR="00266F28">
              <w:rPr>
                <w:noProof/>
                <w:webHidden/>
              </w:rPr>
              <w:fldChar w:fldCharType="end"/>
            </w:r>
          </w:hyperlink>
        </w:p>
        <w:p w14:paraId="0D5DACDE" w14:textId="723F8894" w:rsidR="00266F28" w:rsidRDefault="00315BCD">
          <w:pPr>
            <w:pStyle w:val="31"/>
            <w:tabs>
              <w:tab w:val="right" w:leader="dot" w:pos="9345"/>
            </w:tabs>
            <w:rPr>
              <w:rFonts w:asciiTheme="minorHAnsi" w:eastAsiaTheme="minorEastAsia" w:hAnsiTheme="minorHAnsi" w:cstheme="minorBidi"/>
              <w:noProof/>
              <w:lang w:eastAsia="ru-RU"/>
            </w:rPr>
          </w:pPr>
          <w:hyperlink w:anchor="_Toc510776666" w:history="1">
            <w:r w:rsidR="00266F28" w:rsidRPr="0087633C">
              <w:rPr>
                <w:rStyle w:val="a3"/>
                <w:rFonts w:ascii="Times New Roman" w:eastAsia="Calibri" w:hAnsi="Times New Roman"/>
                <w:b/>
                <w:i/>
                <w:noProof/>
              </w:rPr>
              <w:t>Мониторинг финансового состояния участников клиринга</w:t>
            </w:r>
            <w:r w:rsidR="00266F28">
              <w:rPr>
                <w:noProof/>
                <w:webHidden/>
              </w:rPr>
              <w:tab/>
            </w:r>
            <w:r w:rsidR="00266F28">
              <w:rPr>
                <w:noProof/>
                <w:webHidden/>
              </w:rPr>
              <w:fldChar w:fldCharType="begin"/>
            </w:r>
            <w:r w:rsidR="00266F28">
              <w:rPr>
                <w:noProof/>
                <w:webHidden/>
              </w:rPr>
              <w:instrText xml:space="preserve"> PAGEREF _Toc510776666 \h </w:instrText>
            </w:r>
            <w:r w:rsidR="00266F28">
              <w:rPr>
                <w:noProof/>
                <w:webHidden/>
              </w:rPr>
            </w:r>
            <w:r w:rsidR="00266F28">
              <w:rPr>
                <w:noProof/>
                <w:webHidden/>
              </w:rPr>
              <w:fldChar w:fldCharType="separate"/>
            </w:r>
            <w:r w:rsidR="00266F28">
              <w:rPr>
                <w:noProof/>
                <w:webHidden/>
              </w:rPr>
              <w:t>38</w:t>
            </w:r>
            <w:r w:rsidR="00266F28">
              <w:rPr>
                <w:noProof/>
                <w:webHidden/>
              </w:rPr>
              <w:fldChar w:fldCharType="end"/>
            </w:r>
          </w:hyperlink>
        </w:p>
        <w:p w14:paraId="5DBD6895" w14:textId="36DD10A7" w:rsidR="00266F28" w:rsidRDefault="00315BCD">
          <w:pPr>
            <w:pStyle w:val="21"/>
            <w:tabs>
              <w:tab w:val="left" w:pos="880"/>
              <w:tab w:val="right" w:leader="dot" w:pos="9345"/>
            </w:tabs>
            <w:rPr>
              <w:rFonts w:asciiTheme="minorHAnsi" w:eastAsiaTheme="minorEastAsia" w:hAnsiTheme="minorHAnsi" w:cstheme="minorBidi"/>
              <w:noProof/>
              <w:lang w:eastAsia="ru-RU"/>
            </w:rPr>
          </w:pPr>
          <w:hyperlink w:anchor="_Toc510776667" w:history="1">
            <w:r w:rsidR="00266F28" w:rsidRPr="0087633C">
              <w:rPr>
                <w:rStyle w:val="a3"/>
                <w:rFonts w:ascii="Times New Roman" w:eastAsia="Calibri" w:hAnsi="Times New Roman"/>
                <w:b/>
                <w:noProof/>
              </w:rPr>
              <w:t>7.3</w:t>
            </w:r>
            <w:r w:rsidR="00266F28">
              <w:rPr>
                <w:rFonts w:asciiTheme="minorHAnsi" w:eastAsiaTheme="minorEastAsia" w:hAnsiTheme="minorHAnsi" w:cstheme="minorBidi"/>
                <w:noProof/>
                <w:lang w:eastAsia="ru-RU"/>
              </w:rPr>
              <w:tab/>
            </w:r>
            <w:r w:rsidR="00266F28" w:rsidRPr="0087633C">
              <w:rPr>
                <w:rStyle w:val="a3"/>
                <w:rFonts w:ascii="Times New Roman" w:eastAsia="Calibri" w:hAnsi="Times New Roman"/>
                <w:b/>
                <w:noProof/>
              </w:rPr>
              <w:t>Управление рисками, связанными с деятельностью НКЦ как кредитной организации</w:t>
            </w:r>
            <w:r w:rsidR="00266F28">
              <w:rPr>
                <w:noProof/>
                <w:webHidden/>
              </w:rPr>
              <w:tab/>
            </w:r>
            <w:r w:rsidR="00266F28">
              <w:rPr>
                <w:noProof/>
                <w:webHidden/>
              </w:rPr>
              <w:fldChar w:fldCharType="begin"/>
            </w:r>
            <w:r w:rsidR="00266F28">
              <w:rPr>
                <w:noProof/>
                <w:webHidden/>
              </w:rPr>
              <w:instrText xml:space="preserve"> PAGEREF _Toc510776667 \h </w:instrText>
            </w:r>
            <w:r w:rsidR="00266F28">
              <w:rPr>
                <w:noProof/>
                <w:webHidden/>
              </w:rPr>
            </w:r>
            <w:r w:rsidR="00266F28">
              <w:rPr>
                <w:noProof/>
                <w:webHidden/>
              </w:rPr>
              <w:fldChar w:fldCharType="separate"/>
            </w:r>
            <w:r w:rsidR="00266F28">
              <w:rPr>
                <w:noProof/>
                <w:webHidden/>
              </w:rPr>
              <w:t>40</w:t>
            </w:r>
            <w:r w:rsidR="00266F28">
              <w:rPr>
                <w:noProof/>
                <w:webHidden/>
              </w:rPr>
              <w:fldChar w:fldCharType="end"/>
            </w:r>
          </w:hyperlink>
        </w:p>
        <w:p w14:paraId="46621537" w14:textId="4DF5EBEC" w:rsidR="00266F28" w:rsidRDefault="00315BCD">
          <w:pPr>
            <w:pStyle w:val="31"/>
            <w:tabs>
              <w:tab w:val="right" w:leader="dot" w:pos="9345"/>
            </w:tabs>
            <w:rPr>
              <w:rFonts w:asciiTheme="minorHAnsi" w:eastAsiaTheme="minorEastAsia" w:hAnsiTheme="minorHAnsi" w:cstheme="minorBidi"/>
              <w:noProof/>
              <w:lang w:eastAsia="ru-RU"/>
            </w:rPr>
          </w:pPr>
          <w:hyperlink w:anchor="_Toc510776668" w:history="1">
            <w:r w:rsidR="00266F28" w:rsidRPr="0087633C">
              <w:rPr>
                <w:rStyle w:val="a3"/>
                <w:rFonts w:ascii="Times New Roman" w:eastAsia="Calibri" w:hAnsi="Times New Roman"/>
                <w:b/>
                <w:i/>
                <w:noProof/>
              </w:rPr>
              <w:t>Управление кредитным риском</w:t>
            </w:r>
            <w:r w:rsidR="00266F28">
              <w:rPr>
                <w:noProof/>
                <w:webHidden/>
              </w:rPr>
              <w:tab/>
            </w:r>
            <w:r w:rsidR="00266F28">
              <w:rPr>
                <w:noProof/>
                <w:webHidden/>
              </w:rPr>
              <w:fldChar w:fldCharType="begin"/>
            </w:r>
            <w:r w:rsidR="00266F28">
              <w:rPr>
                <w:noProof/>
                <w:webHidden/>
              </w:rPr>
              <w:instrText xml:space="preserve"> PAGEREF _Toc510776668 \h </w:instrText>
            </w:r>
            <w:r w:rsidR="00266F28">
              <w:rPr>
                <w:noProof/>
                <w:webHidden/>
              </w:rPr>
            </w:r>
            <w:r w:rsidR="00266F28">
              <w:rPr>
                <w:noProof/>
                <w:webHidden/>
              </w:rPr>
              <w:fldChar w:fldCharType="separate"/>
            </w:r>
            <w:r w:rsidR="00266F28">
              <w:rPr>
                <w:noProof/>
                <w:webHidden/>
              </w:rPr>
              <w:t>40</w:t>
            </w:r>
            <w:r w:rsidR="00266F28">
              <w:rPr>
                <w:noProof/>
                <w:webHidden/>
              </w:rPr>
              <w:fldChar w:fldCharType="end"/>
            </w:r>
          </w:hyperlink>
        </w:p>
        <w:p w14:paraId="3BD4A6D6" w14:textId="31846E5F" w:rsidR="00266F28" w:rsidRDefault="00315BCD">
          <w:pPr>
            <w:pStyle w:val="31"/>
            <w:tabs>
              <w:tab w:val="right" w:leader="dot" w:pos="9345"/>
            </w:tabs>
            <w:rPr>
              <w:rFonts w:asciiTheme="minorHAnsi" w:eastAsiaTheme="minorEastAsia" w:hAnsiTheme="minorHAnsi" w:cstheme="minorBidi"/>
              <w:noProof/>
              <w:lang w:eastAsia="ru-RU"/>
            </w:rPr>
          </w:pPr>
          <w:hyperlink w:anchor="_Toc510776669" w:history="1">
            <w:r w:rsidR="00266F28" w:rsidRPr="0087633C">
              <w:rPr>
                <w:rStyle w:val="a3"/>
                <w:rFonts w:ascii="Times New Roman" w:eastAsia="Calibri" w:hAnsi="Times New Roman"/>
                <w:b/>
                <w:i/>
                <w:noProof/>
              </w:rPr>
              <w:t>Управление рыночным риском</w:t>
            </w:r>
            <w:r w:rsidR="00266F28">
              <w:rPr>
                <w:noProof/>
                <w:webHidden/>
              </w:rPr>
              <w:tab/>
            </w:r>
            <w:r w:rsidR="00266F28">
              <w:rPr>
                <w:noProof/>
                <w:webHidden/>
              </w:rPr>
              <w:fldChar w:fldCharType="begin"/>
            </w:r>
            <w:r w:rsidR="00266F28">
              <w:rPr>
                <w:noProof/>
                <w:webHidden/>
              </w:rPr>
              <w:instrText xml:space="preserve"> PAGEREF _Toc510776669 \h </w:instrText>
            </w:r>
            <w:r w:rsidR="00266F28">
              <w:rPr>
                <w:noProof/>
                <w:webHidden/>
              </w:rPr>
            </w:r>
            <w:r w:rsidR="00266F28">
              <w:rPr>
                <w:noProof/>
                <w:webHidden/>
              </w:rPr>
              <w:fldChar w:fldCharType="separate"/>
            </w:r>
            <w:r w:rsidR="00266F28">
              <w:rPr>
                <w:noProof/>
                <w:webHidden/>
              </w:rPr>
              <w:t>42</w:t>
            </w:r>
            <w:r w:rsidR="00266F28">
              <w:rPr>
                <w:noProof/>
                <w:webHidden/>
              </w:rPr>
              <w:fldChar w:fldCharType="end"/>
            </w:r>
          </w:hyperlink>
        </w:p>
        <w:p w14:paraId="681140FF" w14:textId="6780C6CB" w:rsidR="00266F28" w:rsidRDefault="00315BCD">
          <w:pPr>
            <w:pStyle w:val="31"/>
            <w:tabs>
              <w:tab w:val="right" w:leader="dot" w:pos="9345"/>
            </w:tabs>
            <w:rPr>
              <w:rFonts w:asciiTheme="minorHAnsi" w:eastAsiaTheme="minorEastAsia" w:hAnsiTheme="minorHAnsi" w:cstheme="minorBidi"/>
              <w:noProof/>
              <w:lang w:eastAsia="ru-RU"/>
            </w:rPr>
          </w:pPr>
          <w:hyperlink w:anchor="_Toc510776670" w:history="1">
            <w:r w:rsidR="00266F28" w:rsidRPr="0087633C">
              <w:rPr>
                <w:rStyle w:val="a3"/>
                <w:rFonts w:ascii="Times New Roman" w:eastAsia="Calibri" w:hAnsi="Times New Roman"/>
                <w:b/>
                <w:i/>
                <w:noProof/>
              </w:rPr>
              <w:t>Управление процентным риском банковского портфеля</w:t>
            </w:r>
            <w:r w:rsidR="00266F28">
              <w:rPr>
                <w:noProof/>
                <w:webHidden/>
              </w:rPr>
              <w:tab/>
            </w:r>
            <w:r w:rsidR="00266F28">
              <w:rPr>
                <w:noProof/>
                <w:webHidden/>
              </w:rPr>
              <w:fldChar w:fldCharType="begin"/>
            </w:r>
            <w:r w:rsidR="00266F28">
              <w:rPr>
                <w:noProof/>
                <w:webHidden/>
              </w:rPr>
              <w:instrText xml:space="preserve"> PAGEREF _Toc510776670 \h </w:instrText>
            </w:r>
            <w:r w:rsidR="00266F28">
              <w:rPr>
                <w:noProof/>
                <w:webHidden/>
              </w:rPr>
            </w:r>
            <w:r w:rsidR="00266F28">
              <w:rPr>
                <w:noProof/>
                <w:webHidden/>
              </w:rPr>
              <w:fldChar w:fldCharType="separate"/>
            </w:r>
            <w:r w:rsidR="00266F28">
              <w:rPr>
                <w:noProof/>
                <w:webHidden/>
              </w:rPr>
              <w:t>43</w:t>
            </w:r>
            <w:r w:rsidR="00266F28">
              <w:rPr>
                <w:noProof/>
                <w:webHidden/>
              </w:rPr>
              <w:fldChar w:fldCharType="end"/>
            </w:r>
          </w:hyperlink>
        </w:p>
        <w:p w14:paraId="78F76DFF" w14:textId="498AD31D" w:rsidR="00266F28" w:rsidRDefault="00315BCD">
          <w:pPr>
            <w:pStyle w:val="31"/>
            <w:tabs>
              <w:tab w:val="right" w:leader="dot" w:pos="9345"/>
            </w:tabs>
            <w:rPr>
              <w:rFonts w:asciiTheme="minorHAnsi" w:eastAsiaTheme="minorEastAsia" w:hAnsiTheme="minorHAnsi" w:cstheme="minorBidi"/>
              <w:noProof/>
              <w:lang w:eastAsia="ru-RU"/>
            </w:rPr>
          </w:pPr>
          <w:hyperlink w:anchor="_Toc510776671" w:history="1">
            <w:r w:rsidR="00266F28" w:rsidRPr="0087633C">
              <w:rPr>
                <w:rStyle w:val="a3"/>
                <w:rFonts w:ascii="Times New Roman" w:eastAsia="Calibri" w:hAnsi="Times New Roman"/>
                <w:b/>
                <w:i/>
                <w:noProof/>
              </w:rPr>
              <w:t>Управление риском ликвидности</w:t>
            </w:r>
            <w:r w:rsidR="00266F28">
              <w:rPr>
                <w:noProof/>
                <w:webHidden/>
              </w:rPr>
              <w:tab/>
            </w:r>
            <w:r w:rsidR="00266F28">
              <w:rPr>
                <w:noProof/>
                <w:webHidden/>
              </w:rPr>
              <w:fldChar w:fldCharType="begin"/>
            </w:r>
            <w:r w:rsidR="00266F28">
              <w:rPr>
                <w:noProof/>
                <w:webHidden/>
              </w:rPr>
              <w:instrText xml:space="preserve"> PAGEREF _Toc510776671 \h </w:instrText>
            </w:r>
            <w:r w:rsidR="00266F28">
              <w:rPr>
                <w:noProof/>
                <w:webHidden/>
              </w:rPr>
            </w:r>
            <w:r w:rsidR="00266F28">
              <w:rPr>
                <w:noProof/>
                <w:webHidden/>
              </w:rPr>
              <w:fldChar w:fldCharType="separate"/>
            </w:r>
            <w:r w:rsidR="00266F28">
              <w:rPr>
                <w:noProof/>
                <w:webHidden/>
              </w:rPr>
              <w:t>44</w:t>
            </w:r>
            <w:r w:rsidR="00266F28">
              <w:rPr>
                <w:noProof/>
                <w:webHidden/>
              </w:rPr>
              <w:fldChar w:fldCharType="end"/>
            </w:r>
          </w:hyperlink>
        </w:p>
        <w:p w14:paraId="4743B70A" w14:textId="47B255A0" w:rsidR="00266F28" w:rsidRDefault="00315BCD">
          <w:pPr>
            <w:pStyle w:val="31"/>
            <w:tabs>
              <w:tab w:val="right" w:leader="dot" w:pos="9345"/>
            </w:tabs>
            <w:rPr>
              <w:rFonts w:asciiTheme="minorHAnsi" w:eastAsiaTheme="minorEastAsia" w:hAnsiTheme="minorHAnsi" w:cstheme="minorBidi"/>
              <w:noProof/>
              <w:lang w:eastAsia="ru-RU"/>
            </w:rPr>
          </w:pPr>
          <w:hyperlink w:anchor="_Toc510776672" w:history="1">
            <w:r w:rsidR="00266F28" w:rsidRPr="0087633C">
              <w:rPr>
                <w:rStyle w:val="a3"/>
                <w:rFonts w:ascii="Times New Roman" w:eastAsia="Calibri" w:hAnsi="Times New Roman"/>
                <w:b/>
                <w:i/>
                <w:noProof/>
              </w:rPr>
              <w:t>Управление операционным риском</w:t>
            </w:r>
            <w:r w:rsidR="00266F28">
              <w:rPr>
                <w:noProof/>
                <w:webHidden/>
              </w:rPr>
              <w:tab/>
            </w:r>
            <w:r w:rsidR="00266F28">
              <w:rPr>
                <w:noProof/>
                <w:webHidden/>
              </w:rPr>
              <w:fldChar w:fldCharType="begin"/>
            </w:r>
            <w:r w:rsidR="00266F28">
              <w:rPr>
                <w:noProof/>
                <w:webHidden/>
              </w:rPr>
              <w:instrText xml:space="preserve"> PAGEREF _Toc510776672 \h </w:instrText>
            </w:r>
            <w:r w:rsidR="00266F28">
              <w:rPr>
                <w:noProof/>
                <w:webHidden/>
              </w:rPr>
            </w:r>
            <w:r w:rsidR="00266F28">
              <w:rPr>
                <w:noProof/>
                <w:webHidden/>
              </w:rPr>
              <w:fldChar w:fldCharType="separate"/>
            </w:r>
            <w:r w:rsidR="00266F28">
              <w:rPr>
                <w:noProof/>
                <w:webHidden/>
              </w:rPr>
              <w:t>45</w:t>
            </w:r>
            <w:r w:rsidR="00266F28">
              <w:rPr>
                <w:noProof/>
                <w:webHidden/>
              </w:rPr>
              <w:fldChar w:fldCharType="end"/>
            </w:r>
          </w:hyperlink>
        </w:p>
        <w:p w14:paraId="0BD1C796" w14:textId="17BACF11" w:rsidR="00266F28" w:rsidRDefault="00315BCD">
          <w:pPr>
            <w:pStyle w:val="31"/>
            <w:tabs>
              <w:tab w:val="right" w:leader="dot" w:pos="9345"/>
            </w:tabs>
            <w:rPr>
              <w:rFonts w:asciiTheme="minorHAnsi" w:eastAsiaTheme="minorEastAsia" w:hAnsiTheme="minorHAnsi" w:cstheme="minorBidi"/>
              <w:noProof/>
              <w:lang w:eastAsia="ru-RU"/>
            </w:rPr>
          </w:pPr>
          <w:hyperlink w:anchor="_Toc510776673" w:history="1">
            <w:r w:rsidR="00266F28" w:rsidRPr="0087633C">
              <w:rPr>
                <w:rStyle w:val="a3"/>
                <w:rFonts w:ascii="Times New Roman" w:eastAsia="Calibri" w:hAnsi="Times New Roman"/>
                <w:b/>
                <w:i/>
                <w:noProof/>
              </w:rPr>
              <w:t>Управление стратегическим риском</w:t>
            </w:r>
            <w:r w:rsidR="00266F28">
              <w:rPr>
                <w:noProof/>
                <w:webHidden/>
              </w:rPr>
              <w:tab/>
            </w:r>
            <w:r w:rsidR="00266F28">
              <w:rPr>
                <w:noProof/>
                <w:webHidden/>
              </w:rPr>
              <w:fldChar w:fldCharType="begin"/>
            </w:r>
            <w:r w:rsidR="00266F28">
              <w:rPr>
                <w:noProof/>
                <w:webHidden/>
              </w:rPr>
              <w:instrText xml:space="preserve"> PAGEREF _Toc510776673 \h </w:instrText>
            </w:r>
            <w:r w:rsidR="00266F28">
              <w:rPr>
                <w:noProof/>
                <w:webHidden/>
              </w:rPr>
            </w:r>
            <w:r w:rsidR="00266F28">
              <w:rPr>
                <w:noProof/>
                <w:webHidden/>
              </w:rPr>
              <w:fldChar w:fldCharType="separate"/>
            </w:r>
            <w:r w:rsidR="00266F28">
              <w:rPr>
                <w:noProof/>
                <w:webHidden/>
              </w:rPr>
              <w:t>48</w:t>
            </w:r>
            <w:r w:rsidR="00266F28">
              <w:rPr>
                <w:noProof/>
                <w:webHidden/>
              </w:rPr>
              <w:fldChar w:fldCharType="end"/>
            </w:r>
          </w:hyperlink>
        </w:p>
        <w:p w14:paraId="09E28DE0" w14:textId="24095B41" w:rsidR="00266F28" w:rsidRDefault="00315BCD">
          <w:pPr>
            <w:pStyle w:val="31"/>
            <w:tabs>
              <w:tab w:val="right" w:leader="dot" w:pos="9345"/>
            </w:tabs>
            <w:rPr>
              <w:rFonts w:asciiTheme="minorHAnsi" w:eastAsiaTheme="minorEastAsia" w:hAnsiTheme="minorHAnsi" w:cstheme="minorBidi"/>
              <w:noProof/>
              <w:lang w:eastAsia="ru-RU"/>
            </w:rPr>
          </w:pPr>
          <w:hyperlink w:anchor="_Toc510776674" w:history="1">
            <w:r w:rsidR="00266F28" w:rsidRPr="0087633C">
              <w:rPr>
                <w:rStyle w:val="a3"/>
                <w:rFonts w:ascii="Times New Roman" w:eastAsia="Calibri" w:hAnsi="Times New Roman"/>
                <w:b/>
                <w:i/>
                <w:noProof/>
              </w:rPr>
              <w:t>Управление правовым риском</w:t>
            </w:r>
            <w:r w:rsidR="00266F28">
              <w:rPr>
                <w:noProof/>
                <w:webHidden/>
              </w:rPr>
              <w:tab/>
            </w:r>
            <w:r w:rsidR="00266F28">
              <w:rPr>
                <w:noProof/>
                <w:webHidden/>
              </w:rPr>
              <w:fldChar w:fldCharType="begin"/>
            </w:r>
            <w:r w:rsidR="00266F28">
              <w:rPr>
                <w:noProof/>
                <w:webHidden/>
              </w:rPr>
              <w:instrText xml:space="preserve"> PAGEREF _Toc510776674 \h </w:instrText>
            </w:r>
            <w:r w:rsidR="00266F28">
              <w:rPr>
                <w:noProof/>
                <w:webHidden/>
              </w:rPr>
            </w:r>
            <w:r w:rsidR="00266F28">
              <w:rPr>
                <w:noProof/>
                <w:webHidden/>
              </w:rPr>
              <w:fldChar w:fldCharType="separate"/>
            </w:r>
            <w:r w:rsidR="00266F28">
              <w:rPr>
                <w:noProof/>
                <w:webHidden/>
              </w:rPr>
              <w:t>49</w:t>
            </w:r>
            <w:r w:rsidR="00266F28">
              <w:rPr>
                <w:noProof/>
                <w:webHidden/>
              </w:rPr>
              <w:fldChar w:fldCharType="end"/>
            </w:r>
          </w:hyperlink>
        </w:p>
        <w:p w14:paraId="53698FAF" w14:textId="11324FD7" w:rsidR="00266F28" w:rsidRDefault="00315BCD">
          <w:pPr>
            <w:pStyle w:val="31"/>
            <w:tabs>
              <w:tab w:val="right" w:leader="dot" w:pos="9345"/>
            </w:tabs>
            <w:rPr>
              <w:rFonts w:asciiTheme="minorHAnsi" w:eastAsiaTheme="minorEastAsia" w:hAnsiTheme="minorHAnsi" w:cstheme="minorBidi"/>
              <w:noProof/>
              <w:lang w:eastAsia="ru-RU"/>
            </w:rPr>
          </w:pPr>
          <w:hyperlink w:anchor="_Toc510776675" w:history="1">
            <w:r w:rsidR="00266F28" w:rsidRPr="0087633C">
              <w:rPr>
                <w:rStyle w:val="a3"/>
                <w:rFonts w:ascii="Times New Roman" w:eastAsia="Calibri" w:hAnsi="Times New Roman"/>
                <w:b/>
                <w:i/>
                <w:noProof/>
              </w:rPr>
              <w:t>Управление регуляторным (комплаенс) риском</w:t>
            </w:r>
            <w:r w:rsidR="00266F28">
              <w:rPr>
                <w:noProof/>
                <w:webHidden/>
              </w:rPr>
              <w:tab/>
            </w:r>
            <w:r w:rsidR="00266F28">
              <w:rPr>
                <w:noProof/>
                <w:webHidden/>
              </w:rPr>
              <w:fldChar w:fldCharType="begin"/>
            </w:r>
            <w:r w:rsidR="00266F28">
              <w:rPr>
                <w:noProof/>
                <w:webHidden/>
              </w:rPr>
              <w:instrText xml:space="preserve"> PAGEREF _Toc510776675 \h </w:instrText>
            </w:r>
            <w:r w:rsidR="00266F28">
              <w:rPr>
                <w:noProof/>
                <w:webHidden/>
              </w:rPr>
            </w:r>
            <w:r w:rsidR="00266F28">
              <w:rPr>
                <w:noProof/>
                <w:webHidden/>
              </w:rPr>
              <w:fldChar w:fldCharType="separate"/>
            </w:r>
            <w:r w:rsidR="00266F28">
              <w:rPr>
                <w:noProof/>
                <w:webHidden/>
              </w:rPr>
              <w:t>50</w:t>
            </w:r>
            <w:r w:rsidR="00266F28">
              <w:rPr>
                <w:noProof/>
                <w:webHidden/>
              </w:rPr>
              <w:fldChar w:fldCharType="end"/>
            </w:r>
          </w:hyperlink>
        </w:p>
        <w:p w14:paraId="13BA0717" w14:textId="64C78440" w:rsidR="00266F28" w:rsidRDefault="00315BCD">
          <w:pPr>
            <w:pStyle w:val="31"/>
            <w:tabs>
              <w:tab w:val="right" w:leader="dot" w:pos="9345"/>
            </w:tabs>
            <w:rPr>
              <w:rFonts w:asciiTheme="minorHAnsi" w:eastAsiaTheme="minorEastAsia" w:hAnsiTheme="minorHAnsi" w:cstheme="minorBidi"/>
              <w:noProof/>
              <w:lang w:eastAsia="ru-RU"/>
            </w:rPr>
          </w:pPr>
          <w:hyperlink w:anchor="_Toc510776676" w:history="1">
            <w:r w:rsidR="00266F28" w:rsidRPr="0087633C">
              <w:rPr>
                <w:rStyle w:val="a3"/>
                <w:rFonts w:ascii="Times New Roman" w:eastAsia="Calibri" w:hAnsi="Times New Roman"/>
                <w:b/>
                <w:i/>
                <w:noProof/>
              </w:rPr>
              <w:t>Управление риском потери деловой репутации</w:t>
            </w:r>
            <w:r w:rsidR="00266F28">
              <w:rPr>
                <w:noProof/>
                <w:webHidden/>
              </w:rPr>
              <w:tab/>
            </w:r>
            <w:r w:rsidR="00266F28">
              <w:rPr>
                <w:noProof/>
                <w:webHidden/>
              </w:rPr>
              <w:fldChar w:fldCharType="begin"/>
            </w:r>
            <w:r w:rsidR="00266F28">
              <w:rPr>
                <w:noProof/>
                <w:webHidden/>
              </w:rPr>
              <w:instrText xml:space="preserve"> PAGEREF _Toc510776676 \h </w:instrText>
            </w:r>
            <w:r w:rsidR="00266F28">
              <w:rPr>
                <w:noProof/>
                <w:webHidden/>
              </w:rPr>
            </w:r>
            <w:r w:rsidR="00266F28">
              <w:rPr>
                <w:noProof/>
                <w:webHidden/>
              </w:rPr>
              <w:fldChar w:fldCharType="separate"/>
            </w:r>
            <w:r w:rsidR="00266F28">
              <w:rPr>
                <w:noProof/>
                <w:webHidden/>
              </w:rPr>
              <w:t>51</w:t>
            </w:r>
            <w:r w:rsidR="00266F28">
              <w:rPr>
                <w:noProof/>
                <w:webHidden/>
              </w:rPr>
              <w:fldChar w:fldCharType="end"/>
            </w:r>
          </w:hyperlink>
        </w:p>
        <w:p w14:paraId="62AEC104" w14:textId="4B51EB1A" w:rsidR="00266F28" w:rsidRDefault="00315BCD">
          <w:pPr>
            <w:pStyle w:val="31"/>
            <w:tabs>
              <w:tab w:val="right" w:leader="dot" w:pos="9345"/>
            </w:tabs>
            <w:rPr>
              <w:rFonts w:asciiTheme="minorHAnsi" w:eastAsiaTheme="minorEastAsia" w:hAnsiTheme="minorHAnsi" w:cstheme="minorBidi"/>
              <w:noProof/>
              <w:lang w:eastAsia="ru-RU"/>
            </w:rPr>
          </w:pPr>
          <w:hyperlink w:anchor="_Toc510776677" w:history="1">
            <w:r w:rsidR="00266F28" w:rsidRPr="0087633C">
              <w:rPr>
                <w:rStyle w:val="a3"/>
                <w:rFonts w:ascii="Times New Roman" w:eastAsia="Calibri" w:hAnsi="Times New Roman"/>
                <w:b/>
                <w:i/>
                <w:noProof/>
              </w:rPr>
              <w:t>Управление кастодиальным риском</w:t>
            </w:r>
            <w:r w:rsidR="00266F28">
              <w:rPr>
                <w:noProof/>
                <w:webHidden/>
              </w:rPr>
              <w:tab/>
            </w:r>
            <w:r w:rsidR="00266F28">
              <w:rPr>
                <w:noProof/>
                <w:webHidden/>
              </w:rPr>
              <w:fldChar w:fldCharType="begin"/>
            </w:r>
            <w:r w:rsidR="00266F28">
              <w:rPr>
                <w:noProof/>
                <w:webHidden/>
              </w:rPr>
              <w:instrText xml:space="preserve"> PAGEREF _Toc510776677 \h </w:instrText>
            </w:r>
            <w:r w:rsidR="00266F28">
              <w:rPr>
                <w:noProof/>
                <w:webHidden/>
              </w:rPr>
            </w:r>
            <w:r w:rsidR="00266F28">
              <w:rPr>
                <w:noProof/>
                <w:webHidden/>
              </w:rPr>
              <w:fldChar w:fldCharType="separate"/>
            </w:r>
            <w:r w:rsidR="00266F28">
              <w:rPr>
                <w:noProof/>
                <w:webHidden/>
              </w:rPr>
              <w:t>53</w:t>
            </w:r>
            <w:r w:rsidR="00266F28">
              <w:rPr>
                <w:noProof/>
                <w:webHidden/>
              </w:rPr>
              <w:fldChar w:fldCharType="end"/>
            </w:r>
          </w:hyperlink>
        </w:p>
        <w:p w14:paraId="652F911D" w14:textId="3FDAA45E" w:rsidR="00266F28" w:rsidRDefault="00315BCD">
          <w:pPr>
            <w:pStyle w:val="31"/>
            <w:tabs>
              <w:tab w:val="right" w:leader="dot" w:pos="9345"/>
            </w:tabs>
            <w:rPr>
              <w:rFonts w:asciiTheme="minorHAnsi" w:eastAsiaTheme="minorEastAsia" w:hAnsiTheme="minorHAnsi" w:cstheme="minorBidi"/>
              <w:noProof/>
              <w:lang w:eastAsia="ru-RU"/>
            </w:rPr>
          </w:pPr>
          <w:hyperlink w:anchor="_Toc510776678" w:history="1">
            <w:r w:rsidR="00266F28" w:rsidRPr="0087633C">
              <w:rPr>
                <w:rStyle w:val="a3"/>
                <w:rFonts w:ascii="Times New Roman" w:eastAsia="Calibri" w:hAnsi="Times New Roman"/>
                <w:b/>
                <w:i/>
                <w:noProof/>
              </w:rPr>
              <w:t>Управление коммерческим риском</w:t>
            </w:r>
            <w:r w:rsidR="00266F28">
              <w:rPr>
                <w:noProof/>
                <w:webHidden/>
              </w:rPr>
              <w:tab/>
            </w:r>
            <w:r w:rsidR="00266F28">
              <w:rPr>
                <w:noProof/>
                <w:webHidden/>
              </w:rPr>
              <w:fldChar w:fldCharType="begin"/>
            </w:r>
            <w:r w:rsidR="00266F28">
              <w:rPr>
                <w:noProof/>
                <w:webHidden/>
              </w:rPr>
              <w:instrText xml:space="preserve"> PAGEREF _Toc510776678 \h </w:instrText>
            </w:r>
            <w:r w:rsidR="00266F28">
              <w:rPr>
                <w:noProof/>
                <w:webHidden/>
              </w:rPr>
            </w:r>
            <w:r w:rsidR="00266F28">
              <w:rPr>
                <w:noProof/>
                <w:webHidden/>
              </w:rPr>
              <w:fldChar w:fldCharType="separate"/>
            </w:r>
            <w:r w:rsidR="00266F28">
              <w:rPr>
                <w:noProof/>
                <w:webHidden/>
              </w:rPr>
              <w:t>53</w:t>
            </w:r>
            <w:r w:rsidR="00266F28">
              <w:rPr>
                <w:noProof/>
                <w:webHidden/>
              </w:rPr>
              <w:fldChar w:fldCharType="end"/>
            </w:r>
          </w:hyperlink>
        </w:p>
        <w:p w14:paraId="6CDEFD7E" w14:textId="292E6C96" w:rsidR="00266F28" w:rsidRDefault="00315BCD">
          <w:pPr>
            <w:pStyle w:val="31"/>
            <w:tabs>
              <w:tab w:val="right" w:leader="dot" w:pos="9345"/>
            </w:tabs>
            <w:rPr>
              <w:rFonts w:asciiTheme="minorHAnsi" w:eastAsiaTheme="minorEastAsia" w:hAnsiTheme="minorHAnsi" w:cstheme="minorBidi"/>
              <w:noProof/>
              <w:lang w:eastAsia="ru-RU"/>
            </w:rPr>
          </w:pPr>
          <w:hyperlink w:anchor="_Toc510776679" w:history="1">
            <w:r w:rsidR="00266F28" w:rsidRPr="0087633C">
              <w:rPr>
                <w:rStyle w:val="a3"/>
                <w:rFonts w:ascii="Times New Roman" w:eastAsia="Calibri" w:hAnsi="Times New Roman"/>
                <w:b/>
                <w:i/>
                <w:noProof/>
              </w:rPr>
              <w:t>Управление системным риском</w:t>
            </w:r>
            <w:r w:rsidR="00266F28">
              <w:rPr>
                <w:noProof/>
                <w:webHidden/>
              </w:rPr>
              <w:tab/>
            </w:r>
            <w:r w:rsidR="00266F28">
              <w:rPr>
                <w:noProof/>
                <w:webHidden/>
              </w:rPr>
              <w:fldChar w:fldCharType="begin"/>
            </w:r>
            <w:r w:rsidR="00266F28">
              <w:rPr>
                <w:noProof/>
                <w:webHidden/>
              </w:rPr>
              <w:instrText xml:space="preserve"> PAGEREF _Toc510776679 \h </w:instrText>
            </w:r>
            <w:r w:rsidR="00266F28">
              <w:rPr>
                <w:noProof/>
                <w:webHidden/>
              </w:rPr>
            </w:r>
            <w:r w:rsidR="00266F28">
              <w:rPr>
                <w:noProof/>
                <w:webHidden/>
              </w:rPr>
              <w:fldChar w:fldCharType="separate"/>
            </w:r>
            <w:r w:rsidR="00266F28">
              <w:rPr>
                <w:noProof/>
                <w:webHidden/>
              </w:rPr>
              <w:t>53</w:t>
            </w:r>
            <w:r w:rsidR="00266F28">
              <w:rPr>
                <w:noProof/>
                <w:webHidden/>
              </w:rPr>
              <w:fldChar w:fldCharType="end"/>
            </w:r>
          </w:hyperlink>
        </w:p>
        <w:p w14:paraId="41AFC38F" w14:textId="78A5BB77" w:rsidR="00266F28" w:rsidRDefault="00315BCD">
          <w:pPr>
            <w:pStyle w:val="21"/>
            <w:tabs>
              <w:tab w:val="right" w:leader="dot" w:pos="9345"/>
            </w:tabs>
            <w:rPr>
              <w:rFonts w:asciiTheme="minorHAnsi" w:eastAsiaTheme="minorEastAsia" w:hAnsiTheme="minorHAnsi" w:cstheme="minorBidi"/>
              <w:noProof/>
              <w:lang w:eastAsia="ru-RU"/>
            </w:rPr>
          </w:pPr>
          <w:hyperlink w:anchor="_Toc510776680" w:history="1">
            <w:r w:rsidR="00266F28" w:rsidRPr="0087633C">
              <w:rPr>
                <w:rStyle w:val="a3"/>
                <w:rFonts w:ascii="Times New Roman" w:eastAsia="Calibri" w:hAnsi="Times New Roman"/>
                <w:b/>
                <w:noProof/>
              </w:rPr>
              <w:t>7.4 Стресс-тестирование финансовой устойчивости</w:t>
            </w:r>
            <w:r w:rsidR="00266F28">
              <w:rPr>
                <w:noProof/>
                <w:webHidden/>
              </w:rPr>
              <w:tab/>
            </w:r>
            <w:r w:rsidR="00266F28">
              <w:rPr>
                <w:noProof/>
                <w:webHidden/>
              </w:rPr>
              <w:fldChar w:fldCharType="begin"/>
            </w:r>
            <w:r w:rsidR="00266F28">
              <w:rPr>
                <w:noProof/>
                <w:webHidden/>
              </w:rPr>
              <w:instrText xml:space="preserve"> PAGEREF _Toc510776680 \h </w:instrText>
            </w:r>
            <w:r w:rsidR="00266F28">
              <w:rPr>
                <w:noProof/>
                <w:webHidden/>
              </w:rPr>
            </w:r>
            <w:r w:rsidR="00266F28">
              <w:rPr>
                <w:noProof/>
                <w:webHidden/>
              </w:rPr>
              <w:fldChar w:fldCharType="separate"/>
            </w:r>
            <w:r w:rsidR="00266F28">
              <w:rPr>
                <w:noProof/>
                <w:webHidden/>
              </w:rPr>
              <w:t>54</w:t>
            </w:r>
            <w:r w:rsidR="00266F28">
              <w:rPr>
                <w:noProof/>
                <w:webHidden/>
              </w:rPr>
              <w:fldChar w:fldCharType="end"/>
            </w:r>
          </w:hyperlink>
        </w:p>
        <w:p w14:paraId="0EEE174C" w14:textId="5C9C92A6" w:rsidR="00266F28" w:rsidRDefault="00315BCD">
          <w:pPr>
            <w:pStyle w:val="12"/>
            <w:tabs>
              <w:tab w:val="right" w:leader="dot" w:pos="9345"/>
            </w:tabs>
            <w:rPr>
              <w:rFonts w:asciiTheme="minorHAnsi" w:eastAsiaTheme="minorEastAsia" w:hAnsiTheme="minorHAnsi" w:cstheme="minorBidi"/>
              <w:noProof/>
              <w:lang w:eastAsia="ru-RU"/>
            </w:rPr>
          </w:pPr>
          <w:hyperlink w:anchor="_Toc510776681" w:history="1">
            <w:r w:rsidR="00266F28" w:rsidRPr="0087633C">
              <w:rPr>
                <w:rStyle w:val="a3"/>
                <w:rFonts w:ascii="Times New Roman" w:eastAsia="Times New Roman" w:hAnsi="Times New Roman" w:cs="Arial"/>
                <w:b/>
                <w:noProof/>
                <w:lang w:eastAsia="ru-RU"/>
              </w:rPr>
              <w:t>8. Система внутреннего контроля</w:t>
            </w:r>
            <w:r w:rsidR="00266F28">
              <w:rPr>
                <w:noProof/>
                <w:webHidden/>
              </w:rPr>
              <w:tab/>
            </w:r>
            <w:r w:rsidR="00266F28">
              <w:rPr>
                <w:noProof/>
                <w:webHidden/>
              </w:rPr>
              <w:fldChar w:fldCharType="begin"/>
            </w:r>
            <w:r w:rsidR="00266F28">
              <w:rPr>
                <w:noProof/>
                <w:webHidden/>
              </w:rPr>
              <w:instrText xml:space="preserve"> PAGEREF _Toc510776681 \h </w:instrText>
            </w:r>
            <w:r w:rsidR="00266F28">
              <w:rPr>
                <w:noProof/>
                <w:webHidden/>
              </w:rPr>
            </w:r>
            <w:r w:rsidR="00266F28">
              <w:rPr>
                <w:noProof/>
                <w:webHidden/>
              </w:rPr>
              <w:fldChar w:fldCharType="separate"/>
            </w:r>
            <w:r w:rsidR="00266F28">
              <w:rPr>
                <w:noProof/>
                <w:webHidden/>
              </w:rPr>
              <w:t>55</w:t>
            </w:r>
            <w:r w:rsidR="00266F28">
              <w:rPr>
                <w:noProof/>
                <w:webHidden/>
              </w:rPr>
              <w:fldChar w:fldCharType="end"/>
            </w:r>
          </w:hyperlink>
        </w:p>
        <w:p w14:paraId="5F0089FC" w14:textId="1C6EFB12" w:rsidR="00266F28" w:rsidRDefault="00315BCD">
          <w:pPr>
            <w:pStyle w:val="12"/>
            <w:tabs>
              <w:tab w:val="right" w:leader="dot" w:pos="9345"/>
            </w:tabs>
            <w:rPr>
              <w:rFonts w:asciiTheme="minorHAnsi" w:eastAsiaTheme="minorEastAsia" w:hAnsiTheme="minorHAnsi" w:cstheme="minorBidi"/>
              <w:noProof/>
              <w:lang w:eastAsia="ru-RU"/>
            </w:rPr>
          </w:pPr>
          <w:hyperlink w:anchor="_Toc510776682" w:history="1">
            <w:r w:rsidR="00266F28" w:rsidRPr="0087633C">
              <w:rPr>
                <w:rStyle w:val="a3"/>
                <w:rFonts w:ascii="Times New Roman" w:eastAsia="Times New Roman" w:hAnsi="Times New Roman" w:cs="Arial"/>
                <w:b/>
                <w:noProof/>
                <w:lang w:eastAsia="ru-RU"/>
              </w:rPr>
              <w:t>9.Технологическая платформа</w:t>
            </w:r>
            <w:r w:rsidR="00266F28">
              <w:rPr>
                <w:noProof/>
                <w:webHidden/>
              </w:rPr>
              <w:tab/>
            </w:r>
            <w:r w:rsidR="00266F28">
              <w:rPr>
                <w:noProof/>
                <w:webHidden/>
              </w:rPr>
              <w:fldChar w:fldCharType="begin"/>
            </w:r>
            <w:r w:rsidR="00266F28">
              <w:rPr>
                <w:noProof/>
                <w:webHidden/>
              </w:rPr>
              <w:instrText xml:space="preserve"> PAGEREF _Toc510776682 \h </w:instrText>
            </w:r>
            <w:r w:rsidR="00266F28">
              <w:rPr>
                <w:noProof/>
                <w:webHidden/>
              </w:rPr>
            </w:r>
            <w:r w:rsidR="00266F28">
              <w:rPr>
                <w:noProof/>
                <w:webHidden/>
              </w:rPr>
              <w:fldChar w:fldCharType="separate"/>
            </w:r>
            <w:r w:rsidR="00266F28">
              <w:rPr>
                <w:noProof/>
                <w:webHidden/>
              </w:rPr>
              <w:t>59</w:t>
            </w:r>
            <w:r w:rsidR="00266F28">
              <w:rPr>
                <w:noProof/>
                <w:webHidden/>
              </w:rPr>
              <w:fldChar w:fldCharType="end"/>
            </w:r>
          </w:hyperlink>
        </w:p>
        <w:p w14:paraId="32BA7E69" w14:textId="5C806618" w:rsidR="00266F28" w:rsidRDefault="00315BCD">
          <w:pPr>
            <w:pStyle w:val="12"/>
            <w:tabs>
              <w:tab w:val="right" w:leader="dot" w:pos="9345"/>
            </w:tabs>
            <w:rPr>
              <w:rFonts w:asciiTheme="minorHAnsi" w:eastAsiaTheme="minorEastAsia" w:hAnsiTheme="minorHAnsi" w:cstheme="minorBidi"/>
              <w:noProof/>
              <w:lang w:eastAsia="ru-RU"/>
            </w:rPr>
          </w:pPr>
          <w:hyperlink w:anchor="_Toc510776683" w:history="1">
            <w:r w:rsidR="00266F28" w:rsidRPr="0087633C">
              <w:rPr>
                <w:rStyle w:val="a3"/>
                <w:rFonts w:ascii="Times New Roman" w:eastAsia="Times New Roman" w:hAnsi="Times New Roman" w:cs="Arial"/>
                <w:b/>
                <w:noProof/>
                <w:lang w:eastAsia="ru-RU"/>
              </w:rPr>
              <w:t>10.Основные финансовые результаты</w:t>
            </w:r>
            <w:r w:rsidR="00266F28">
              <w:rPr>
                <w:noProof/>
                <w:webHidden/>
              </w:rPr>
              <w:tab/>
            </w:r>
            <w:r w:rsidR="00266F28">
              <w:rPr>
                <w:noProof/>
                <w:webHidden/>
              </w:rPr>
              <w:fldChar w:fldCharType="begin"/>
            </w:r>
            <w:r w:rsidR="00266F28">
              <w:rPr>
                <w:noProof/>
                <w:webHidden/>
              </w:rPr>
              <w:instrText xml:space="preserve"> PAGEREF _Toc510776683 \h </w:instrText>
            </w:r>
            <w:r w:rsidR="00266F28">
              <w:rPr>
                <w:noProof/>
                <w:webHidden/>
              </w:rPr>
            </w:r>
            <w:r w:rsidR="00266F28">
              <w:rPr>
                <w:noProof/>
                <w:webHidden/>
              </w:rPr>
              <w:fldChar w:fldCharType="separate"/>
            </w:r>
            <w:r w:rsidR="00266F28">
              <w:rPr>
                <w:noProof/>
                <w:webHidden/>
              </w:rPr>
              <w:t>63</w:t>
            </w:r>
            <w:r w:rsidR="00266F28">
              <w:rPr>
                <w:noProof/>
                <w:webHidden/>
              </w:rPr>
              <w:fldChar w:fldCharType="end"/>
            </w:r>
          </w:hyperlink>
        </w:p>
        <w:p w14:paraId="37905145" w14:textId="563EFF0E" w:rsidR="00266F28" w:rsidRDefault="00315BCD">
          <w:pPr>
            <w:pStyle w:val="12"/>
            <w:tabs>
              <w:tab w:val="right" w:leader="dot" w:pos="9345"/>
            </w:tabs>
            <w:rPr>
              <w:rFonts w:asciiTheme="minorHAnsi" w:eastAsiaTheme="minorEastAsia" w:hAnsiTheme="minorHAnsi" w:cstheme="minorBidi"/>
              <w:noProof/>
              <w:lang w:eastAsia="ru-RU"/>
            </w:rPr>
          </w:pPr>
          <w:hyperlink w:anchor="_Toc510776684" w:history="1">
            <w:r w:rsidR="00266F28" w:rsidRPr="0087633C">
              <w:rPr>
                <w:rStyle w:val="a3"/>
                <w:rFonts w:ascii="Times New Roman" w:eastAsia="Times New Roman" w:hAnsi="Times New Roman" w:cs="Arial"/>
                <w:b/>
                <w:noProof/>
                <w:lang w:eastAsia="ru-RU"/>
              </w:rPr>
              <w:t>11.Состав Наблюдательного совета и сведения о его членах</w:t>
            </w:r>
            <w:r w:rsidR="00266F28">
              <w:rPr>
                <w:noProof/>
                <w:webHidden/>
              </w:rPr>
              <w:tab/>
            </w:r>
            <w:r w:rsidR="00266F28">
              <w:rPr>
                <w:noProof/>
                <w:webHidden/>
              </w:rPr>
              <w:fldChar w:fldCharType="begin"/>
            </w:r>
            <w:r w:rsidR="00266F28">
              <w:rPr>
                <w:noProof/>
                <w:webHidden/>
              </w:rPr>
              <w:instrText xml:space="preserve"> PAGEREF _Toc510776684 \h </w:instrText>
            </w:r>
            <w:r w:rsidR="00266F28">
              <w:rPr>
                <w:noProof/>
                <w:webHidden/>
              </w:rPr>
            </w:r>
            <w:r w:rsidR="00266F28">
              <w:rPr>
                <w:noProof/>
                <w:webHidden/>
              </w:rPr>
              <w:fldChar w:fldCharType="separate"/>
            </w:r>
            <w:r w:rsidR="00266F28">
              <w:rPr>
                <w:noProof/>
                <w:webHidden/>
              </w:rPr>
              <w:t>68</w:t>
            </w:r>
            <w:r w:rsidR="00266F28">
              <w:rPr>
                <w:noProof/>
                <w:webHidden/>
              </w:rPr>
              <w:fldChar w:fldCharType="end"/>
            </w:r>
          </w:hyperlink>
        </w:p>
        <w:p w14:paraId="368A96B7" w14:textId="5EF51568" w:rsidR="00266F28" w:rsidRDefault="00315BCD">
          <w:pPr>
            <w:pStyle w:val="12"/>
            <w:tabs>
              <w:tab w:val="right" w:leader="dot" w:pos="9345"/>
            </w:tabs>
            <w:rPr>
              <w:rFonts w:asciiTheme="minorHAnsi" w:eastAsiaTheme="minorEastAsia" w:hAnsiTheme="minorHAnsi" w:cstheme="minorBidi"/>
              <w:noProof/>
              <w:lang w:eastAsia="ru-RU"/>
            </w:rPr>
          </w:pPr>
          <w:hyperlink w:anchor="_Toc510776685" w:history="1">
            <w:r w:rsidR="00266F28" w:rsidRPr="0087633C">
              <w:rPr>
                <w:rStyle w:val="a3"/>
                <w:rFonts w:ascii="Times New Roman" w:eastAsia="Times New Roman" w:hAnsi="Times New Roman" w:cs="Arial"/>
                <w:b/>
                <w:noProof/>
                <w:lang w:eastAsia="ru-RU"/>
              </w:rPr>
              <w:t>12. Сведения о Председателе Правления и членах Правления</w:t>
            </w:r>
            <w:r w:rsidR="00266F28">
              <w:rPr>
                <w:noProof/>
                <w:webHidden/>
              </w:rPr>
              <w:tab/>
            </w:r>
            <w:r w:rsidR="00266F28">
              <w:rPr>
                <w:noProof/>
                <w:webHidden/>
              </w:rPr>
              <w:fldChar w:fldCharType="begin"/>
            </w:r>
            <w:r w:rsidR="00266F28">
              <w:rPr>
                <w:noProof/>
                <w:webHidden/>
              </w:rPr>
              <w:instrText xml:space="preserve"> PAGEREF _Toc510776685 \h </w:instrText>
            </w:r>
            <w:r w:rsidR="00266F28">
              <w:rPr>
                <w:noProof/>
                <w:webHidden/>
              </w:rPr>
            </w:r>
            <w:r w:rsidR="00266F28">
              <w:rPr>
                <w:noProof/>
                <w:webHidden/>
              </w:rPr>
              <w:fldChar w:fldCharType="separate"/>
            </w:r>
            <w:r w:rsidR="00266F28">
              <w:rPr>
                <w:noProof/>
                <w:webHidden/>
              </w:rPr>
              <w:t>75</w:t>
            </w:r>
            <w:r w:rsidR="00266F28">
              <w:rPr>
                <w:noProof/>
                <w:webHidden/>
              </w:rPr>
              <w:fldChar w:fldCharType="end"/>
            </w:r>
          </w:hyperlink>
        </w:p>
        <w:p w14:paraId="7DC4AB5D" w14:textId="23E51803" w:rsidR="00266F28" w:rsidRDefault="00315BCD">
          <w:pPr>
            <w:pStyle w:val="12"/>
            <w:tabs>
              <w:tab w:val="right" w:leader="dot" w:pos="9345"/>
            </w:tabs>
            <w:rPr>
              <w:rFonts w:asciiTheme="minorHAnsi" w:eastAsiaTheme="minorEastAsia" w:hAnsiTheme="minorHAnsi" w:cstheme="minorBidi"/>
              <w:noProof/>
              <w:lang w:eastAsia="ru-RU"/>
            </w:rPr>
          </w:pPr>
          <w:hyperlink w:anchor="_Toc510776686" w:history="1">
            <w:r w:rsidR="00266F28" w:rsidRPr="0087633C">
              <w:rPr>
                <w:rStyle w:val="a3"/>
                <w:rFonts w:ascii="Times New Roman" w:eastAsia="Times New Roman" w:hAnsi="Times New Roman" w:cs="Arial"/>
                <w:b/>
                <w:noProof/>
                <w:lang w:eastAsia="ru-RU"/>
              </w:rPr>
              <w:t>13. Кадровая политика. Информация о системе оплаты труда.</w:t>
            </w:r>
            <w:r w:rsidR="00266F28">
              <w:rPr>
                <w:noProof/>
                <w:webHidden/>
              </w:rPr>
              <w:tab/>
            </w:r>
            <w:r w:rsidR="00266F28">
              <w:rPr>
                <w:noProof/>
                <w:webHidden/>
              </w:rPr>
              <w:fldChar w:fldCharType="begin"/>
            </w:r>
            <w:r w:rsidR="00266F28">
              <w:rPr>
                <w:noProof/>
                <w:webHidden/>
              </w:rPr>
              <w:instrText xml:space="preserve"> PAGEREF _Toc510776686 \h </w:instrText>
            </w:r>
            <w:r w:rsidR="00266F28">
              <w:rPr>
                <w:noProof/>
                <w:webHidden/>
              </w:rPr>
            </w:r>
            <w:r w:rsidR="00266F28">
              <w:rPr>
                <w:noProof/>
                <w:webHidden/>
              </w:rPr>
              <w:fldChar w:fldCharType="separate"/>
            </w:r>
            <w:r w:rsidR="00266F28">
              <w:rPr>
                <w:noProof/>
                <w:webHidden/>
              </w:rPr>
              <w:t>79</w:t>
            </w:r>
            <w:r w:rsidR="00266F28">
              <w:rPr>
                <w:noProof/>
                <w:webHidden/>
              </w:rPr>
              <w:fldChar w:fldCharType="end"/>
            </w:r>
          </w:hyperlink>
        </w:p>
        <w:p w14:paraId="7CEF1A86" w14:textId="7C811A92" w:rsidR="00266F28" w:rsidRDefault="00315BCD">
          <w:pPr>
            <w:pStyle w:val="12"/>
            <w:tabs>
              <w:tab w:val="right" w:leader="dot" w:pos="9345"/>
            </w:tabs>
            <w:rPr>
              <w:rFonts w:asciiTheme="minorHAnsi" w:eastAsiaTheme="minorEastAsia" w:hAnsiTheme="minorHAnsi" w:cstheme="minorBidi"/>
              <w:noProof/>
              <w:lang w:eastAsia="ru-RU"/>
            </w:rPr>
          </w:pPr>
          <w:hyperlink w:anchor="_Toc510776687" w:history="1">
            <w:r w:rsidR="00266F28" w:rsidRPr="0087633C">
              <w:rPr>
                <w:rStyle w:val="a3"/>
                <w:rFonts w:ascii="Times New Roman" w:eastAsia="Times New Roman" w:hAnsi="Times New Roman" w:cs="Arial"/>
                <w:b/>
                <w:noProof/>
                <w:lang w:eastAsia="ru-RU"/>
              </w:rPr>
              <w:t>14. О вознаграждении Председателя Правления, членов Правления</w:t>
            </w:r>
            <w:r w:rsidR="00266F28">
              <w:rPr>
                <w:noProof/>
                <w:webHidden/>
              </w:rPr>
              <w:tab/>
            </w:r>
            <w:r w:rsidR="00266F28">
              <w:rPr>
                <w:noProof/>
                <w:webHidden/>
              </w:rPr>
              <w:fldChar w:fldCharType="begin"/>
            </w:r>
            <w:r w:rsidR="00266F28">
              <w:rPr>
                <w:noProof/>
                <w:webHidden/>
              </w:rPr>
              <w:instrText xml:space="preserve"> PAGEREF _Toc510776687 \h </w:instrText>
            </w:r>
            <w:r w:rsidR="00266F28">
              <w:rPr>
                <w:noProof/>
                <w:webHidden/>
              </w:rPr>
            </w:r>
            <w:r w:rsidR="00266F28">
              <w:rPr>
                <w:noProof/>
                <w:webHidden/>
              </w:rPr>
              <w:fldChar w:fldCharType="separate"/>
            </w:r>
            <w:r w:rsidR="00266F28">
              <w:rPr>
                <w:noProof/>
                <w:webHidden/>
              </w:rPr>
              <w:t>83</w:t>
            </w:r>
            <w:r w:rsidR="00266F28">
              <w:rPr>
                <w:noProof/>
                <w:webHidden/>
              </w:rPr>
              <w:fldChar w:fldCharType="end"/>
            </w:r>
          </w:hyperlink>
        </w:p>
        <w:p w14:paraId="7BD97DBD" w14:textId="27DE1053" w:rsidR="00266F28" w:rsidRDefault="00315BCD">
          <w:pPr>
            <w:pStyle w:val="12"/>
            <w:tabs>
              <w:tab w:val="right" w:leader="dot" w:pos="9345"/>
            </w:tabs>
            <w:rPr>
              <w:rFonts w:asciiTheme="minorHAnsi" w:eastAsiaTheme="minorEastAsia" w:hAnsiTheme="minorHAnsi" w:cstheme="minorBidi"/>
              <w:noProof/>
              <w:lang w:eastAsia="ru-RU"/>
            </w:rPr>
          </w:pPr>
          <w:hyperlink w:anchor="_Toc510776688" w:history="1">
            <w:r w:rsidR="00266F28" w:rsidRPr="0087633C">
              <w:rPr>
                <w:rStyle w:val="a3"/>
                <w:rFonts w:ascii="Times New Roman" w:eastAsia="Times New Roman" w:hAnsi="Times New Roman" w:cs="Arial"/>
                <w:b/>
                <w:noProof/>
                <w:lang w:eastAsia="ru-RU"/>
              </w:rPr>
              <w:t>и членов Наблюдательного совета</w:t>
            </w:r>
            <w:r w:rsidR="00266F28">
              <w:rPr>
                <w:noProof/>
                <w:webHidden/>
              </w:rPr>
              <w:tab/>
            </w:r>
            <w:r w:rsidR="00266F28">
              <w:rPr>
                <w:noProof/>
                <w:webHidden/>
              </w:rPr>
              <w:fldChar w:fldCharType="begin"/>
            </w:r>
            <w:r w:rsidR="00266F28">
              <w:rPr>
                <w:noProof/>
                <w:webHidden/>
              </w:rPr>
              <w:instrText xml:space="preserve"> PAGEREF _Toc510776688 \h </w:instrText>
            </w:r>
            <w:r w:rsidR="00266F28">
              <w:rPr>
                <w:noProof/>
                <w:webHidden/>
              </w:rPr>
            </w:r>
            <w:r w:rsidR="00266F28">
              <w:rPr>
                <w:noProof/>
                <w:webHidden/>
              </w:rPr>
              <w:fldChar w:fldCharType="separate"/>
            </w:r>
            <w:r w:rsidR="00266F28">
              <w:rPr>
                <w:noProof/>
                <w:webHidden/>
              </w:rPr>
              <w:t>83</w:t>
            </w:r>
            <w:r w:rsidR="00266F28">
              <w:rPr>
                <w:noProof/>
                <w:webHidden/>
              </w:rPr>
              <w:fldChar w:fldCharType="end"/>
            </w:r>
          </w:hyperlink>
        </w:p>
        <w:p w14:paraId="61B9ADA0" w14:textId="3A3ACBC7" w:rsidR="00266F28" w:rsidRDefault="00315BCD">
          <w:pPr>
            <w:pStyle w:val="12"/>
            <w:tabs>
              <w:tab w:val="right" w:leader="dot" w:pos="9345"/>
            </w:tabs>
            <w:rPr>
              <w:rFonts w:asciiTheme="minorHAnsi" w:eastAsiaTheme="minorEastAsia" w:hAnsiTheme="minorHAnsi" w:cstheme="minorBidi"/>
              <w:noProof/>
              <w:lang w:eastAsia="ru-RU"/>
            </w:rPr>
          </w:pPr>
          <w:hyperlink w:anchor="_Toc510776689" w:history="1">
            <w:r w:rsidR="00266F28" w:rsidRPr="0087633C">
              <w:rPr>
                <w:rStyle w:val="a3"/>
                <w:rFonts w:ascii="Times New Roman" w:eastAsia="Times New Roman" w:hAnsi="Times New Roman" w:cs="Arial"/>
                <w:b/>
                <w:noProof/>
                <w:lang w:eastAsia="ru-RU"/>
              </w:rPr>
              <w:t>(критерии определения и размер вознаграждения)</w:t>
            </w:r>
            <w:r w:rsidR="00266F28">
              <w:rPr>
                <w:noProof/>
                <w:webHidden/>
              </w:rPr>
              <w:tab/>
            </w:r>
            <w:r w:rsidR="00266F28">
              <w:rPr>
                <w:noProof/>
                <w:webHidden/>
              </w:rPr>
              <w:fldChar w:fldCharType="begin"/>
            </w:r>
            <w:r w:rsidR="00266F28">
              <w:rPr>
                <w:noProof/>
                <w:webHidden/>
              </w:rPr>
              <w:instrText xml:space="preserve"> PAGEREF _Toc510776689 \h </w:instrText>
            </w:r>
            <w:r w:rsidR="00266F28">
              <w:rPr>
                <w:noProof/>
                <w:webHidden/>
              </w:rPr>
            </w:r>
            <w:r w:rsidR="00266F28">
              <w:rPr>
                <w:noProof/>
                <w:webHidden/>
              </w:rPr>
              <w:fldChar w:fldCharType="separate"/>
            </w:r>
            <w:r w:rsidR="00266F28">
              <w:rPr>
                <w:noProof/>
                <w:webHidden/>
              </w:rPr>
              <w:t>83</w:t>
            </w:r>
            <w:r w:rsidR="00266F28">
              <w:rPr>
                <w:noProof/>
                <w:webHidden/>
              </w:rPr>
              <w:fldChar w:fldCharType="end"/>
            </w:r>
          </w:hyperlink>
        </w:p>
        <w:p w14:paraId="2B46B79B" w14:textId="4B55C4AC" w:rsidR="00266F28" w:rsidRDefault="00315BCD">
          <w:pPr>
            <w:pStyle w:val="12"/>
            <w:tabs>
              <w:tab w:val="right" w:leader="dot" w:pos="9345"/>
            </w:tabs>
            <w:rPr>
              <w:rFonts w:asciiTheme="minorHAnsi" w:eastAsiaTheme="minorEastAsia" w:hAnsiTheme="minorHAnsi" w:cstheme="minorBidi"/>
              <w:noProof/>
              <w:lang w:eastAsia="ru-RU"/>
            </w:rPr>
          </w:pPr>
          <w:hyperlink w:anchor="_Toc510776690" w:history="1">
            <w:r w:rsidR="00266F28" w:rsidRPr="0087633C">
              <w:rPr>
                <w:rStyle w:val="a3"/>
                <w:rFonts w:ascii="Times New Roman" w:eastAsia="Times New Roman" w:hAnsi="Times New Roman" w:cs="Arial"/>
                <w:b/>
                <w:noProof/>
                <w:lang w:eastAsia="ru-RU"/>
              </w:rPr>
              <w:t>15. О дивидендах по акциям</w:t>
            </w:r>
            <w:r w:rsidR="00266F28">
              <w:rPr>
                <w:noProof/>
                <w:webHidden/>
              </w:rPr>
              <w:tab/>
            </w:r>
            <w:r w:rsidR="00266F28">
              <w:rPr>
                <w:noProof/>
                <w:webHidden/>
              </w:rPr>
              <w:fldChar w:fldCharType="begin"/>
            </w:r>
            <w:r w:rsidR="00266F28">
              <w:rPr>
                <w:noProof/>
                <w:webHidden/>
              </w:rPr>
              <w:instrText xml:space="preserve"> PAGEREF _Toc510776690 \h </w:instrText>
            </w:r>
            <w:r w:rsidR="00266F28">
              <w:rPr>
                <w:noProof/>
                <w:webHidden/>
              </w:rPr>
            </w:r>
            <w:r w:rsidR="00266F28">
              <w:rPr>
                <w:noProof/>
                <w:webHidden/>
              </w:rPr>
              <w:fldChar w:fldCharType="separate"/>
            </w:r>
            <w:r w:rsidR="00266F28">
              <w:rPr>
                <w:noProof/>
                <w:webHidden/>
              </w:rPr>
              <w:t>85</w:t>
            </w:r>
            <w:r w:rsidR="00266F28">
              <w:rPr>
                <w:noProof/>
                <w:webHidden/>
              </w:rPr>
              <w:fldChar w:fldCharType="end"/>
            </w:r>
          </w:hyperlink>
        </w:p>
        <w:p w14:paraId="085C7249" w14:textId="114FE38C" w:rsidR="00266F28" w:rsidRDefault="00315BCD">
          <w:pPr>
            <w:pStyle w:val="12"/>
            <w:tabs>
              <w:tab w:val="right" w:leader="dot" w:pos="9345"/>
            </w:tabs>
            <w:rPr>
              <w:rFonts w:asciiTheme="minorHAnsi" w:eastAsiaTheme="minorEastAsia" w:hAnsiTheme="minorHAnsi" w:cstheme="minorBidi"/>
              <w:noProof/>
              <w:lang w:eastAsia="ru-RU"/>
            </w:rPr>
          </w:pPr>
          <w:hyperlink w:anchor="_Toc510776691" w:history="1">
            <w:r w:rsidR="00E52508">
              <w:rPr>
                <w:rStyle w:val="a3"/>
                <w:rFonts w:ascii="Times New Roman" w:eastAsia="Times New Roman" w:hAnsi="Times New Roman" w:cs="Arial"/>
                <w:b/>
                <w:noProof/>
                <w:lang w:eastAsia="ru-RU"/>
              </w:rPr>
              <w:t>16</w:t>
            </w:r>
            <w:r w:rsidR="00266F28" w:rsidRPr="0087633C">
              <w:rPr>
                <w:rStyle w:val="a3"/>
                <w:rFonts w:ascii="Times New Roman" w:eastAsia="Times New Roman" w:hAnsi="Times New Roman" w:cs="Arial"/>
                <w:b/>
                <w:noProof/>
                <w:lang w:eastAsia="ru-RU"/>
              </w:rPr>
              <w:t>. О соблюдении Кодекса корпоративного</w:t>
            </w:r>
          </w:hyperlink>
          <w:r w:rsidR="002200A3">
            <w:rPr>
              <w:noProof/>
            </w:rPr>
            <w:t xml:space="preserve"> </w:t>
          </w:r>
          <w:hyperlink w:anchor="_Toc510776692" w:history="1">
            <w:r w:rsidR="00266F28" w:rsidRPr="0087633C">
              <w:rPr>
                <w:rStyle w:val="a3"/>
                <w:rFonts w:ascii="Times New Roman" w:eastAsia="Times New Roman" w:hAnsi="Times New Roman" w:cs="Arial"/>
                <w:b/>
                <w:noProof/>
                <w:lang w:eastAsia="ru-RU"/>
              </w:rPr>
              <w:t>управления</w:t>
            </w:r>
            <w:r w:rsidR="00266F28">
              <w:rPr>
                <w:noProof/>
                <w:webHidden/>
              </w:rPr>
              <w:tab/>
            </w:r>
            <w:r w:rsidR="00266F28">
              <w:rPr>
                <w:noProof/>
                <w:webHidden/>
              </w:rPr>
              <w:fldChar w:fldCharType="begin"/>
            </w:r>
            <w:r w:rsidR="00266F28">
              <w:rPr>
                <w:noProof/>
                <w:webHidden/>
              </w:rPr>
              <w:instrText xml:space="preserve"> PAGEREF _Toc510776692 \h </w:instrText>
            </w:r>
            <w:r w:rsidR="00266F28">
              <w:rPr>
                <w:noProof/>
                <w:webHidden/>
              </w:rPr>
            </w:r>
            <w:r w:rsidR="00266F28">
              <w:rPr>
                <w:noProof/>
                <w:webHidden/>
              </w:rPr>
              <w:fldChar w:fldCharType="separate"/>
            </w:r>
            <w:r w:rsidR="00266F28">
              <w:rPr>
                <w:noProof/>
                <w:webHidden/>
              </w:rPr>
              <w:t>86</w:t>
            </w:r>
            <w:r w:rsidR="00266F28">
              <w:rPr>
                <w:noProof/>
                <w:webHidden/>
              </w:rPr>
              <w:fldChar w:fldCharType="end"/>
            </w:r>
          </w:hyperlink>
        </w:p>
        <w:p w14:paraId="73E0EE27" w14:textId="201B036F" w:rsidR="00266F28" w:rsidRDefault="00266F28" w:rsidP="00266F28">
          <w:pPr>
            <w:rPr>
              <w:rFonts w:ascii="Times New Roman" w:eastAsia="Times New Roman" w:hAnsi="Times New Roman"/>
              <w:bCs/>
              <w:sz w:val="28"/>
              <w:szCs w:val="28"/>
              <w:lang w:eastAsia="ru-RU"/>
            </w:rPr>
          </w:pPr>
          <w:r>
            <w:rPr>
              <w:b/>
              <w:bCs/>
            </w:rPr>
            <w:fldChar w:fldCharType="end"/>
          </w:r>
        </w:p>
      </w:sdtContent>
    </w:sdt>
    <w:p w14:paraId="1592C4C6" w14:textId="4D6341D2" w:rsidR="009A3094" w:rsidRPr="009A3094" w:rsidRDefault="00F053E8"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bCs/>
          <w:sz w:val="28"/>
          <w:szCs w:val="28"/>
          <w:lang w:eastAsia="ru-RU"/>
        </w:rPr>
      </w:pPr>
      <w:r w:rsidRPr="009A3094">
        <w:rPr>
          <w:rFonts w:ascii="Times New Roman" w:eastAsia="Times New Roman" w:hAnsi="Times New Roman"/>
          <w:bCs/>
          <w:sz w:val="28"/>
          <w:szCs w:val="28"/>
          <w:lang w:eastAsia="ru-RU"/>
        </w:rPr>
        <w:t>П</w:t>
      </w:r>
      <w:r w:rsidR="009A3094" w:rsidRPr="009A3094">
        <w:rPr>
          <w:rFonts w:ascii="Times New Roman" w:eastAsia="Times New Roman" w:hAnsi="Times New Roman"/>
          <w:bCs/>
          <w:sz w:val="28"/>
          <w:szCs w:val="28"/>
          <w:lang w:eastAsia="ru-RU"/>
        </w:rPr>
        <w:t>риложения</w:t>
      </w:r>
      <w:r w:rsidR="009A3094">
        <w:rPr>
          <w:rFonts w:ascii="Times New Roman" w:eastAsia="Times New Roman" w:hAnsi="Times New Roman"/>
          <w:bCs/>
          <w:sz w:val="28"/>
          <w:szCs w:val="28"/>
          <w:lang w:eastAsia="ru-RU"/>
        </w:rPr>
        <w:t>.</w:t>
      </w:r>
    </w:p>
    <w:p w14:paraId="598122ED" w14:textId="5D0B7E80" w:rsidR="00F053E8" w:rsidRPr="00457435" w:rsidRDefault="00457435" w:rsidP="00EC083B">
      <w:pPr>
        <w:widowControl w:val="0"/>
        <w:tabs>
          <w:tab w:val="left" w:pos="8820"/>
        </w:tabs>
        <w:overflowPunct w:val="0"/>
        <w:autoSpaceDE w:val="0"/>
        <w:autoSpaceDN w:val="0"/>
        <w:adjustRightInd w:val="0"/>
        <w:ind w:right="76"/>
        <w:jc w:val="both"/>
        <w:textAlignment w:val="baseline"/>
        <w:rPr>
          <w:rStyle w:val="a3"/>
          <w:rFonts w:ascii="Times New Roman" w:eastAsia="Times New Roman" w:hAnsi="Times New Roman"/>
          <w:sz w:val="28"/>
          <w:szCs w:val="28"/>
          <w:lang w:eastAsia="ru-RU"/>
        </w:rPr>
      </w:pPr>
      <w:r>
        <w:rPr>
          <w:rFonts w:ascii="Times New Roman" w:eastAsia="Times New Roman" w:hAnsi="Times New Roman"/>
          <w:sz w:val="28"/>
          <w:szCs w:val="28"/>
          <w:lang w:eastAsia="ru-RU"/>
        </w:rPr>
        <w:fldChar w:fldCharType="begin"/>
      </w:r>
      <w:r>
        <w:rPr>
          <w:rFonts w:ascii="Times New Roman" w:eastAsia="Times New Roman" w:hAnsi="Times New Roman"/>
          <w:sz w:val="28"/>
          <w:szCs w:val="28"/>
          <w:lang w:eastAsia="ru-RU"/>
        </w:rPr>
        <w:instrText xml:space="preserve"> HYPERLINK "https://www.nationalclearingcentre.ru/catalog/011003?year=2017" </w:instrText>
      </w:r>
      <w:r>
        <w:rPr>
          <w:rFonts w:ascii="Times New Roman" w:eastAsia="Times New Roman" w:hAnsi="Times New Roman"/>
          <w:sz w:val="28"/>
          <w:szCs w:val="28"/>
          <w:lang w:eastAsia="ru-RU"/>
        </w:rPr>
        <w:fldChar w:fldCharType="separate"/>
      </w:r>
      <w:r w:rsidR="009A3094" w:rsidRPr="00457435">
        <w:rPr>
          <w:rStyle w:val="a3"/>
          <w:rFonts w:ascii="Times New Roman" w:eastAsia="Times New Roman" w:hAnsi="Times New Roman"/>
          <w:sz w:val="28"/>
          <w:szCs w:val="28"/>
          <w:lang w:eastAsia="ru-RU"/>
        </w:rPr>
        <w:t>1.</w:t>
      </w:r>
      <w:r w:rsidR="00DD09C3" w:rsidRPr="00457435">
        <w:rPr>
          <w:rStyle w:val="a3"/>
          <w:rFonts w:ascii="Times New Roman" w:eastAsia="Times New Roman" w:hAnsi="Times New Roman"/>
          <w:sz w:val="28"/>
          <w:szCs w:val="28"/>
          <w:lang w:eastAsia="ru-RU"/>
        </w:rPr>
        <w:t xml:space="preserve"> </w:t>
      </w:r>
      <w:r w:rsidR="00F053E8" w:rsidRPr="00457435">
        <w:rPr>
          <w:rStyle w:val="a3"/>
          <w:rFonts w:ascii="Times New Roman" w:eastAsia="Times New Roman" w:hAnsi="Times New Roman"/>
          <w:sz w:val="28"/>
          <w:szCs w:val="28"/>
          <w:lang w:eastAsia="ru-RU"/>
        </w:rPr>
        <w:t>Годовая бухгалтерская (финансовая) отчетность за 2017 год (составленная в соответствии с российскими стандартами</w:t>
      </w:r>
      <w:r w:rsidR="00EC083B" w:rsidRPr="00457435">
        <w:rPr>
          <w:rStyle w:val="a3"/>
          <w:rFonts w:ascii="Times New Roman" w:eastAsia="Times New Roman" w:hAnsi="Times New Roman"/>
          <w:sz w:val="28"/>
          <w:szCs w:val="28"/>
          <w:lang w:eastAsia="ru-RU"/>
        </w:rPr>
        <w:t xml:space="preserve"> </w:t>
      </w:r>
      <w:r w:rsidR="00F053E8" w:rsidRPr="00457435">
        <w:rPr>
          <w:rStyle w:val="a3"/>
          <w:rFonts w:ascii="Times New Roman" w:eastAsia="Times New Roman" w:hAnsi="Times New Roman"/>
          <w:sz w:val="28"/>
          <w:szCs w:val="28"/>
          <w:lang w:eastAsia="ru-RU"/>
        </w:rPr>
        <w:t>бухгалтерского учета (РСБУ)).</w:t>
      </w:r>
    </w:p>
    <w:p w14:paraId="4A25BFE1" w14:textId="3AD9A599" w:rsidR="00F053E8" w:rsidRPr="00F053E8" w:rsidRDefault="009A3094" w:rsidP="00EC083B">
      <w:pPr>
        <w:widowControl w:val="0"/>
        <w:tabs>
          <w:tab w:val="left" w:pos="8820"/>
        </w:tabs>
        <w:overflowPunct w:val="0"/>
        <w:autoSpaceDE w:val="0"/>
        <w:autoSpaceDN w:val="0"/>
        <w:adjustRightInd w:val="0"/>
        <w:ind w:right="76"/>
        <w:jc w:val="both"/>
        <w:textAlignment w:val="baseline"/>
        <w:rPr>
          <w:rFonts w:ascii="Times New Roman" w:eastAsia="Times New Roman" w:hAnsi="Times New Roman"/>
          <w:sz w:val="28"/>
          <w:szCs w:val="28"/>
          <w:lang w:eastAsia="ru-RU"/>
        </w:rPr>
      </w:pPr>
      <w:r w:rsidRPr="00457435">
        <w:rPr>
          <w:rStyle w:val="a3"/>
          <w:rFonts w:ascii="Times New Roman" w:eastAsia="Times New Roman" w:hAnsi="Times New Roman"/>
          <w:sz w:val="28"/>
          <w:szCs w:val="28"/>
          <w:lang w:eastAsia="ru-RU"/>
        </w:rPr>
        <w:t>2.</w:t>
      </w:r>
      <w:r w:rsidR="00DD09C3" w:rsidRPr="00457435">
        <w:rPr>
          <w:rStyle w:val="a3"/>
          <w:rFonts w:ascii="Times New Roman" w:eastAsia="Times New Roman" w:hAnsi="Times New Roman"/>
          <w:sz w:val="28"/>
          <w:szCs w:val="28"/>
          <w:lang w:eastAsia="ru-RU"/>
        </w:rPr>
        <w:t xml:space="preserve"> </w:t>
      </w:r>
      <w:r w:rsidR="00F053E8" w:rsidRPr="00457435">
        <w:rPr>
          <w:rStyle w:val="a3"/>
          <w:rFonts w:ascii="Times New Roman" w:eastAsia="Times New Roman" w:hAnsi="Times New Roman"/>
          <w:sz w:val="28"/>
          <w:szCs w:val="28"/>
          <w:lang w:eastAsia="ru-RU"/>
        </w:rPr>
        <w:t>Финансовая отчетность по состоянию на</w:t>
      </w:r>
      <w:r w:rsidR="00EC083B" w:rsidRPr="00457435">
        <w:rPr>
          <w:rStyle w:val="a3"/>
          <w:rFonts w:ascii="Times New Roman" w:eastAsia="Times New Roman" w:hAnsi="Times New Roman"/>
          <w:sz w:val="28"/>
          <w:szCs w:val="28"/>
          <w:lang w:eastAsia="ru-RU"/>
        </w:rPr>
        <w:t xml:space="preserve"> 31 декабря 2017 и за 2017 год </w:t>
      </w:r>
      <w:r w:rsidR="00F053E8" w:rsidRPr="00457435">
        <w:rPr>
          <w:rStyle w:val="a3"/>
          <w:rFonts w:ascii="Times New Roman" w:eastAsia="Times New Roman" w:hAnsi="Times New Roman"/>
          <w:sz w:val="28"/>
          <w:szCs w:val="28"/>
          <w:lang w:eastAsia="ru-RU"/>
        </w:rPr>
        <w:t>(составленная в соответствии с международными стандартами финансовой отчетности (МСФО))</w:t>
      </w:r>
      <w:r w:rsidR="00EC083B" w:rsidRPr="00457435">
        <w:rPr>
          <w:rStyle w:val="a3"/>
          <w:rFonts w:ascii="Times New Roman" w:eastAsia="Times New Roman" w:hAnsi="Times New Roman"/>
          <w:sz w:val="28"/>
          <w:szCs w:val="28"/>
          <w:lang w:eastAsia="ru-RU"/>
        </w:rPr>
        <w:t>.</w:t>
      </w:r>
      <w:r w:rsidR="00457435">
        <w:rPr>
          <w:rFonts w:ascii="Times New Roman" w:eastAsia="Times New Roman" w:hAnsi="Times New Roman"/>
          <w:sz w:val="28"/>
          <w:szCs w:val="28"/>
          <w:lang w:eastAsia="ru-RU"/>
        </w:rPr>
        <w:fldChar w:fldCharType="end"/>
      </w:r>
    </w:p>
    <w:p w14:paraId="41F19F53" w14:textId="77777777"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7FD557F2" w14:textId="77777777"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16694106" w14:textId="77777777"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44758E46" w14:textId="77777777"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680E05AC" w14:textId="77777777"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7F7CA1D1" w14:textId="77777777"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46D0109A" w14:textId="77777777"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6F98B073" w14:textId="77777777"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1A26D4EB" w14:textId="77777777"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7726AE71" w14:textId="77777777"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51F7BAF2" w14:textId="77777777"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4E475815" w14:textId="77777777"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1C79491A" w14:textId="77777777"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447951D0" w14:textId="77777777"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253EF627" w14:textId="7D445FAB" w:rsidR="00F053E8" w:rsidRDefault="00F053E8"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r w:rsidRPr="00F053E8">
        <w:rPr>
          <w:rFonts w:ascii="Times New Roman" w:eastAsia="Times New Roman" w:hAnsi="Times New Roman"/>
          <w:sz w:val="28"/>
          <w:szCs w:val="28"/>
          <w:lang w:eastAsia="ru-RU"/>
        </w:rPr>
        <w:t> </w:t>
      </w:r>
    </w:p>
    <w:p w14:paraId="43170B6C" w14:textId="661E0214"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28429CEC" w14:textId="1E8AD38B"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4EE22BC0" w14:textId="55B53DB0"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250C7A15" w14:textId="6AB435BE"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1E7EAA1E" w14:textId="7C51108B"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4CF4A7EB" w14:textId="60DAD349"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45E88D75" w14:textId="0587979A"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3DCF971B" w14:textId="5FE4CE6F"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67D05A2E" w14:textId="3F207918"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5BD25426" w14:textId="2EF32C1E" w:rsidR="00361CF3"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2B6B7EE0" w14:textId="55EF279F" w:rsidR="00361CF3" w:rsidRPr="00F053E8" w:rsidRDefault="00361CF3" w:rsidP="00F053E8">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5227221E" w14:textId="77777777" w:rsidR="00F053E8" w:rsidRPr="00BF135F" w:rsidRDefault="00F053E8" w:rsidP="00BF135F">
      <w:pPr>
        <w:widowControl w:val="0"/>
        <w:tabs>
          <w:tab w:val="left" w:pos="8820"/>
        </w:tabs>
        <w:overflowPunct w:val="0"/>
        <w:autoSpaceDE w:val="0"/>
        <w:autoSpaceDN w:val="0"/>
        <w:adjustRightInd w:val="0"/>
        <w:ind w:right="76"/>
        <w:textAlignment w:val="baseline"/>
        <w:rPr>
          <w:rFonts w:ascii="Times New Roman" w:eastAsia="Times New Roman" w:hAnsi="Times New Roman"/>
          <w:sz w:val="28"/>
          <w:szCs w:val="28"/>
          <w:lang w:eastAsia="ru-RU"/>
        </w:rPr>
      </w:pPr>
    </w:p>
    <w:p w14:paraId="5AE6248A" w14:textId="77777777" w:rsidR="00DF5FDC" w:rsidRPr="00DF5FDC" w:rsidRDefault="00DF5FDC" w:rsidP="00DF5FDC">
      <w:pPr>
        <w:widowControl w:val="0"/>
        <w:overflowPunct w:val="0"/>
        <w:autoSpaceDE w:val="0"/>
        <w:autoSpaceDN w:val="0"/>
        <w:adjustRightInd w:val="0"/>
        <w:textAlignment w:val="baseline"/>
        <w:rPr>
          <w:rFonts w:ascii="Times New Roman" w:eastAsia="Times New Roman" w:hAnsi="Times New Roman"/>
          <w:sz w:val="20"/>
          <w:szCs w:val="20"/>
          <w:lang w:eastAsia="ru-RU"/>
        </w:rPr>
      </w:pPr>
    </w:p>
    <w:p w14:paraId="4A14B479" w14:textId="77777777" w:rsidR="00DF5FDC" w:rsidRPr="00DF5FDC" w:rsidRDefault="00DF5FDC" w:rsidP="00DF5FDC">
      <w:pPr>
        <w:widowControl w:val="0"/>
        <w:overflowPunct w:val="0"/>
        <w:autoSpaceDE w:val="0"/>
        <w:autoSpaceDN w:val="0"/>
        <w:adjustRightInd w:val="0"/>
        <w:textAlignment w:val="baseline"/>
        <w:rPr>
          <w:rFonts w:ascii="Times New Roman" w:eastAsia="Times New Roman" w:hAnsi="Times New Roman"/>
          <w:sz w:val="20"/>
          <w:szCs w:val="20"/>
          <w:lang w:eastAsia="ru-RU"/>
        </w:rPr>
      </w:pPr>
    </w:p>
    <w:p w14:paraId="7B413E42" w14:textId="77777777" w:rsidR="009A3094" w:rsidRDefault="009A3094" w:rsidP="00DF5FDC">
      <w:pPr>
        <w:widowControl w:val="0"/>
        <w:overflowPunct w:val="0"/>
        <w:autoSpaceDE w:val="0"/>
        <w:autoSpaceDN w:val="0"/>
        <w:adjustRightInd w:val="0"/>
        <w:ind w:firstLine="360"/>
        <w:jc w:val="center"/>
        <w:textAlignment w:val="baseline"/>
        <w:outlineLvl w:val="0"/>
        <w:rPr>
          <w:rFonts w:ascii="Times New Roman" w:eastAsia="Times New Roman" w:hAnsi="Times New Roman" w:cs="Arial"/>
          <w:b/>
          <w:sz w:val="28"/>
          <w:szCs w:val="28"/>
          <w:lang w:eastAsia="ru-RU"/>
        </w:rPr>
      </w:pPr>
    </w:p>
    <w:p w14:paraId="0A2E049E" w14:textId="77777777" w:rsidR="009A3094" w:rsidRDefault="009A3094" w:rsidP="00DF5FDC">
      <w:pPr>
        <w:widowControl w:val="0"/>
        <w:overflowPunct w:val="0"/>
        <w:autoSpaceDE w:val="0"/>
        <w:autoSpaceDN w:val="0"/>
        <w:adjustRightInd w:val="0"/>
        <w:ind w:firstLine="360"/>
        <w:jc w:val="center"/>
        <w:textAlignment w:val="baseline"/>
        <w:outlineLvl w:val="0"/>
        <w:rPr>
          <w:rFonts w:ascii="Times New Roman" w:eastAsia="Times New Roman" w:hAnsi="Times New Roman" w:cs="Arial"/>
          <w:b/>
          <w:sz w:val="28"/>
          <w:szCs w:val="28"/>
          <w:lang w:eastAsia="ru-RU"/>
        </w:rPr>
      </w:pPr>
    </w:p>
    <w:p w14:paraId="175C66D8" w14:textId="01A9978B" w:rsidR="00DF5FDC" w:rsidRPr="007A0F11" w:rsidRDefault="00DF5FDC" w:rsidP="00DF5FDC">
      <w:pPr>
        <w:widowControl w:val="0"/>
        <w:overflowPunct w:val="0"/>
        <w:autoSpaceDE w:val="0"/>
        <w:autoSpaceDN w:val="0"/>
        <w:adjustRightInd w:val="0"/>
        <w:ind w:firstLine="360"/>
        <w:jc w:val="center"/>
        <w:textAlignment w:val="baseline"/>
        <w:outlineLvl w:val="0"/>
        <w:rPr>
          <w:rFonts w:ascii="Times New Roman" w:eastAsia="Times New Roman" w:hAnsi="Times New Roman" w:cs="Arial"/>
          <w:b/>
          <w:sz w:val="32"/>
          <w:szCs w:val="32"/>
          <w:lang w:eastAsia="ru-RU"/>
        </w:rPr>
      </w:pPr>
      <w:bookmarkStart w:id="1" w:name="_Toc510776650"/>
      <w:r w:rsidRPr="007A0F11">
        <w:rPr>
          <w:rFonts w:ascii="Times New Roman" w:eastAsia="Times New Roman" w:hAnsi="Times New Roman" w:cs="Arial"/>
          <w:b/>
          <w:sz w:val="32"/>
          <w:szCs w:val="32"/>
          <w:lang w:eastAsia="ru-RU"/>
        </w:rPr>
        <w:t>1. Общие сведения</w:t>
      </w:r>
      <w:bookmarkEnd w:id="1"/>
    </w:p>
    <w:p w14:paraId="4EE21AA0" w14:textId="77777777" w:rsidR="00DF5FDC" w:rsidRPr="00DF5FDC" w:rsidRDefault="00DF5FDC" w:rsidP="00DF5FDC">
      <w:pPr>
        <w:widowControl w:val="0"/>
        <w:overflowPunct w:val="0"/>
        <w:autoSpaceDE w:val="0"/>
        <w:autoSpaceDN w:val="0"/>
        <w:adjustRightInd w:val="0"/>
        <w:ind w:firstLine="360"/>
        <w:jc w:val="both"/>
        <w:textAlignment w:val="baseline"/>
        <w:rPr>
          <w:rFonts w:ascii="Times New Roman" w:eastAsia="Times New Roman" w:hAnsi="Times New Roman" w:cs="Arial"/>
          <w:sz w:val="24"/>
          <w:szCs w:val="28"/>
          <w:lang w:eastAsia="ru-RU"/>
        </w:rPr>
      </w:pPr>
    </w:p>
    <w:p w14:paraId="532441C4" w14:textId="77777777" w:rsidR="00DF5FDC" w:rsidRPr="00DF5FDC" w:rsidRDefault="00DF5FDC" w:rsidP="00DF5FDC">
      <w:pPr>
        <w:widowControl w:val="0"/>
        <w:overflowPunct w:val="0"/>
        <w:autoSpaceDE w:val="0"/>
        <w:autoSpaceDN w:val="0"/>
        <w:adjustRightInd w:val="0"/>
        <w:ind w:firstLine="567"/>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Небанковская кредитная организация-центральный контрагент «Национальный Клиринговый Центр» (Акционерное общество) (далее – НКЦ, Общество) был создан в соответствии с решением Общего собрания учредителей в 2005 году с наименованиями</w:t>
      </w:r>
      <w:r w:rsidR="0042752D">
        <w:rPr>
          <w:rFonts w:ascii="Times New Roman" w:eastAsia="Times New Roman" w:hAnsi="Times New Roman" w:cs="Arial"/>
          <w:sz w:val="24"/>
          <w:szCs w:val="28"/>
          <w:lang w:eastAsia="ru-RU"/>
        </w:rPr>
        <w:t>:</w:t>
      </w:r>
      <w:r w:rsidRPr="00DF5FDC">
        <w:rPr>
          <w:rFonts w:ascii="Times New Roman" w:eastAsia="Times New Roman" w:hAnsi="Times New Roman" w:cs="Arial"/>
          <w:sz w:val="24"/>
          <w:szCs w:val="28"/>
          <w:lang w:eastAsia="ru-RU"/>
        </w:rPr>
        <w:t xml:space="preserve"> Акционерный Коммерческий Банк «Национальный Клиринговый Центр» (Закрытое акционерное общество)</w:t>
      </w:r>
      <w:r w:rsidR="0042752D">
        <w:rPr>
          <w:rFonts w:ascii="Times New Roman" w:eastAsia="Times New Roman" w:hAnsi="Times New Roman" w:cs="Arial"/>
          <w:sz w:val="24"/>
          <w:szCs w:val="28"/>
          <w:lang w:eastAsia="ru-RU"/>
        </w:rPr>
        <w:t>,</w:t>
      </w:r>
      <w:r w:rsidRPr="00DF5FDC">
        <w:rPr>
          <w:rFonts w:ascii="Times New Roman" w:eastAsia="Times New Roman" w:hAnsi="Times New Roman" w:cs="Arial"/>
          <w:sz w:val="24"/>
          <w:szCs w:val="28"/>
          <w:lang w:eastAsia="ru-RU"/>
        </w:rPr>
        <w:t xml:space="preserve"> ЗАО АКБ «Национальный Клиринговый Центр» и зарегистрирован в Межрайонной ИФНС № 50 по г. Москве 30 мая 2006 года (свидетельство о государственной регистрации юридического лица серия 77 № 010075586 от 30.05.2006, ОГРН – 1067711004481).</w:t>
      </w:r>
    </w:p>
    <w:p w14:paraId="517CB92C" w14:textId="77777777" w:rsidR="0080787B" w:rsidRDefault="0080787B" w:rsidP="00DF5FDC">
      <w:pPr>
        <w:widowControl w:val="0"/>
        <w:overflowPunct w:val="0"/>
        <w:autoSpaceDE w:val="0"/>
        <w:autoSpaceDN w:val="0"/>
        <w:adjustRightInd w:val="0"/>
        <w:ind w:firstLine="567"/>
        <w:jc w:val="both"/>
        <w:textAlignment w:val="baseline"/>
        <w:rPr>
          <w:rFonts w:ascii="Times New Roman" w:eastAsia="Times New Roman" w:hAnsi="Times New Roman" w:cs="Arial"/>
          <w:sz w:val="24"/>
          <w:szCs w:val="28"/>
          <w:lang w:eastAsia="ru-RU"/>
        </w:rPr>
      </w:pPr>
    </w:p>
    <w:p w14:paraId="30FBEDA5" w14:textId="4BB7491D" w:rsidR="00DF5FDC" w:rsidRPr="00DF5FDC" w:rsidRDefault="00DF5FDC" w:rsidP="00DF5FDC">
      <w:pPr>
        <w:widowControl w:val="0"/>
        <w:overflowPunct w:val="0"/>
        <w:autoSpaceDE w:val="0"/>
        <w:autoSpaceDN w:val="0"/>
        <w:adjustRightInd w:val="0"/>
        <w:ind w:firstLine="567"/>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 xml:space="preserve">30 мая 2006 года НКЦ получил Свидетельство Банка России о государственной регистрации кредитной организации № 3466, а 16 августа 2006 года - лицензию Банка России на осуществление банковских операций со средствами в рублях и иностранной валюте № 3466 (без права привлечения во вклады денежных средств физических лиц). </w:t>
      </w:r>
    </w:p>
    <w:p w14:paraId="6B5C549F" w14:textId="77777777" w:rsidR="0080787B" w:rsidRDefault="0080787B" w:rsidP="00DF5FDC">
      <w:pPr>
        <w:widowControl w:val="0"/>
        <w:overflowPunct w:val="0"/>
        <w:autoSpaceDE w:val="0"/>
        <w:autoSpaceDN w:val="0"/>
        <w:adjustRightInd w:val="0"/>
        <w:ind w:firstLine="567"/>
        <w:jc w:val="both"/>
        <w:textAlignment w:val="baseline"/>
        <w:rPr>
          <w:rFonts w:ascii="Times New Roman" w:eastAsia="Times New Roman" w:hAnsi="Times New Roman" w:cs="Arial"/>
          <w:sz w:val="24"/>
          <w:szCs w:val="28"/>
          <w:lang w:eastAsia="ru-RU"/>
        </w:rPr>
      </w:pPr>
    </w:p>
    <w:p w14:paraId="4BD8ACEE" w14:textId="38D8AC72" w:rsidR="00DF5FDC" w:rsidRPr="00DF5FDC" w:rsidRDefault="00DF5FDC" w:rsidP="00DF5FDC">
      <w:pPr>
        <w:widowControl w:val="0"/>
        <w:overflowPunct w:val="0"/>
        <w:autoSpaceDE w:val="0"/>
        <w:autoSpaceDN w:val="0"/>
        <w:adjustRightInd w:val="0"/>
        <w:ind w:firstLine="567"/>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В 2014 году НКЦ был реорганизован в форме присоединения к нему Небанковской Кредитной Организации «Расчетная палата РТС» (закрытое акционерное общество) и Закрытого акционерного общества «Клиринговый центр РТС». НКЦ является правопреемником указанных юридических лиц.</w:t>
      </w:r>
    </w:p>
    <w:p w14:paraId="1001D4EF" w14:textId="77777777" w:rsidR="0080787B" w:rsidRDefault="0080787B" w:rsidP="00DF5FDC">
      <w:pPr>
        <w:widowControl w:val="0"/>
        <w:overflowPunct w:val="0"/>
        <w:autoSpaceDE w:val="0"/>
        <w:autoSpaceDN w:val="0"/>
        <w:adjustRightInd w:val="0"/>
        <w:ind w:firstLine="567"/>
        <w:jc w:val="both"/>
        <w:textAlignment w:val="baseline"/>
        <w:rPr>
          <w:rFonts w:ascii="Times New Roman" w:eastAsia="Times New Roman" w:hAnsi="Times New Roman" w:cs="Arial"/>
          <w:sz w:val="24"/>
          <w:szCs w:val="28"/>
          <w:lang w:eastAsia="ru-RU"/>
        </w:rPr>
      </w:pPr>
    </w:p>
    <w:p w14:paraId="526F0612" w14:textId="50275557" w:rsidR="00DF5FDC" w:rsidRPr="00DF5FDC" w:rsidRDefault="00DF5FDC" w:rsidP="00DF5FDC">
      <w:pPr>
        <w:widowControl w:val="0"/>
        <w:overflowPunct w:val="0"/>
        <w:autoSpaceDE w:val="0"/>
        <w:autoSpaceDN w:val="0"/>
        <w:adjustRightInd w:val="0"/>
        <w:ind w:firstLine="567"/>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В соответствии с решением единственного акционера НКЦ наименования НКЦ в 2015 году были приведены в соответствие с действующим законодательством и определены как: Банк «Национальный Клиринговый Центр» (Акционерное общество)</w:t>
      </w:r>
      <w:r w:rsidR="0042752D">
        <w:rPr>
          <w:rFonts w:ascii="Times New Roman" w:eastAsia="Times New Roman" w:hAnsi="Times New Roman" w:cs="Arial"/>
          <w:sz w:val="24"/>
          <w:szCs w:val="28"/>
          <w:lang w:eastAsia="ru-RU"/>
        </w:rPr>
        <w:t>,</w:t>
      </w:r>
      <w:r w:rsidRPr="00DF5FDC">
        <w:rPr>
          <w:rFonts w:ascii="Times New Roman" w:eastAsia="Times New Roman" w:hAnsi="Times New Roman" w:cs="Arial"/>
          <w:sz w:val="24"/>
          <w:szCs w:val="28"/>
          <w:lang w:eastAsia="ru-RU"/>
        </w:rPr>
        <w:t xml:space="preserve"> Банк НКЦ (АО). В связи с произошедшей сменой наименования 17 марта 2015 года НКЦ были обновлены лицензия на осуществление банковских операций со средствами в рублях и иностранной валюте (без права привлечения во вклады денежных средств физических лиц) № 3466, а также </w:t>
      </w:r>
      <w:r w:rsidR="0042752D">
        <w:rPr>
          <w:rFonts w:ascii="Times New Roman" w:eastAsia="Times New Roman" w:hAnsi="Times New Roman" w:cs="Arial"/>
          <w:sz w:val="24"/>
          <w:szCs w:val="28"/>
          <w:lang w:eastAsia="ru-RU"/>
        </w:rPr>
        <w:t xml:space="preserve">ранее выданная </w:t>
      </w:r>
      <w:r w:rsidRPr="00DF5FDC">
        <w:rPr>
          <w:rFonts w:ascii="Times New Roman" w:eastAsia="Times New Roman" w:hAnsi="Times New Roman" w:cs="Arial"/>
          <w:sz w:val="24"/>
          <w:szCs w:val="28"/>
          <w:lang w:eastAsia="ru-RU"/>
        </w:rPr>
        <w:t xml:space="preserve">лицензия на привлечение во вклады и размещение драгоценных металлов. </w:t>
      </w:r>
    </w:p>
    <w:p w14:paraId="44D0F454" w14:textId="77777777" w:rsidR="0080787B" w:rsidRDefault="0080787B" w:rsidP="00DF5FDC">
      <w:pPr>
        <w:widowControl w:val="0"/>
        <w:overflowPunct w:val="0"/>
        <w:autoSpaceDE w:val="0"/>
        <w:autoSpaceDN w:val="0"/>
        <w:adjustRightInd w:val="0"/>
        <w:ind w:firstLine="567"/>
        <w:jc w:val="both"/>
        <w:textAlignment w:val="baseline"/>
        <w:rPr>
          <w:rFonts w:ascii="Times New Roman" w:eastAsia="Times New Roman" w:hAnsi="Times New Roman" w:cs="Arial"/>
          <w:sz w:val="24"/>
          <w:szCs w:val="28"/>
          <w:lang w:eastAsia="ru-RU"/>
        </w:rPr>
      </w:pPr>
    </w:p>
    <w:p w14:paraId="1148A2F3" w14:textId="70DDA9D6" w:rsidR="0080787B" w:rsidRDefault="00DF5FDC" w:rsidP="00447135">
      <w:pPr>
        <w:widowControl w:val="0"/>
        <w:overflowPunct w:val="0"/>
        <w:autoSpaceDE w:val="0"/>
        <w:autoSpaceDN w:val="0"/>
        <w:adjustRightInd w:val="0"/>
        <w:ind w:firstLine="567"/>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 xml:space="preserve">В 2017 году в соответствии с решением единственного акционера НКЦ был изменен статус с банка на небанковскую кредитную организацию – центральный контрагент, наименования НКЦ были изменены на </w:t>
      </w:r>
      <w:r w:rsidR="0042752D">
        <w:rPr>
          <w:rFonts w:ascii="Times New Roman" w:eastAsia="Times New Roman" w:hAnsi="Times New Roman" w:cs="Arial"/>
          <w:sz w:val="24"/>
          <w:szCs w:val="28"/>
          <w:lang w:eastAsia="ru-RU"/>
        </w:rPr>
        <w:t xml:space="preserve">следующие: </w:t>
      </w:r>
      <w:r w:rsidRPr="00DF5FDC">
        <w:rPr>
          <w:rFonts w:ascii="Times New Roman" w:eastAsia="Times New Roman" w:hAnsi="Times New Roman" w:cs="Arial"/>
          <w:sz w:val="24"/>
          <w:szCs w:val="28"/>
          <w:lang w:eastAsia="ru-RU"/>
        </w:rPr>
        <w:t>Небанковск</w:t>
      </w:r>
      <w:r w:rsidR="0042752D">
        <w:rPr>
          <w:rFonts w:ascii="Times New Roman" w:eastAsia="Times New Roman" w:hAnsi="Times New Roman" w:cs="Arial"/>
          <w:sz w:val="24"/>
          <w:szCs w:val="28"/>
          <w:lang w:eastAsia="ru-RU"/>
        </w:rPr>
        <w:t>ая</w:t>
      </w:r>
      <w:r w:rsidRPr="00DF5FDC">
        <w:rPr>
          <w:rFonts w:ascii="Times New Roman" w:eastAsia="Times New Roman" w:hAnsi="Times New Roman" w:cs="Arial"/>
          <w:sz w:val="24"/>
          <w:szCs w:val="28"/>
          <w:lang w:eastAsia="ru-RU"/>
        </w:rPr>
        <w:t xml:space="preserve"> кредитн</w:t>
      </w:r>
      <w:r w:rsidR="0042752D">
        <w:rPr>
          <w:rFonts w:ascii="Times New Roman" w:eastAsia="Times New Roman" w:hAnsi="Times New Roman" w:cs="Arial"/>
          <w:sz w:val="24"/>
          <w:szCs w:val="28"/>
          <w:lang w:eastAsia="ru-RU"/>
        </w:rPr>
        <w:t>ая</w:t>
      </w:r>
      <w:r w:rsidRPr="00DF5FDC">
        <w:rPr>
          <w:rFonts w:ascii="Times New Roman" w:eastAsia="Times New Roman" w:hAnsi="Times New Roman" w:cs="Arial"/>
          <w:sz w:val="24"/>
          <w:szCs w:val="28"/>
          <w:lang w:eastAsia="ru-RU"/>
        </w:rPr>
        <w:t xml:space="preserve"> организаци</w:t>
      </w:r>
      <w:r w:rsidR="0042752D">
        <w:rPr>
          <w:rFonts w:ascii="Times New Roman" w:eastAsia="Times New Roman" w:hAnsi="Times New Roman" w:cs="Arial"/>
          <w:sz w:val="24"/>
          <w:szCs w:val="28"/>
          <w:lang w:eastAsia="ru-RU"/>
        </w:rPr>
        <w:t>я</w:t>
      </w:r>
      <w:r w:rsidRPr="00DF5FDC">
        <w:rPr>
          <w:rFonts w:ascii="Times New Roman" w:eastAsia="Times New Roman" w:hAnsi="Times New Roman" w:cs="Arial"/>
          <w:sz w:val="24"/>
          <w:szCs w:val="28"/>
          <w:lang w:eastAsia="ru-RU"/>
        </w:rPr>
        <w:t xml:space="preserve">-центральный контрагент «Национальный Клиринговый Центр» (Акционерное общество), НКО НКЦ (АО). </w:t>
      </w:r>
      <w:r w:rsidR="0042752D" w:rsidRPr="00DF5FDC">
        <w:rPr>
          <w:rFonts w:ascii="Times New Roman" w:eastAsia="Times New Roman" w:hAnsi="Times New Roman" w:cs="Arial"/>
          <w:sz w:val="24"/>
          <w:szCs w:val="28"/>
          <w:lang w:eastAsia="ru-RU"/>
        </w:rPr>
        <w:t xml:space="preserve">28 ноября 2017 года решением Банка России НКЦ был присвоен статус </w:t>
      </w:r>
      <w:r w:rsidR="0042752D">
        <w:rPr>
          <w:rFonts w:ascii="Times New Roman" w:eastAsia="Times New Roman" w:hAnsi="Times New Roman" w:cs="Arial"/>
          <w:sz w:val="24"/>
          <w:szCs w:val="28"/>
          <w:lang w:eastAsia="ru-RU"/>
        </w:rPr>
        <w:t>ц</w:t>
      </w:r>
      <w:r w:rsidR="0042752D" w:rsidRPr="00DF5FDC">
        <w:rPr>
          <w:rFonts w:ascii="Times New Roman" w:eastAsia="Times New Roman" w:hAnsi="Times New Roman" w:cs="Arial"/>
          <w:sz w:val="24"/>
          <w:szCs w:val="28"/>
          <w:lang w:eastAsia="ru-RU"/>
        </w:rPr>
        <w:t>ентрального контрагента.</w:t>
      </w:r>
      <w:r w:rsidR="005A413D">
        <w:rPr>
          <w:rFonts w:ascii="Times New Roman" w:eastAsia="Times New Roman" w:hAnsi="Times New Roman" w:cs="Arial"/>
          <w:sz w:val="24"/>
          <w:szCs w:val="28"/>
          <w:lang w:eastAsia="ru-RU"/>
        </w:rPr>
        <w:t xml:space="preserve"> </w:t>
      </w:r>
      <w:r w:rsidRPr="00DF5FDC">
        <w:rPr>
          <w:rFonts w:ascii="Times New Roman" w:eastAsia="Times New Roman" w:hAnsi="Times New Roman" w:cs="Arial"/>
          <w:sz w:val="24"/>
          <w:szCs w:val="28"/>
          <w:lang w:eastAsia="ru-RU"/>
        </w:rPr>
        <w:t>В связи с изменением статуса НКЦ 28 ноября 2017 года НКЦ была получена лицензия на осуществление банковских операций для небанковских кредитных организаций - центральных контрагентов № 3466-ЦК.</w:t>
      </w:r>
    </w:p>
    <w:p w14:paraId="67D57BE9" w14:textId="1F3A0E70" w:rsidR="00DF5FDC" w:rsidRPr="00DF5FDC" w:rsidRDefault="00DF5FDC" w:rsidP="00DF5FDC">
      <w:pPr>
        <w:widowControl w:val="0"/>
        <w:overflowPunct w:val="0"/>
        <w:autoSpaceDE w:val="0"/>
        <w:autoSpaceDN w:val="0"/>
        <w:adjustRightInd w:val="0"/>
        <w:spacing w:after="120"/>
        <w:ind w:firstLine="567"/>
        <w:jc w:val="both"/>
        <w:textAlignment w:val="baseline"/>
        <w:rPr>
          <w:rFonts w:ascii="Times New Roman" w:eastAsia="Times New Roman" w:hAnsi="Times New Roman"/>
          <w:sz w:val="20"/>
          <w:szCs w:val="20"/>
          <w:lang w:eastAsia="ru-RU"/>
        </w:rPr>
      </w:pPr>
      <w:r w:rsidRPr="00DF5FDC">
        <w:rPr>
          <w:rFonts w:ascii="Times New Roman" w:eastAsia="Times New Roman" w:hAnsi="Times New Roman" w:cs="Arial"/>
          <w:sz w:val="24"/>
          <w:szCs w:val="28"/>
          <w:lang w:eastAsia="ru-RU"/>
        </w:rPr>
        <w:t>Во исполнение Федерального закона «О клиринге, клиринговой деятельности и центральном контрагенте» и в целях осуществления клиринговой деятельности</w:t>
      </w:r>
      <w:r w:rsidR="00880534">
        <w:rPr>
          <w:rFonts w:ascii="Times New Roman" w:eastAsia="Times New Roman" w:hAnsi="Times New Roman" w:cs="Arial"/>
          <w:sz w:val="24"/>
          <w:szCs w:val="28"/>
          <w:lang w:eastAsia="ru-RU"/>
        </w:rPr>
        <w:t xml:space="preserve"> </w:t>
      </w:r>
      <w:r w:rsidRPr="00DF5FDC">
        <w:rPr>
          <w:rFonts w:ascii="Times New Roman" w:eastAsia="Times New Roman" w:hAnsi="Times New Roman" w:cs="Arial"/>
          <w:sz w:val="24"/>
          <w:szCs w:val="28"/>
          <w:lang w:eastAsia="ru-RU"/>
        </w:rPr>
        <w:t>НКЦ обладает лицензией на осуществление клиринговой деятельности от 18.12.2012.</w:t>
      </w:r>
    </w:p>
    <w:p w14:paraId="03FF84B9" w14:textId="77777777" w:rsidR="00DF5FDC" w:rsidRPr="00DF5FDC" w:rsidRDefault="00DF5FDC" w:rsidP="00DF5FDC">
      <w:pPr>
        <w:widowControl w:val="0"/>
        <w:overflowPunct w:val="0"/>
        <w:autoSpaceDE w:val="0"/>
        <w:autoSpaceDN w:val="0"/>
        <w:adjustRightInd w:val="0"/>
        <w:spacing w:after="120"/>
        <w:ind w:firstLine="567"/>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olor w:val="000000"/>
          <w:sz w:val="24"/>
          <w:szCs w:val="24"/>
          <w:lang w:eastAsia="ru-RU"/>
        </w:rPr>
        <w:t xml:space="preserve">НКЦ также обладает лицензией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w:t>
      </w:r>
      <w:r w:rsidRPr="00DF5FDC">
        <w:rPr>
          <w:rFonts w:ascii="Times New Roman" w:eastAsia="Times New Roman" w:hAnsi="Times New Roman"/>
          <w:color w:val="000000"/>
          <w:sz w:val="24"/>
          <w:szCs w:val="24"/>
          <w:lang w:eastAsia="ru-RU"/>
        </w:rPr>
        <w:lastRenderedPageBreak/>
        <w:t xml:space="preserve">(криптографических) средств (за исключением случая, если техническое обслуживание техническое обслуживание шифровальных (криптографических) средств, осуществляется для обеспечения собственных нужд юридического лица или индивидуального предпринимателя). </w:t>
      </w:r>
    </w:p>
    <w:p w14:paraId="7C934FF8" w14:textId="77777777" w:rsidR="00DF5FDC" w:rsidRPr="00DF5FDC" w:rsidRDefault="00DF5FDC" w:rsidP="00DF5FDC">
      <w:pPr>
        <w:widowControl w:val="0"/>
        <w:overflowPunct w:val="0"/>
        <w:autoSpaceDE w:val="0"/>
        <w:autoSpaceDN w:val="0"/>
        <w:adjustRightInd w:val="0"/>
        <w:spacing w:after="120"/>
        <w:ind w:firstLine="567"/>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В 2015 году НКЦ получена аккредитация Банка России для осуществления функций оператора товарных поставок.</w:t>
      </w:r>
    </w:p>
    <w:p w14:paraId="3A6FE816" w14:textId="77777777" w:rsidR="00DF5FDC" w:rsidRPr="00DF5FDC" w:rsidRDefault="00DF5FDC" w:rsidP="00DF5FDC">
      <w:pPr>
        <w:widowControl w:val="0"/>
        <w:overflowPunct w:val="0"/>
        <w:autoSpaceDE w:val="0"/>
        <w:autoSpaceDN w:val="0"/>
        <w:adjustRightInd w:val="0"/>
        <w:jc w:val="both"/>
        <w:textAlignment w:val="baseline"/>
        <w:rPr>
          <w:rFonts w:ascii="Times New Roman" w:eastAsia="Times New Roman" w:hAnsi="Times New Roman" w:cs="Arial"/>
          <w:b/>
          <w:i/>
          <w:sz w:val="24"/>
          <w:szCs w:val="28"/>
          <w:lang w:eastAsia="ru-RU"/>
        </w:rPr>
      </w:pPr>
      <w:r w:rsidRPr="00DF5FDC">
        <w:rPr>
          <w:rFonts w:ascii="Times New Roman" w:eastAsia="Times New Roman" w:hAnsi="Times New Roman" w:cs="Arial"/>
          <w:b/>
          <w:i/>
          <w:sz w:val="24"/>
          <w:szCs w:val="28"/>
          <w:lang w:eastAsia="ru-RU"/>
        </w:rPr>
        <w:t>Место нахождения:</w:t>
      </w:r>
    </w:p>
    <w:p w14:paraId="72276BBB" w14:textId="77777777" w:rsidR="00DF5FDC" w:rsidRPr="00DF5FDC" w:rsidRDefault="00DF5FDC" w:rsidP="00DF5FDC">
      <w:pPr>
        <w:widowControl w:val="0"/>
        <w:overflowPunct w:val="0"/>
        <w:autoSpaceDE w:val="0"/>
        <w:autoSpaceDN w:val="0"/>
        <w:adjustRightInd w:val="0"/>
        <w:ind w:firstLine="360"/>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г. Москва</w:t>
      </w:r>
    </w:p>
    <w:p w14:paraId="6D5CD9AB" w14:textId="77777777" w:rsidR="00DF5FDC" w:rsidRPr="00DF5FDC" w:rsidRDefault="00DF5FDC" w:rsidP="00DF5FDC">
      <w:pPr>
        <w:widowControl w:val="0"/>
        <w:overflowPunct w:val="0"/>
        <w:autoSpaceDE w:val="0"/>
        <w:autoSpaceDN w:val="0"/>
        <w:adjustRightInd w:val="0"/>
        <w:jc w:val="both"/>
        <w:textAlignment w:val="baseline"/>
        <w:rPr>
          <w:rFonts w:ascii="Times New Roman" w:eastAsia="Times New Roman" w:hAnsi="Times New Roman" w:cs="Arial"/>
          <w:b/>
          <w:sz w:val="24"/>
          <w:szCs w:val="28"/>
          <w:lang w:eastAsia="ru-RU"/>
        </w:rPr>
      </w:pPr>
      <w:r w:rsidRPr="00DF5FDC">
        <w:rPr>
          <w:rFonts w:ascii="Times New Roman" w:eastAsia="Times New Roman" w:hAnsi="Times New Roman" w:cs="Arial"/>
          <w:b/>
          <w:i/>
          <w:sz w:val="24"/>
          <w:szCs w:val="28"/>
          <w:lang w:eastAsia="ru-RU"/>
        </w:rPr>
        <w:t>Почтовый адрес</w:t>
      </w:r>
      <w:r w:rsidRPr="00DF5FDC">
        <w:rPr>
          <w:rFonts w:ascii="Times New Roman" w:eastAsia="Times New Roman" w:hAnsi="Times New Roman" w:cs="Arial"/>
          <w:b/>
          <w:sz w:val="24"/>
          <w:szCs w:val="28"/>
          <w:lang w:eastAsia="ru-RU"/>
        </w:rPr>
        <w:t>:</w:t>
      </w:r>
    </w:p>
    <w:p w14:paraId="1E177553" w14:textId="77777777" w:rsidR="00DF5FDC" w:rsidRPr="00DF5FDC" w:rsidRDefault="00DF5FDC" w:rsidP="00DF5FDC">
      <w:pPr>
        <w:widowControl w:val="0"/>
        <w:overflowPunct w:val="0"/>
        <w:autoSpaceDE w:val="0"/>
        <w:autoSpaceDN w:val="0"/>
        <w:adjustRightInd w:val="0"/>
        <w:ind w:firstLine="360"/>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125009, г. Москва, Большой Кисловский переулок, дом 13.</w:t>
      </w:r>
    </w:p>
    <w:p w14:paraId="04FCC2E7" w14:textId="77777777" w:rsidR="00DF5FDC" w:rsidRPr="00DF5FDC" w:rsidRDefault="00DF5FDC" w:rsidP="00DF5FDC">
      <w:pPr>
        <w:widowControl w:val="0"/>
        <w:overflowPunct w:val="0"/>
        <w:autoSpaceDE w:val="0"/>
        <w:autoSpaceDN w:val="0"/>
        <w:adjustRightInd w:val="0"/>
        <w:jc w:val="both"/>
        <w:textAlignment w:val="baseline"/>
        <w:rPr>
          <w:rFonts w:ascii="Times New Roman" w:eastAsia="Times New Roman" w:hAnsi="Times New Roman" w:cs="Arial"/>
          <w:sz w:val="24"/>
          <w:szCs w:val="28"/>
          <w:lang w:eastAsia="ru-RU"/>
        </w:rPr>
      </w:pPr>
    </w:p>
    <w:p w14:paraId="6FCDD1E9" w14:textId="77777777" w:rsidR="00DF5FDC" w:rsidRPr="00DF5FDC" w:rsidRDefault="00DF5FDC" w:rsidP="00DF5FDC">
      <w:pPr>
        <w:widowControl w:val="0"/>
        <w:tabs>
          <w:tab w:val="left" w:pos="567"/>
          <w:tab w:val="num" w:pos="720"/>
        </w:tabs>
        <w:overflowPunct w:val="0"/>
        <w:autoSpaceDE w:val="0"/>
        <w:autoSpaceDN w:val="0"/>
        <w:adjustRightInd w:val="0"/>
        <w:spacing w:before="60" w:after="60"/>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ab/>
        <w:t>В отчетном периоде функционировали следующие внутренние структурные подразделения:</w:t>
      </w:r>
    </w:p>
    <w:p w14:paraId="45FAC81D" w14:textId="77777777" w:rsidR="00DF5FDC" w:rsidRPr="00DF5FDC" w:rsidRDefault="00DF5FDC" w:rsidP="00DF5FDC">
      <w:pPr>
        <w:widowControl w:val="0"/>
        <w:numPr>
          <w:ilvl w:val="0"/>
          <w:numId w:val="19"/>
        </w:numPr>
        <w:overflowPunct w:val="0"/>
        <w:autoSpaceDE w:val="0"/>
        <w:autoSpaceDN w:val="0"/>
        <w:adjustRightInd w:val="0"/>
        <w:spacing w:before="60" w:after="60"/>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Дополнительный офис «Средний Кисловский» НКО НКЦ (АО), расположенный по адресу: г. Москва, Средний Кисловский переулок, дом 1/13, строение 8;</w:t>
      </w:r>
    </w:p>
    <w:p w14:paraId="40DBCCBD" w14:textId="77777777" w:rsidR="00DF5FDC" w:rsidRPr="00DF5FDC" w:rsidRDefault="00DF5FDC" w:rsidP="00DF5FDC">
      <w:pPr>
        <w:widowControl w:val="0"/>
        <w:numPr>
          <w:ilvl w:val="0"/>
          <w:numId w:val="19"/>
        </w:numPr>
        <w:overflowPunct w:val="0"/>
        <w:autoSpaceDE w:val="0"/>
        <w:autoSpaceDN w:val="0"/>
        <w:adjustRightInd w:val="0"/>
        <w:spacing w:before="60" w:after="60"/>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Дополнительный офис «Спартаковский» НКО НКЦ (АО), расположенный по адресу: г. Москва, ул. Спартаковская, дом 12.</w:t>
      </w:r>
    </w:p>
    <w:p w14:paraId="4B4A3E15" w14:textId="77777777" w:rsidR="00DF5FDC" w:rsidRPr="00DF5FDC" w:rsidRDefault="00DF5FDC" w:rsidP="00DF5FDC">
      <w:pPr>
        <w:widowControl w:val="0"/>
        <w:overflowPunct w:val="0"/>
        <w:autoSpaceDE w:val="0"/>
        <w:autoSpaceDN w:val="0"/>
        <w:adjustRightInd w:val="0"/>
        <w:ind w:firstLine="360"/>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ab/>
      </w:r>
    </w:p>
    <w:p w14:paraId="7A3C9A25" w14:textId="77777777" w:rsidR="00DF5FDC" w:rsidRPr="00DF5FDC" w:rsidRDefault="00DF5FDC" w:rsidP="00DF5FDC">
      <w:pPr>
        <w:widowControl w:val="0"/>
        <w:overflowPunct w:val="0"/>
        <w:autoSpaceDE w:val="0"/>
        <w:autoSpaceDN w:val="0"/>
        <w:adjustRightInd w:val="0"/>
        <w:spacing w:after="120"/>
        <w:jc w:val="both"/>
        <w:textAlignment w:val="baseline"/>
        <w:rPr>
          <w:rFonts w:ascii="Times New Roman" w:eastAsia="Times New Roman" w:hAnsi="Times New Roman" w:cs="Arial"/>
          <w:b/>
          <w:sz w:val="24"/>
          <w:szCs w:val="28"/>
          <w:lang w:eastAsia="ru-RU"/>
        </w:rPr>
      </w:pPr>
      <w:r w:rsidRPr="00DF5FDC">
        <w:rPr>
          <w:rFonts w:ascii="Times New Roman" w:eastAsia="Times New Roman" w:hAnsi="Times New Roman" w:cs="Arial"/>
          <w:b/>
          <w:i/>
          <w:sz w:val="24"/>
          <w:szCs w:val="28"/>
          <w:lang w:eastAsia="ru-RU"/>
        </w:rPr>
        <w:t>Органы управления</w:t>
      </w:r>
      <w:r w:rsidRPr="00DF5FDC">
        <w:rPr>
          <w:rFonts w:ascii="Times New Roman" w:eastAsia="Times New Roman" w:hAnsi="Times New Roman" w:cs="Arial"/>
          <w:b/>
          <w:sz w:val="24"/>
          <w:szCs w:val="28"/>
          <w:lang w:eastAsia="ru-RU"/>
        </w:rPr>
        <w:t>.</w:t>
      </w:r>
    </w:p>
    <w:p w14:paraId="01F27A93" w14:textId="77777777" w:rsidR="00DF5FDC" w:rsidRPr="00DF5FDC" w:rsidRDefault="00DF5FDC" w:rsidP="00DF5FDC">
      <w:pPr>
        <w:widowControl w:val="0"/>
        <w:overflowPunct w:val="0"/>
        <w:autoSpaceDE w:val="0"/>
        <w:autoSpaceDN w:val="0"/>
        <w:adjustRightInd w:val="0"/>
        <w:spacing w:after="120"/>
        <w:ind w:firstLine="357"/>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В соответствии с Уставом органами управления НКЦ являются:</w:t>
      </w:r>
    </w:p>
    <w:p w14:paraId="4E551A11" w14:textId="77777777" w:rsidR="00DF5FDC" w:rsidRPr="00DF5FDC" w:rsidRDefault="00DF5FDC" w:rsidP="00DF5FDC">
      <w:pPr>
        <w:widowControl w:val="0"/>
        <w:numPr>
          <w:ilvl w:val="0"/>
          <w:numId w:val="18"/>
        </w:numPr>
        <w:overflowPunct w:val="0"/>
        <w:autoSpaceDE w:val="0"/>
        <w:autoSpaceDN w:val="0"/>
        <w:adjustRightInd w:val="0"/>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Общее собрание акционеров - высший орган управления;</w:t>
      </w:r>
    </w:p>
    <w:p w14:paraId="31D5CEA7" w14:textId="77777777" w:rsidR="00DF5FDC" w:rsidRPr="00DF5FDC" w:rsidRDefault="00DF5FDC" w:rsidP="00DF5FDC">
      <w:pPr>
        <w:widowControl w:val="0"/>
        <w:numPr>
          <w:ilvl w:val="0"/>
          <w:numId w:val="18"/>
        </w:numPr>
        <w:overflowPunct w:val="0"/>
        <w:autoSpaceDE w:val="0"/>
        <w:autoSpaceDN w:val="0"/>
        <w:adjustRightInd w:val="0"/>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Наблюдательный совет - орган управления, осуществляющий общее руководство деятельностью НКЦ; члены Наблюдательного совета избираются Общим собранием акционеров на срок до следующего годового Общего собрания акционеров;</w:t>
      </w:r>
    </w:p>
    <w:p w14:paraId="7265AA4A" w14:textId="77777777" w:rsidR="00DF5FDC" w:rsidRPr="00DF5FDC" w:rsidRDefault="00DF5FDC" w:rsidP="00DF5FDC">
      <w:pPr>
        <w:widowControl w:val="0"/>
        <w:numPr>
          <w:ilvl w:val="0"/>
          <w:numId w:val="18"/>
        </w:numPr>
        <w:overflowPunct w:val="0"/>
        <w:autoSpaceDE w:val="0"/>
        <w:autoSpaceDN w:val="0"/>
        <w:adjustRightInd w:val="0"/>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Правление (коллегиальный исполнительный орган) - орган управления, осуществляющий руководство текущей деятельностью НКЦ; члены Правления избираются Наблюдательным советом; срок полномочий каждого члена Правления определяется решением Наблюдательного совета, но не может превышать пяти лет;</w:t>
      </w:r>
    </w:p>
    <w:p w14:paraId="4142DFFB" w14:textId="77777777" w:rsidR="00DF5FDC" w:rsidRPr="00DF5FDC" w:rsidRDefault="00DF5FDC" w:rsidP="00DF5FDC">
      <w:pPr>
        <w:widowControl w:val="0"/>
        <w:numPr>
          <w:ilvl w:val="0"/>
          <w:numId w:val="18"/>
        </w:numPr>
        <w:overflowPunct w:val="0"/>
        <w:autoSpaceDE w:val="0"/>
        <w:autoSpaceDN w:val="0"/>
        <w:adjustRightInd w:val="0"/>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 xml:space="preserve">Председатель Правления (единоличный исполнительный орган) - орган управления, осуществляющий руководство текущей деятельностью НКЦ, избирается Наблюдательным советом на срок, определяемый Наблюдательным советом, который не может превышать пяти лет. </w:t>
      </w:r>
    </w:p>
    <w:p w14:paraId="3D9766D7" w14:textId="77777777" w:rsidR="00DF5FDC" w:rsidRPr="00DF5FDC" w:rsidRDefault="00DF5FDC" w:rsidP="00DF5FDC">
      <w:pPr>
        <w:widowControl w:val="0"/>
        <w:overflowPunct w:val="0"/>
        <w:autoSpaceDE w:val="0"/>
        <w:autoSpaceDN w:val="0"/>
        <w:adjustRightInd w:val="0"/>
        <w:ind w:firstLine="660"/>
        <w:jc w:val="both"/>
        <w:textAlignment w:val="baseline"/>
        <w:rPr>
          <w:rFonts w:ascii="Times New Roman" w:eastAsia="Times New Roman" w:hAnsi="Times New Roman"/>
          <w:sz w:val="24"/>
          <w:szCs w:val="28"/>
          <w:lang w:eastAsia="ru-RU"/>
        </w:rPr>
      </w:pPr>
    </w:p>
    <w:p w14:paraId="74512AF5" w14:textId="77777777" w:rsidR="00DF5FDC" w:rsidRPr="00DF5FDC" w:rsidRDefault="00DF5FDC" w:rsidP="00DF5FDC">
      <w:pPr>
        <w:widowControl w:val="0"/>
        <w:overflowPunct w:val="0"/>
        <w:autoSpaceDE w:val="0"/>
        <w:autoSpaceDN w:val="0"/>
        <w:adjustRightInd w:val="0"/>
        <w:ind w:firstLine="567"/>
        <w:jc w:val="both"/>
        <w:textAlignment w:val="baseline"/>
        <w:rPr>
          <w:rFonts w:ascii="Times New Roman" w:eastAsia="Times New Roman" w:hAnsi="Times New Roman" w:cs="Arial"/>
          <w:sz w:val="24"/>
          <w:szCs w:val="28"/>
          <w:lang w:eastAsia="ru-RU"/>
        </w:rPr>
      </w:pPr>
      <w:r w:rsidRPr="00DF5FDC">
        <w:rPr>
          <w:rFonts w:ascii="Times New Roman" w:eastAsia="Times New Roman" w:hAnsi="Times New Roman" w:cs="Arial"/>
          <w:sz w:val="24"/>
          <w:szCs w:val="28"/>
          <w:lang w:eastAsia="ru-RU"/>
        </w:rPr>
        <w:t>Независимой аудиторской организацией НКО НКЦ (АО) на 2017 год решением единственного акционера от 23.06.2017 № 36 утверждено ЗАО «Делойт и Туш СНГ».</w:t>
      </w:r>
    </w:p>
    <w:p w14:paraId="68E9E593" w14:textId="77777777" w:rsidR="00DF5FDC" w:rsidRPr="00DF5FDC" w:rsidRDefault="00DF5FDC" w:rsidP="00DF5FDC">
      <w:pPr>
        <w:jc w:val="both"/>
        <w:rPr>
          <w:rFonts w:ascii="Times New Roman" w:eastAsia="Times New Roman" w:hAnsi="Times New Roman"/>
          <w:color w:val="000000"/>
          <w:sz w:val="24"/>
          <w:szCs w:val="24"/>
          <w:lang w:eastAsia="ru-RU"/>
        </w:rPr>
      </w:pPr>
    </w:p>
    <w:p w14:paraId="701919E2" w14:textId="011B4281" w:rsidR="00DF5FDC" w:rsidRPr="007A0F11" w:rsidRDefault="00DF5FDC" w:rsidP="00DF5FDC">
      <w:pPr>
        <w:numPr>
          <w:ilvl w:val="12"/>
          <w:numId w:val="0"/>
        </w:numPr>
        <w:tabs>
          <w:tab w:val="left" w:pos="9639"/>
        </w:tabs>
        <w:overflowPunct w:val="0"/>
        <w:autoSpaceDE w:val="0"/>
        <w:autoSpaceDN w:val="0"/>
        <w:adjustRightInd w:val="0"/>
        <w:ind w:firstLine="360"/>
        <w:jc w:val="center"/>
        <w:textAlignment w:val="baseline"/>
        <w:outlineLvl w:val="0"/>
        <w:rPr>
          <w:rFonts w:ascii="Times New Roman" w:eastAsia="Times New Roman" w:hAnsi="Times New Roman"/>
          <w:b/>
          <w:bCs/>
          <w:sz w:val="32"/>
          <w:szCs w:val="32"/>
          <w:lang w:eastAsia="ru-RU"/>
        </w:rPr>
      </w:pPr>
      <w:bookmarkStart w:id="2" w:name="_Toc510776651"/>
      <w:r w:rsidRPr="007A0F11">
        <w:rPr>
          <w:rFonts w:ascii="Times New Roman" w:eastAsia="Times New Roman" w:hAnsi="Times New Roman"/>
          <w:b/>
          <w:bCs/>
          <w:sz w:val="32"/>
          <w:szCs w:val="32"/>
          <w:lang w:eastAsia="ru-RU"/>
        </w:rPr>
        <w:t>2. Уставный капитал и состав акционеров</w:t>
      </w:r>
      <w:bookmarkEnd w:id="2"/>
      <w:r w:rsidR="00354E0E" w:rsidRPr="007A0F11">
        <w:rPr>
          <w:rFonts w:ascii="Times New Roman" w:eastAsia="Times New Roman" w:hAnsi="Times New Roman"/>
          <w:b/>
          <w:bCs/>
          <w:sz w:val="32"/>
          <w:szCs w:val="32"/>
          <w:lang w:eastAsia="ru-RU"/>
        </w:rPr>
        <w:t xml:space="preserve"> </w:t>
      </w:r>
    </w:p>
    <w:p w14:paraId="0E02D902" w14:textId="77777777" w:rsidR="00DF5FDC" w:rsidRPr="00DF5FDC" w:rsidRDefault="00DF5FDC" w:rsidP="00DF5FDC">
      <w:pPr>
        <w:numPr>
          <w:ilvl w:val="12"/>
          <w:numId w:val="0"/>
        </w:numPr>
        <w:tabs>
          <w:tab w:val="left" w:pos="9639"/>
        </w:tabs>
        <w:overflowPunct w:val="0"/>
        <w:autoSpaceDE w:val="0"/>
        <w:autoSpaceDN w:val="0"/>
        <w:adjustRightInd w:val="0"/>
        <w:ind w:firstLine="360"/>
        <w:jc w:val="both"/>
        <w:textAlignment w:val="baseline"/>
        <w:rPr>
          <w:rFonts w:ascii="Times New Roman" w:eastAsia="Times New Roman" w:hAnsi="Times New Roman"/>
          <w:b/>
          <w:bCs/>
          <w:sz w:val="28"/>
          <w:szCs w:val="28"/>
          <w:lang w:eastAsia="ru-RU"/>
        </w:rPr>
      </w:pPr>
    </w:p>
    <w:p w14:paraId="1E4BD667" w14:textId="77777777" w:rsidR="00DF5FDC" w:rsidRPr="00DF5FDC" w:rsidRDefault="00DF5FDC" w:rsidP="00DF5FDC">
      <w:pPr>
        <w:numPr>
          <w:ilvl w:val="12"/>
          <w:numId w:val="0"/>
        </w:numPr>
        <w:tabs>
          <w:tab w:val="left" w:pos="9639"/>
        </w:tabs>
        <w:overflowPunct w:val="0"/>
        <w:autoSpaceDE w:val="0"/>
        <w:autoSpaceDN w:val="0"/>
        <w:adjustRightInd w:val="0"/>
        <w:ind w:firstLine="567"/>
        <w:jc w:val="both"/>
        <w:textAlignment w:val="baseline"/>
        <w:rPr>
          <w:rFonts w:ascii="Times New Roman" w:eastAsia="Times New Roman" w:hAnsi="Times New Roman"/>
          <w:sz w:val="24"/>
          <w:szCs w:val="24"/>
          <w:lang w:eastAsia="ru-RU"/>
        </w:rPr>
      </w:pPr>
      <w:r w:rsidRPr="00DF5FDC">
        <w:rPr>
          <w:rFonts w:ascii="Times New Roman" w:eastAsia="Times New Roman" w:hAnsi="Times New Roman"/>
          <w:bCs/>
          <w:sz w:val="24"/>
          <w:szCs w:val="24"/>
          <w:lang w:eastAsia="ru-RU"/>
        </w:rPr>
        <w:t xml:space="preserve">При создании </w:t>
      </w:r>
      <w:r w:rsidRPr="00DF5FDC">
        <w:rPr>
          <w:rFonts w:ascii="Times New Roman" w:eastAsia="Times New Roman" w:hAnsi="Times New Roman"/>
          <w:sz w:val="24"/>
          <w:szCs w:val="24"/>
          <w:lang w:eastAsia="ru-RU"/>
        </w:rPr>
        <w:t xml:space="preserve">Общества </w:t>
      </w:r>
      <w:r w:rsidRPr="00DF5FDC">
        <w:rPr>
          <w:rFonts w:ascii="Times New Roman" w:eastAsia="Times New Roman" w:hAnsi="Times New Roman"/>
          <w:bCs/>
          <w:sz w:val="24"/>
          <w:szCs w:val="24"/>
          <w:lang w:eastAsia="ru-RU"/>
        </w:rPr>
        <w:t>Общее собрание учредителей</w:t>
      </w:r>
      <w:r w:rsidRPr="00DF5FDC">
        <w:rPr>
          <w:rFonts w:ascii="Times New Roman" w:eastAsia="Times New Roman" w:hAnsi="Times New Roman"/>
          <w:sz w:val="24"/>
          <w:szCs w:val="24"/>
          <w:lang w:eastAsia="ru-RU"/>
        </w:rPr>
        <w:t xml:space="preserve"> утвердило уставный капитал Общества в размере 235 000 000 рублей, разделенный на 235 000 обыкновенных именных акций номинальной стоимостью 1 000 рублей каждая. </w:t>
      </w:r>
    </w:p>
    <w:p w14:paraId="58AAF95C" w14:textId="77777777" w:rsidR="0080787B" w:rsidRDefault="0080787B" w:rsidP="00DF5FDC">
      <w:pPr>
        <w:widowControl w:val="0"/>
        <w:overflowPunct w:val="0"/>
        <w:autoSpaceDE w:val="0"/>
        <w:autoSpaceDN w:val="0"/>
        <w:adjustRightInd w:val="0"/>
        <w:ind w:firstLine="567"/>
        <w:jc w:val="both"/>
        <w:textAlignment w:val="baseline"/>
        <w:rPr>
          <w:rFonts w:ascii="Times New Roman" w:eastAsia="Times New Roman" w:hAnsi="Times New Roman"/>
          <w:sz w:val="24"/>
          <w:szCs w:val="24"/>
          <w:lang w:eastAsia="ru-RU"/>
        </w:rPr>
      </w:pPr>
    </w:p>
    <w:p w14:paraId="5E6CFB7E" w14:textId="56942866" w:rsidR="00DF5FDC" w:rsidRDefault="00DF5FDC" w:rsidP="00DF5FDC">
      <w:pPr>
        <w:widowControl w:val="0"/>
        <w:overflowPunct w:val="0"/>
        <w:autoSpaceDE w:val="0"/>
        <w:autoSpaceDN w:val="0"/>
        <w:adjustRightInd w:val="0"/>
        <w:ind w:firstLine="567"/>
        <w:jc w:val="both"/>
        <w:textAlignment w:val="baseline"/>
        <w:rPr>
          <w:rFonts w:ascii="Times New Roman" w:eastAsia="Times New Roman" w:hAnsi="Times New Roman"/>
          <w:sz w:val="24"/>
          <w:szCs w:val="24"/>
          <w:lang w:eastAsia="ru-RU"/>
        </w:rPr>
      </w:pPr>
      <w:r w:rsidRPr="00DF5FDC">
        <w:rPr>
          <w:rFonts w:ascii="Times New Roman" w:eastAsia="Times New Roman" w:hAnsi="Times New Roman"/>
          <w:sz w:val="24"/>
          <w:szCs w:val="24"/>
          <w:lang w:eastAsia="ru-RU"/>
        </w:rPr>
        <w:t xml:space="preserve">В течение 2006-2013 годов уставный капитал НКЦ был увеличен с 235 000 000 рублей до 15 170 000 000 рублей путем размещения дополнительных обыкновенных именных бездокументарных акций НКЦ, а также в 2014 году, в связи </w:t>
      </w:r>
      <w:r w:rsidRPr="00DF5FDC">
        <w:rPr>
          <w:rFonts w:ascii="Times New Roman" w:eastAsia="Times New Roman" w:hAnsi="Times New Roman"/>
          <w:sz w:val="24"/>
          <w:szCs w:val="24"/>
          <w:lang w:eastAsia="ru-RU"/>
        </w:rPr>
        <w:lastRenderedPageBreak/>
        <w:t xml:space="preserve">с реорганизацией НКЦ в форме присоединения, произошло увеличение уставного капитала НКЦ </w:t>
      </w:r>
      <w:r w:rsidRPr="00DF5FDC">
        <w:rPr>
          <w:rFonts w:ascii="Times New Roman" w:eastAsia="Times New Roman" w:hAnsi="Times New Roman"/>
          <w:bCs/>
          <w:sz w:val="24"/>
          <w:szCs w:val="24"/>
          <w:lang w:eastAsia="ru-RU"/>
        </w:rPr>
        <w:t>путем размещения двух дополнительных выпусков обыкновенных именных бездокументарных акций НКЦ общим количеством 1 500 000 штук (в пределах количества объявленных акций) посредством конвертации в них акций присоединенных НКО «Расчетная палата РТС» (ЗАО) и ЗАО «КЦ РТС»</w:t>
      </w:r>
      <w:r w:rsidRPr="00DF5FDC">
        <w:rPr>
          <w:rFonts w:ascii="Times New Roman" w:eastAsia="Times New Roman" w:hAnsi="Times New Roman"/>
          <w:sz w:val="24"/>
          <w:szCs w:val="24"/>
          <w:lang w:eastAsia="ru-RU"/>
        </w:rPr>
        <w:t>.</w:t>
      </w:r>
    </w:p>
    <w:p w14:paraId="0CDEC738" w14:textId="77777777" w:rsidR="00447135" w:rsidRPr="00457435" w:rsidRDefault="00447135" w:rsidP="00DF5FDC">
      <w:pPr>
        <w:widowControl w:val="0"/>
        <w:overflowPunct w:val="0"/>
        <w:autoSpaceDE w:val="0"/>
        <w:autoSpaceDN w:val="0"/>
        <w:adjustRightInd w:val="0"/>
        <w:ind w:firstLine="567"/>
        <w:jc w:val="both"/>
        <w:textAlignment w:val="baseline"/>
        <w:rPr>
          <w:rFonts w:ascii="Times New Roman" w:eastAsia="Times New Roman" w:hAnsi="Times New Roman"/>
          <w:sz w:val="24"/>
          <w:szCs w:val="24"/>
          <w:lang w:eastAsia="ru-RU"/>
        </w:rPr>
      </w:pPr>
    </w:p>
    <w:p w14:paraId="15F8F4F5" w14:textId="77777777" w:rsidR="00DF5FDC" w:rsidRPr="00DF5FDC" w:rsidRDefault="00DF5FDC" w:rsidP="00DF5FDC">
      <w:pPr>
        <w:widowControl w:val="0"/>
        <w:overflowPunct w:val="0"/>
        <w:autoSpaceDE w:val="0"/>
        <w:autoSpaceDN w:val="0"/>
        <w:adjustRightInd w:val="0"/>
        <w:ind w:firstLine="567"/>
        <w:jc w:val="both"/>
        <w:textAlignment w:val="baseline"/>
        <w:rPr>
          <w:rFonts w:ascii="Times New Roman" w:eastAsia="Times New Roman" w:hAnsi="Times New Roman"/>
          <w:bCs/>
          <w:sz w:val="24"/>
          <w:szCs w:val="24"/>
          <w:lang w:eastAsia="ru-RU"/>
        </w:rPr>
      </w:pPr>
      <w:r w:rsidRPr="00DF5FDC">
        <w:rPr>
          <w:rFonts w:ascii="Times New Roman" w:eastAsia="Times New Roman" w:hAnsi="Times New Roman"/>
          <w:bCs/>
          <w:sz w:val="24"/>
          <w:szCs w:val="24"/>
          <w:lang w:eastAsia="ru-RU"/>
        </w:rPr>
        <w:t>По состоянию на конец отчетного периода уставный капитал Общества составляет 16 670 000 000 рублей, разделенный на 16 670 000 обыкновенных именных бездокументарных акций номинальной стоимостью 1 000 рублей каждая.</w:t>
      </w:r>
    </w:p>
    <w:p w14:paraId="6992C00D" w14:textId="77777777" w:rsidR="00DF5FDC" w:rsidRPr="00DF5FDC" w:rsidRDefault="00DF5FDC" w:rsidP="00DF5FDC">
      <w:pPr>
        <w:widowControl w:val="0"/>
        <w:overflowPunct w:val="0"/>
        <w:autoSpaceDE w:val="0"/>
        <w:autoSpaceDN w:val="0"/>
        <w:adjustRightInd w:val="0"/>
        <w:spacing w:after="120"/>
        <w:ind w:firstLine="567"/>
        <w:jc w:val="both"/>
        <w:textAlignment w:val="baseline"/>
        <w:rPr>
          <w:rFonts w:ascii="Times New Roman" w:eastAsia="Times New Roman" w:hAnsi="Times New Roman"/>
          <w:b/>
          <w:i/>
          <w:sz w:val="24"/>
          <w:szCs w:val="24"/>
          <w:lang w:eastAsia="ru-RU"/>
        </w:rPr>
      </w:pPr>
    </w:p>
    <w:p w14:paraId="3DDEB4A6" w14:textId="77777777" w:rsidR="00DF5FDC" w:rsidRPr="00DF5FDC" w:rsidRDefault="00DF5FDC" w:rsidP="00DF5FDC">
      <w:pPr>
        <w:widowControl w:val="0"/>
        <w:overflowPunct w:val="0"/>
        <w:autoSpaceDE w:val="0"/>
        <w:autoSpaceDN w:val="0"/>
        <w:adjustRightInd w:val="0"/>
        <w:spacing w:after="120"/>
        <w:ind w:firstLine="567"/>
        <w:jc w:val="both"/>
        <w:textAlignment w:val="baseline"/>
        <w:rPr>
          <w:rFonts w:ascii="Times New Roman" w:eastAsia="Times New Roman" w:hAnsi="Times New Roman"/>
          <w:b/>
          <w:i/>
          <w:sz w:val="24"/>
          <w:szCs w:val="24"/>
          <w:lang w:eastAsia="ru-RU"/>
        </w:rPr>
      </w:pPr>
      <w:r w:rsidRPr="00DF5FDC">
        <w:rPr>
          <w:rFonts w:ascii="Times New Roman" w:eastAsia="Times New Roman" w:hAnsi="Times New Roman"/>
          <w:b/>
          <w:i/>
          <w:sz w:val="24"/>
          <w:szCs w:val="24"/>
          <w:lang w:eastAsia="ru-RU"/>
        </w:rPr>
        <w:t xml:space="preserve">Состав акционеров. </w:t>
      </w:r>
    </w:p>
    <w:p w14:paraId="23C51CCC" w14:textId="77777777" w:rsidR="00DF5FDC" w:rsidRPr="00DF5FDC" w:rsidRDefault="00DF5FDC" w:rsidP="00DF5FDC">
      <w:pPr>
        <w:widowControl w:val="0"/>
        <w:overflowPunct w:val="0"/>
        <w:autoSpaceDE w:val="0"/>
        <w:autoSpaceDN w:val="0"/>
        <w:adjustRightInd w:val="0"/>
        <w:spacing w:after="120"/>
        <w:ind w:firstLine="567"/>
        <w:jc w:val="both"/>
        <w:textAlignment w:val="baseline"/>
        <w:rPr>
          <w:rFonts w:ascii="Times New Roman" w:eastAsia="Times New Roman" w:hAnsi="Times New Roman"/>
          <w:sz w:val="24"/>
          <w:szCs w:val="24"/>
          <w:lang w:eastAsia="ru-RU"/>
        </w:rPr>
      </w:pPr>
      <w:r w:rsidRPr="00DF5FDC">
        <w:rPr>
          <w:rFonts w:ascii="Times New Roman" w:eastAsia="Times New Roman" w:hAnsi="Times New Roman"/>
          <w:sz w:val="24"/>
          <w:szCs w:val="24"/>
          <w:lang w:eastAsia="ru-RU"/>
        </w:rPr>
        <w:t>По состоянию на 31 декабря 2017 года в реестре акционеров НКО НКЦ (АО) зарегистрирован один акционер – Публичное акционерное общество «Московская Биржа ММВБ-РТС».</w:t>
      </w:r>
    </w:p>
    <w:p w14:paraId="5BEE8571" w14:textId="77777777" w:rsidR="00DF5FDC" w:rsidRDefault="00DF5FDC" w:rsidP="00DF5FDC">
      <w:pPr>
        <w:widowControl w:val="0"/>
        <w:overflowPunct w:val="0"/>
        <w:autoSpaceDE w:val="0"/>
        <w:autoSpaceDN w:val="0"/>
        <w:adjustRightInd w:val="0"/>
        <w:ind w:firstLine="567"/>
        <w:jc w:val="both"/>
        <w:textAlignment w:val="baseline"/>
        <w:rPr>
          <w:rFonts w:ascii="Times New Roman" w:eastAsia="Times New Roman" w:hAnsi="Times New Roman"/>
          <w:sz w:val="24"/>
          <w:szCs w:val="24"/>
          <w:lang w:eastAsia="ru-RU"/>
        </w:rPr>
      </w:pPr>
      <w:r w:rsidRPr="00DF5FDC">
        <w:rPr>
          <w:rFonts w:ascii="Times New Roman" w:eastAsia="Times New Roman" w:hAnsi="Times New Roman"/>
          <w:sz w:val="24"/>
          <w:szCs w:val="24"/>
          <w:lang w:eastAsia="ru-RU"/>
        </w:rPr>
        <w:t>В течение отчетного периода ведение Реестра акционеров НКЦ осуществлял Регистратор - Акционерное общество «Регистраторское общество «СТАТУС».</w:t>
      </w:r>
    </w:p>
    <w:p w14:paraId="688216E4" w14:textId="77777777" w:rsidR="00805127" w:rsidRDefault="00805127" w:rsidP="00DF5FDC">
      <w:pPr>
        <w:widowControl w:val="0"/>
        <w:overflowPunct w:val="0"/>
        <w:autoSpaceDE w:val="0"/>
        <w:autoSpaceDN w:val="0"/>
        <w:adjustRightInd w:val="0"/>
        <w:ind w:firstLine="567"/>
        <w:jc w:val="both"/>
        <w:textAlignment w:val="baseline"/>
        <w:rPr>
          <w:rFonts w:ascii="Times New Roman" w:eastAsia="Times New Roman" w:hAnsi="Times New Roman"/>
          <w:sz w:val="24"/>
          <w:szCs w:val="24"/>
          <w:lang w:eastAsia="ru-RU"/>
        </w:rPr>
      </w:pPr>
    </w:p>
    <w:p w14:paraId="61B516AC" w14:textId="77777777" w:rsidR="00805127" w:rsidRDefault="00805127" w:rsidP="00DF5FDC">
      <w:pPr>
        <w:widowControl w:val="0"/>
        <w:overflowPunct w:val="0"/>
        <w:autoSpaceDE w:val="0"/>
        <w:autoSpaceDN w:val="0"/>
        <w:adjustRightInd w:val="0"/>
        <w:ind w:firstLine="567"/>
        <w:jc w:val="both"/>
        <w:textAlignment w:val="baseline"/>
        <w:rPr>
          <w:rFonts w:ascii="Times New Roman" w:eastAsia="Times New Roman" w:hAnsi="Times New Roman"/>
          <w:b/>
          <w:sz w:val="28"/>
          <w:szCs w:val="28"/>
          <w:lang w:eastAsia="ru-RU"/>
        </w:rPr>
      </w:pPr>
    </w:p>
    <w:p w14:paraId="7B33A942" w14:textId="77777777" w:rsidR="00805127" w:rsidRPr="007A0F11" w:rsidRDefault="00805127" w:rsidP="00166444">
      <w:pPr>
        <w:widowControl w:val="0"/>
        <w:overflowPunct w:val="0"/>
        <w:autoSpaceDE w:val="0"/>
        <w:autoSpaceDN w:val="0"/>
        <w:adjustRightInd w:val="0"/>
        <w:ind w:firstLine="360"/>
        <w:jc w:val="center"/>
        <w:textAlignment w:val="baseline"/>
        <w:outlineLvl w:val="0"/>
        <w:rPr>
          <w:rFonts w:ascii="Times New Roman" w:eastAsia="Times New Roman" w:hAnsi="Times New Roman" w:cs="Arial"/>
          <w:b/>
          <w:sz w:val="32"/>
          <w:szCs w:val="32"/>
          <w:lang w:eastAsia="ru-RU"/>
        </w:rPr>
      </w:pPr>
      <w:bookmarkStart w:id="3" w:name="_Toc510776652"/>
      <w:r w:rsidRPr="007A0F11">
        <w:rPr>
          <w:rFonts w:ascii="Times New Roman" w:eastAsia="Times New Roman" w:hAnsi="Times New Roman" w:cs="Arial"/>
          <w:b/>
          <w:sz w:val="32"/>
          <w:szCs w:val="32"/>
          <w:lang w:eastAsia="ru-RU"/>
        </w:rPr>
        <w:t>3</w:t>
      </w:r>
      <w:r w:rsidRPr="007A0F11">
        <w:rPr>
          <w:rFonts w:ascii="Times New Roman" w:hAnsi="Times New Roman"/>
          <w:b/>
          <w:sz w:val="32"/>
          <w:szCs w:val="32"/>
        </w:rPr>
        <w:t>. Положение НКО НКЦ (АО) в отрасли</w:t>
      </w:r>
      <w:bookmarkEnd w:id="3"/>
      <w:r w:rsidR="00C64D35" w:rsidRPr="007A0F11">
        <w:rPr>
          <w:rFonts w:ascii="Times New Roman" w:eastAsia="Times New Roman" w:hAnsi="Times New Roman" w:cs="Arial"/>
          <w:b/>
          <w:sz w:val="32"/>
          <w:szCs w:val="32"/>
          <w:lang w:eastAsia="ru-RU"/>
        </w:rPr>
        <w:t xml:space="preserve"> </w:t>
      </w:r>
    </w:p>
    <w:p w14:paraId="07F154F2" w14:textId="77777777" w:rsidR="00805127" w:rsidRDefault="00805127" w:rsidP="00805127">
      <w:pPr>
        <w:widowControl w:val="0"/>
        <w:overflowPunct w:val="0"/>
        <w:autoSpaceDE w:val="0"/>
        <w:autoSpaceDN w:val="0"/>
        <w:adjustRightInd w:val="0"/>
        <w:ind w:firstLine="567"/>
        <w:jc w:val="center"/>
        <w:textAlignment w:val="baseline"/>
        <w:rPr>
          <w:rFonts w:ascii="Times New Roman" w:eastAsia="Times New Roman" w:hAnsi="Times New Roman"/>
          <w:sz w:val="24"/>
          <w:szCs w:val="24"/>
          <w:lang w:eastAsia="ru-RU"/>
        </w:rPr>
      </w:pPr>
    </w:p>
    <w:p w14:paraId="50548714" w14:textId="77777777" w:rsidR="00805127" w:rsidRPr="00805127" w:rsidRDefault="00805127" w:rsidP="00805127">
      <w:pPr>
        <w:spacing w:after="200"/>
        <w:jc w:val="both"/>
        <w:rPr>
          <w:rFonts w:ascii="Times New Roman" w:hAnsi="Times New Roman"/>
          <w:sz w:val="24"/>
          <w:szCs w:val="24"/>
        </w:rPr>
      </w:pPr>
      <w:r w:rsidRPr="00805127">
        <w:rPr>
          <w:rFonts w:ascii="Times New Roman" w:hAnsi="Times New Roman"/>
          <w:sz w:val="24"/>
          <w:szCs w:val="24"/>
        </w:rPr>
        <w:t xml:space="preserve">       В 2017 году НКО НКЦ (АО), руководствуясь утвержденной Стратегией развития и приоритетными целями, сосредоточил основные усилия на реализации проектов и задач, направленных на развитие клиринговых услуг, проведение мероприятий по совершенствованию процессов управления рисками, повышение качества управления ЦК в соответствии с российским законодательством и международными стандартами. </w:t>
      </w:r>
    </w:p>
    <w:p w14:paraId="55CEE8D3" w14:textId="2C97381C" w:rsidR="00805127" w:rsidRPr="00805127" w:rsidRDefault="00805127" w:rsidP="00805127">
      <w:pPr>
        <w:spacing w:after="200"/>
        <w:jc w:val="both"/>
        <w:rPr>
          <w:rFonts w:ascii="Times New Roman" w:hAnsi="Times New Roman"/>
          <w:sz w:val="24"/>
          <w:szCs w:val="24"/>
        </w:rPr>
      </w:pPr>
      <w:r w:rsidRPr="00805127">
        <w:rPr>
          <w:rFonts w:ascii="Times New Roman" w:hAnsi="Times New Roman"/>
          <w:sz w:val="24"/>
          <w:szCs w:val="24"/>
        </w:rPr>
        <w:t xml:space="preserve">     В 2017 году НКЦ осуществлял свою деятельность в условиях сохраняющегося для большинства крупных субъектов российского финансового рынка внешнего санкционного режима, угрозы </w:t>
      </w:r>
      <w:r w:rsidR="001D44FC">
        <w:rPr>
          <w:rFonts w:ascii="Times New Roman" w:hAnsi="Times New Roman"/>
          <w:sz w:val="24"/>
          <w:szCs w:val="24"/>
        </w:rPr>
        <w:t xml:space="preserve">его усиления и связанных с этим </w:t>
      </w:r>
      <w:r w:rsidRPr="00805127">
        <w:rPr>
          <w:rFonts w:ascii="Times New Roman" w:hAnsi="Times New Roman"/>
          <w:sz w:val="24"/>
          <w:szCs w:val="24"/>
        </w:rPr>
        <w:t>фактор</w:t>
      </w:r>
      <w:r w:rsidR="0073461C">
        <w:rPr>
          <w:rFonts w:ascii="Times New Roman" w:hAnsi="Times New Roman"/>
          <w:sz w:val="24"/>
          <w:szCs w:val="24"/>
        </w:rPr>
        <w:t>ов</w:t>
      </w:r>
      <w:r w:rsidRPr="00805127">
        <w:rPr>
          <w:rFonts w:ascii="Times New Roman" w:hAnsi="Times New Roman"/>
          <w:sz w:val="24"/>
          <w:szCs w:val="24"/>
        </w:rPr>
        <w:t xml:space="preserve"> рисков. В этих обстоятельствах НКЦ продолжил уделять внимание коммуникациям с банками-контрагентами при осуществлении ими комплаенс-процедур при совершении операций; пров</w:t>
      </w:r>
      <w:r w:rsidR="001D44FC">
        <w:rPr>
          <w:rFonts w:ascii="Times New Roman" w:hAnsi="Times New Roman"/>
          <w:sz w:val="24"/>
          <w:szCs w:val="24"/>
        </w:rPr>
        <w:t xml:space="preserve">ел </w:t>
      </w:r>
      <w:r w:rsidRPr="00805127">
        <w:rPr>
          <w:rFonts w:ascii="Times New Roman" w:hAnsi="Times New Roman"/>
          <w:sz w:val="24"/>
          <w:szCs w:val="24"/>
        </w:rPr>
        <w:t>тестирование альтернативных каналов связи,</w:t>
      </w:r>
      <w:r w:rsidR="001D44FC">
        <w:rPr>
          <w:rFonts w:ascii="Times New Roman" w:hAnsi="Times New Roman"/>
          <w:sz w:val="24"/>
          <w:szCs w:val="24"/>
        </w:rPr>
        <w:t xml:space="preserve"> предусмотрел </w:t>
      </w:r>
      <w:r w:rsidRPr="00805127">
        <w:rPr>
          <w:rFonts w:ascii="Times New Roman" w:hAnsi="Times New Roman"/>
          <w:sz w:val="24"/>
          <w:szCs w:val="24"/>
        </w:rPr>
        <w:t>управление данным риском в специфическом стрессовом сценарии в плане восстановления финансовой устойчивости. Наряду с этим сохранялась тенденция сокращения числа клиентов НКЦ из числа кредитных организаций как в связи с отзывом Банком России лицензий, так и в рамках процессов консолидации банковского сектора РФ. В связи с прекращением деятельности ряда кредитных организаций – участников клиринга, НКЦ приходилось прибегать к процедурам ликвидационного неттинга с целью безусловного выполнения обязательств центрального контрагента.</w:t>
      </w:r>
    </w:p>
    <w:p w14:paraId="7DC6C954" w14:textId="77777777" w:rsidR="00805127" w:rsidRDefault="00805127" w:rsidP="00805127">
      <w:pPr>
        <w:spacing w:after="200"/>
        <w:jc w:val="both"/>
        <w:rPr>
          <w:rFonts w:ascii="Times New Roman" w:hAnsi="Times New Roman"/>
          <w:sz w:val="24"/>
          <w:szCs w:val="24"/>
        </w:rPr>
      </w:pPr>
      <w:r w:rsidRPr="00805127">
        <w:rPr>
          <w:rFonts w:ascii="Times New Roman" w:hAnsi="Times New Roman"/>
          <w:sz w:val="24"/>
          <w:szCs w:val="24"/>
        </w:rPr>
        <w:t xml:space="preserve">    Также среди явных тенденций 2017 года можно отметить смещение акцентов при формировании обеспечения участниками рынка в пользу государственных и корпоративных облигаций, а также денежных средств в евро. Вызванное тем самым снижение доли долларовой и рублевой частей пассивов потребовало внесений изменений в структуру активов НКЦ в разрезе финансовых инструментов и валют.</w:t>
      </w:r>
      <w:r w:rsidR="00D00555">
        <w:rPr>
          <w:rFonts w:ascii="Times New Roman" w:hAnsi="Times New Roman"/>
          <w:sz w:val="24"/>
          <w:szCs w:val="24"/>
        </w:rPr>
        <w:t xml:space="preserve"> </w:t>
      </w:r>
    </w:p>
    <w:p w14:paraId="4E26A42F" w14:textId="77777777" w:rsidR="00D00555" w:rsidRPr="00805127" w:rsidRDefault="00D00555" w:rsidP="00D00555">
      <w:pPr>
        <w:spacing w:after="200"/>
        <w:jc w:val="both"/>
        <w:rPr>
          <w:rFonts w:ascii="Times New Roman" w:hAnsi="Times New Roman"/>
          <w:sz w:val="24"/>
          <w:szCs w:val="24"/>
        </w:rPr>
      </w:pPr>
      <w:r w:rsidRPr="00805127">
        <w:rPr>
          <w:rFonts w:ascii="Times New Roman" w:hAnsi="Times New Roman"/>
          <w:sz w:val="24"/>
          <w:szCs w:val="24"/>
        </w:rPr>
        <w:lastRenderedPageBreak/>
        <w:t xml:space="preserve">    Знаковым для деятельности в 2017 году явилось присвоение НКЦ</w:t>
      </w:r>
      <w:r w:rsidRPr="00805127">
        <w:rPr>
          <w:rFonts w:ascii="Times New Roman" w:eastAsia="Times New Roman" w:hAnsi="Times New Roman"/>
          <w:sz w:val="24"/>
          <w:szCs w:val="24"/>
          <w:lang w:eastAsia="ru-RU"/>
        </w:rPr>
        <w:t xml:space="preserve"> статуса небанковской кредитной организации - центрального контрагента. Получение этого статуса явилось практическим шагом по реализации законодательной реформы регулирования деятельности центральных контрагентов, в соответствии с Федеральным законом «О внесении изменений в отдельные законодательные акты Российской Федерации» от 29.12.2015 № 403-Ф</w:t>
      </w:r>
      <w:r w:rsidR="001D44FC">
        <w:rPr>
          <w:rFonts w:ascii="Times New Roman" w:eastAsia="Times New Roman" w:hAnsi="Times New Roman"/>
          <w:sz w:val="24"/>
          <w:szCs w:val="24"/>
          <w:lang w:eastAsia="ru-RU"/>
        </w:rPr>
        <w:t>,</w:t>
      </w:r>
      <w:r w:rsidRPr="00805127">
        <w:rPr>
          <w:rFonts w:ascii="Times New Roman" w:eastAsia="Times New Roman" w:hAnsi="Times New Roman"/>
          <w:sz w:val="24"/>
          <w:szCs w:val="24"/>
          <w:lang w:eastAsia="ru-RU"/>
        </w:rPr>
        <w:t xml:space="preserve"> направленной на унификацию их статуса и деятельности.</w:t>
      </w:r>
      <w:r w:rsidRPr="00805127">
        <w:rPr>
          <w:rFonts w:ascii="Times New Roman" w:hAnsi="Times New Roman"/>
          <w:sz w:val="24"/>
          <w:szCs w:val="24"/>
        </w:rPr>
        <w:t xml:space="preserve"> </w:t>
      </w:r>
    </w:p>
    <w:p w14:paraId="3B7584E7" w14:textId="77777777" w:rsidR="00D00555" w:rsidRDefault="00D00555" w:rsidP="00D00555">
      <w:pPr>
        <w:spacing w:after="200"/>
        <w:jc w:val="both"/>
        <w:rPr>
          <w:rFonts w:ascii="Times New Roman" w:hAnsi="Times New Roman" w:cstheme="minorBidi"/>
          <w:sz w:val="24"/>
          <w:szCs w:val="24"/>
        </w:rPr>
      </w:pPr>
      <w:r w:rsidRPr="00805127">
        <w:rPr>
          <w:rFonts w:ascii="Times New Roman" w:hAnsi="Times New Roman" w:cstheme="minorBidi"/>
          <w:sz w:val="24"/>
          <w:szCs w:val="24"/>
        </w:rPr>
        <w:t xml:space="preserve">      В отчетном году обеспечено  </w:t>
      </w:r>
      <w:r w:rsidRPr="00805127">
        <w:rPr>
          <w:rFonts w:ascii="Times New Roman" w:hAnsi="Times New Roman" w:cstheme="minorBidi"/>
          <w:color w:val="000000"/>
          <w:sz w:val="24"/>
          <w:szCs w:val="24"/>
        </w:rPr>
        <w:t xml:space="preserve"> поддержание положительной динамики роста доходности бизнеса как за счет получения комиссионных доходов, так и процентных доходов от операций с временно свободными денежными средствами и капиталом Группы, что также позволило сформировать на должном уровне доходную часть бюджета Группы «Московская Биржа» в целом</w:t>
      </w:r>
      <w:r w:rsidRPr="00805127">
        <w:rPr>
          <w:rFonts w:ascii="Times New Roman" w:hAnsi="Times New Roman" w:cstheme="minorBidi"/>
          <w:sz w:val="24"/>
          <w:szCs w:val="24"/>
        </w:rPr>
        <w:t>.</w:t>
      </w:r>
    </w:p>
    <w:p w14:paraId="267865FD" w14:textId="12B88740" w:rsidR="00015506" w:rsidRDefault="00D00555" w:rsidP="00015506">
      <w:pPr>
        <w:jc w:val="both"/>
        <w:rPr>
          <w:rFonts w:ascii="Times New Roman" w:hAnsi="Times New Roman"/>
          <w:bCs/>
          <w:sz w:val="24"/>
          <w:szCs w:val="24"/>
        </w:rPr>
      </w:pPr>
      <w:r>
        <w:rPr>
          <w:rFonts w:ascii="Times New Roman" w:hAnsi="Times New Roman"/>
          <w:sz w:val="24"/>
          <w:szCs w:val="24"/>
        </w:rPr>
        <w:t xml:space="preserve">     Согласно рэнкингам</w:t>
      </w:r>
      <w:r w:rsidR="001D44FC">
        <w:rPr>
          <w:rFonts w:ascii="Times New Roman" w:hAnsi="Times New Roman"/>
          <w:sz w:val="24"/>
          <w:szCs w:val="24"/>
        </w:rPr>
        <w:t>,</w:t>
      </w:r>
      <w:r>
        <w:rPr>
          <w:rFonts w:ascii="Times New Roman" w:hAnsi="Times New Roman"/>
          <w:sz w:val="24"/>
          <w:szCs w:val="24"/>
        </w:rPr>
        <w:t xml:space="preserve"> </w:t>
      </w:r>
      <w:r w:rsidR="001D44FC">
        <w:rPr>
          <w:rFonts w:ascii="Times New Roman" w:hAnsi="Times New Roman"/>
          <w:sz w:val="24"/>
          <w:szCs w:val="24"/>
        </w:rPr>
        <w:t xml:space="preserve">НКЦ </w:t>
      </w:r>
      <w:r w:rsidR="001D44FC" w:rsidRPr="007B2346">
        <w:rPr>
          <w:rFonts w:ascii="Times New Roman" w:hAnsi="Times New Roman"/>
          <w:sz w:val="24"/>
          <w:szCs w:val="24"/>
        </w:rPr>
        <w:t>занимает прочное место в ТОР-10 кредитных организаций России</w:t>
      </w:r>
      <w:r w:rsidR="001D44FC">
        <w:rPr>
          <w:rFonts w:ascii="Times New Roman" w:hAnsi="Times New Roman"/>
          <w:sz w:val="24"/>
          <w:szCs w:val="24"/>
        </w:rPr>
        <w:t xml:space="preserve"> </w:t>
      </w:r>
      <w:r>
        <w:rPr>
          <w:rFonts w:ascii="Times New Roman" w:hAnsi="Times New Roman"/>
          <w:sz w:val="24"/>
          <w:szCs w:val="24"/>
        </w:rPr>
        <w:t>по</w:t>
      </w:r>
      <w:r w:rsidRPr="007B2346">
        <w:rPr>
          <w:rFonts w:ascii="Times New Roman" w:hAnsi="Times New Roman"/>
          <w:sz w:val="24"/>
          <w:szCs w:val="24"/>
        </w:rPr>
        <w:t xml:space="preserve"> объему активов</w:t>
      </w:r>
      <w:r w:rsidR="001D44FC">
        <w:rPr>
          <w:rFonts w:ascii="Times New Roman" w:hAnsi="Times New Roman"/>
          <w:sz w:val="24"/>
          <w:szCs w:val="24"/>
        </w:rPr>
        <w:t>, которые</w:t>
      </w:r>
      <w:r w:rsidRPr="007B2346">
        <w:rPr>
          <w:rFonts w:ascii="Times New Roman" w:hAnsi="Times New Roman"/>
          <w:sz w:val="24"/>
          <w:szCs w:val="24"/>
        </w:rPr>
        <w:t xml:space="preserve"> </w:t>
      </w:r>
      <w:r w:rsidR="00015506">
        <w:rPr>
          <w:rFonts w:ascii="Times New Roman" w:hAnsi="Times New Roman"/>
          <w:sz w:val="24"/>
          <w:szCs w:val="24"/>
        </w:rPr>
        <w:t xml:space="preserve">на 31.12.2017 </w:t>
      </w:r>
      <w:r w:rsidR="001D44FC">
        <w:rPr>
          <w:rFonts w:ascii="Times New Roman" w:hAnsi="Times New Roman"/>
          <w:sz w:val="24"/>
          <w:szCs w:val="24"/>
        </w:rPr>
        <w:t xml:space="preserve">составили </w:t>
      </w:r>
      <w:r w:rsidR="00EF299C">
        <w:rPr>
          <w:rFonts w:ascii="Times New Roman" w:hAnsi="Times New Roman"/>
          <w:sz w:val="24"/>
          <w:szCs w:val="24"/>
        </w:rPr>
        <w:t xml:space="preserve"> </w:t>
      </w:r>
      <w:r w:rsidR="001D44FC">
        <w:rPr>
          <w:rFonts w:ascii="Times New Roman" w:hAnsi="Times New Roman"/>
          <w:sz w:val="24"/>
          <w:szCs w:val="24"/>
        </w:rPr>
        <w:t xml:space="preserve"> 2,78 трлн рублей</w:t>
      </w:r>
      <w:r>
        <w:rPr>
          <w:rFonts w:ascii="Times New Roman" w:hAnsi="Times New Roman"/>
          <w:sz w:val="24"/>
          <w:szCs w:val="24"/>
        </w:rPr>
        <w:t>.</w:t>
      </w:r>
      <w:r w:rsidRPr="007B2346">
        <w:rPr>
          <w:rFonts w:ascii="Times New Roman" w:hAnsi="Times New Roman"/>
          <w:sz w:val="24"/>
          <w:szCs w:val="24"/>
        </w:rPr>
        <w:t xml:space="preserve">  По объему капитала НКЦ </w:t>
      </w:r>
      <w:r>
        <w:rPr>
          <w:rFonts w:ascii="Times New Roman" w:hAnsi="Times New Roman"/>
          <w:sz w:val="24"/>
          <w:szCs w:val="24"/>
        </w:rPr>
        <w:t xml:space="preserve">по-прежнему остается </w:t>
      </w:r>
      <w:r w:rsidRPr="007B2346">
        <w:rPr>
          <w:rFonts w:ascii="Times New Roman" w:hAnsi="Times New Roman"/>
          <w:sz w:val="24"/>
          <w:szCs w:val="24"/>
        </w:rPr>
        <w:t>одн</w:t>
      </w:r>
      <w:r>
        <w:rPr>
          <w:rFonts w:ascii="Times New Roman" w:hAnsi="Times New Roman"/>
          <w:sz w:val="24"/>
          <w:szCs w:val="24"/>
        </w:rPr>
        <w:t>им</w:t>
      </w:r>
      <w:r w:rsidRPr="007B2346">
        <w:rPr>
          <w:rFonts w:ascii="Times New Roman" w:hAnsi="Times New Roman"/>
          <w:sz w:val="24"/>
          <w:szCs w:val="24"/>
        </w:rPr>
        <w:t xml:space="preserve"> из самых </w:t>
      </w:r>
      <w:r>
        <w:rPr>
          <w:rFonts w:ascii="Times New Roman" w:hAnsi="Times New Roman"/>
          <w:sz w:val="24"/>
          <w:szCs w:val="24"/>
        </w:rPr>
        <w:t xml:space="preserve">высоко </w:t>
      </w:r>
      <w:r w:rsidRPr="007B2346">
        <w:rPr>
          <w:rFonts w:ascii="Times New Roman" w:hAnsi="Times New Roman"/>
          <w:sz w:val="24"/>
          <w:szCs w:val="24"/>
        </w:rPr>
        <w:t xml:space="preserve">капитализированных центральных контрагентов в мире. </w:t>
      </w:r>
      <w:r w:rsidR="00C04F0A">
        <w:rPr>
          <w:rFonts w:ascii="Times New Roman" w:hAnsi="Times New Roman"/>
          <w:sz w:val="24"/>
          <w:szCs w:val="24"/>
        </w:rPr>
        <w:t>В отчетный пе</w:t>
      </w:r>
      <w:r w:rsidR="00015506" w:rsidRPr="00015506">
        <w:rPr>
          <w:rFonts w:ascii="Times New Roman" w:hAnsi="Times New Roman"/>
          <w:sz w:val="24"/>
          <w:szCs w:val="24"/>
        </w:rPr>
        <w:t>риод НКЦ принимал участие</w:t>
      </w:r>
      <w:r w:rsidR="00015506">
        <w:rPr>
          <w:rFonts w:ascii="Times New Roman" w:hAnsi="Times New Roman"/>
          <w:sz w:val="24"/>
          <w:szCs w:val="24"/>
        </w:rPr>
        <w:t xml:space="preserve"> </w:t>
      </w:r>
      <w:r w:rsidR="00015506" w:rsidRPr="00015506">
        <w:rPr>
          <w:rFonts w:ascii="Times New Roman" w:hAnsi="Times New Roman"/>
          <w:sz w:val="24"/>
          <w:szCs w:val="24"/>
        </w:rPr>
        <w:t xml:space="preserve">в выработке международных </w:t>
      </w:r>
      <w:r w:rsidR="00C04F0A">
        <w:rPr>
          <w:rFonts w:ascii="Times New Roman" w:hAnsi="Times New Roman"/>
          <w:sz w:val="24"/>
          <w:szCs w:val="24"/>
        </w:rPr>
        <w:t xml:space="preserve">правил и </w:t>
      </w:r>
      <w:r w:rsidR="00015506" w:rsidRPr="00015506">
        <w:rPr>
          <w:rFonts w:ascii="Times New Roman" w:hAnsi="Times New Roman"/>
          <w:sz w:val="24"/>
          <w:szCs w:val="24"/>
        </w:rPr>
        <w:t xml:space="preserve">стандартов деятельности центральных контрагентов, являясь </w:t>
      </w:r>
      <w:r w:rsidR="00015506" w:rsidRPr="00015506">
        <w:rPr>
          <w:rFonts w:ascii="Times New Roman" w:eastAsia="Calibri" w:hAnsi="Times New Roman"/>
          <w:sz w:val="24"/>
          <w:szCs w:val="24"/>
        </w:rPr>
        <w:t xml:space="preserve">членом Всемирной Ассоциации центральных контрагентов – </w:t>
      </w:r>
      <w:hyperlink r:id="rId8" w:history="1">
        <w:r w:rsidR="00015506" w:rsidRPr="00015506">
          <w:rPr>
            <w:rFonts w:ascii="Times New Roman" w:eastAsia="Calibri" w:hAnsi="Times New Roman"/>
            <w:sz w:val="24"/>
            <w:szCs w:val="24"/>
          </w:rPr>
          <w:t>CCP12</w:t>
        </w:r>
        <w:r w:rsidR="00015506">
          <w:rPr>
            <w:rFonts w:ascii="Times New Roman" w:eastAsia="Calibri" w:hAnsi="Times New Roman"/>
            <w:sz w:val="24"/>
            <w:szCs w:val="24"/>
          </w:rPr>
          <w:t xml:space="preserve"> </w:t>
        </w:r>
        <w:r w:rsidR="00015506" w:rsidRPr="00015506">
          <w:rPr>
            <w:rFonts w:ascii="Times New Roman" w:eastAsia="Calibri" w:hAnsi="Times New Roman"/>
            <w:sz w:val="24"/>
            <w:szCs w:val="24"/>
          </w:rPr>
          <w:t>(Global Association of Central Counterparties–CCP12)</w:t>
        </w:r>
      </w:hyperlink>
      <w:r w:rsidR="00015506" w:rsidRPr="00015506">
        <w:rPr>
          <w:rFonts w:ascii="Times New Roman" w:eastAsia="Calibri" w:hAnsi="Times New Roman"/>
          <w:sz w:val="24"/>
          <w:szCs w:val="24"/>
        </w:rPr>
        <w:t xml:space="preserve"> и </w:t>
      </w:r>
      <w:hyperlink r:id="rId9" w:history="1">
        <w:r w:rsidR="00015506" w:rsidRPr="00015506">
          <w:rPr>
            <w:rFonts w:ascii="Times New Roman" w:eastAsia="Calibri" w:hAnsi="Times New Roman"/>
            <w:sz w:val="24"/>
            <w:szCs w:val="24"/>
          </w:rPr>
          <w:t>Европейской Ассоциации клиринговых домов – центральных контрагентов (European Association of Central Counterparty Clearing Houses</w:t>
        </w:r>
        <w:r w:rsidR="00015506">
          <w:rPr>
            <w:rFonts w:ascii="Times New Roman" w:eastAsia="Calibri" w:hAnsi="Times New Roman"/>
            <w:sz w:val="24"/>
            <w:szCs w:val="24"/>
          </w:rPr>
          <w:t xml:space="preserve"> </w:t>
        </w:r>
        <w:r w:rsidR="00015506" w:rsidRPr="00015506">
          <w:rPr>
            <w:rFonts w:ascii="Times New Roman" w:eastAsia="Calibri" w:hAnsi="Times New Roman"/>
            <w:sz w:val="24"/>
            <w:szCs w:val="24"/>
          </w:rPr>
          <w:t>–</w:t>
        </w:r>
        <w:r w:rsidR="00015506">
          <w:rPr>
            <w:rFonts w:ascii="Times New Roman" w:eastAsia="Calibri" w:hAnsi="Times New Roman"/>
            <w:sz w:val="24"/>
            <w:szCs w:val="24"/>
          </w:rPr>
          <w:t xml:space="preserve"> </w:t>
        </w:r>
        <w:r w:rsidR="00015506" w:rsidRPr="00015506">
          <w:rPr>
            <w:rFonts w:ascii="Times New Roman" w:eastAsia="Calibri" w:hAnsi="Times New Roman"/>
            <w:sz w:val="24"/>
            <w:szCs w:val="24"/>
          </w:rPr>
          <w:t>EACH).</w:t>
        </w:r>
      </w:hyperlink>
      <w:r w:rsidR="00015506" w:rsidRPr="00015506">
        <w:rPr>
          <w:rFonts w:ascii="Times New Roman" w:eastAsia="Calibri" w:hAnsi="Times New Roman"/>
          <w:sz w:val="24"/>
          <w:szCs w:val="24"/>
        </w:rPr>
        <w:t xml:space="preserve"> </w:t>
      </w:r>
      <w:r w:rsidR="00015506" w:rsidRPr="00015506">
        <w:rPr>
          <w:rFonts w:ascii="Times New Roman" w:eastAsia="Calibri" w:hAnsi="Times New Roman"/>
          <w:sz w:val="24"/>
          <w:szCs w:val="24"/>
        </w:rPr>
        <w:br/>
      </w:r>
      <w:r w:rsidR="00015506">
        <w:rPr>
          <w:rFonts w:ascii="Times New Roman" w:hAnsi="Times New Roman"/>
          <w:bCs/>
          <w:sz w:val="24"/>
          <w:szCs w:val="24"/>
        </w:rPr>
        <w:t xml:space="preserve">       </w:t>
      </w:r>
    </w:p>
    <w:p w14:paraId="73ED6D1B" w14:textId="7FB14866" w:rsidR="00125189" w:rsidRPr="00125189" w:rsidRDefault="00015506" w:rsidP="00015506">
      <w:pPr>
        <w:jc w:val="both"/>
        <w:rPr>
          <w:rFonts w:ascii="Times New Roman" w:eastAsia="Calibri" w:hAnsi="Times New Roman"/>
          <w:noProof/>
          <w:sz w:val="24"/>
          <w:szCs w:val="24"/>
        </w:rPr>
      </w:pPr>
      <w:r>
        <w:rPr>
          <w:rFonts w:ascii="Times New Roman" w:hAnsi="Times New Roman"/>
          <w:bCs/>
          <w:sz w:val="24"/>
          <w:szCs w:val="24"/>
        </w:rPr>
        <w:t xml:space="preserve">       </w:t>
      </w:r>
      <w:r w:rsidR="0035690E">
        <w:rPr>
          <w:rFonts w:ascii="Times New Roman" w:hAnsi="Times New Roman"/>
          <w:bCs/>
          <w:sz w:val="24"/>
          <w:szCs w:val="24"/>
        </w:rPr>
        <w:t xml:space="preserve">В 2017 году </w:t>
      </w:r>
      <w:r w:rsidR="00125189" w:rsidRPr="00125189">
        <w:rPr>
          <w:rFonts w:ascii="Times New Roman" w:hAnsi="Times New Roman"/>
          <w:bCs/>
          <w:sz w:val="24"/>
          <w:szCs w:val="24"/>
        </w:rPr>
        <w:t>НКЦ</w:t>
      </w:r>
      <w:r w:rsidR="00EF299C">
        <w:rPr>
          <w:rFonts w:ascii="Times New Roman" w:hAnsi="Times New Roman"/>
          <w:bCs/>
          <w:sz w:val="24"/>
          <w:szCs w:val="24"/>
        </w:rPr>
        <w:t xml:space="preserve"> </w:t>
      </w:r>
      <w:r w:rsidR="00125189" w:rsidRPr="00125189">
        <w:rPr>
          <w:rFonts w:ascii="Times New Roman" w:hAnsi="Times New Roman"/>
          <w:bCs/>
          <w:sz w:val="24"/>
          <w:szCs w:val="24"/>
        </w:rPr>
        <w:t xml:space="preserve">продолжил осуществление клиринговой деятельности на всех рынках Группы «Московская Биржа» (валютный рынок и рынок драгоценных металлов, фондовый, денежный рынки и рынок депозитов, срочный рынок и рынок </w:t>
      </w:r>
      <w:r w:rsidR="00BE7A6C">
        <w:rPr>
          <w:rFonts w:ascii="Times New Roman" w:hAnsi="Times New Roman"/>
          <w:bCs/>
          <w:sz w:val="24"/>
          <w:szCs w:val="24"/>
        </w:rPr>
        <w:t>с</w:t>
      </w:r>
      <w:r w:rsidR="00125189" w:rsidRPr="00125189">
        <w:rPr>
          <w:rFonts w:ascii="Times New Roman" w:hAnsi="Times New Roman"/>
          <w:bCs/>
          <w:sz w:val="24"/>
          <w:szCs w:val="24"/>
        </w:rPr>
        <w:t xml:space="preserve">тандартизированных ПФИ), товарном рынке АО «Национальная товарная биржа». </w:t>
      </w:r>
    </w:p>
    <w:p w14:paraId="767F889C" w14:textId="77777777" w:rsidR="00125189" w:rsidRPr="00125189" w:rsidRDefault="00125189" w:rsidP="00125189">
      <w:pPr>
        <w:ind w:firstLine="567"/>
        <w:jc w:val="both"/>
        <w:rPr>
          <w:rFonts w:ascii="Times New Roman" w:hAnsi="Times New Roman"/>
          <w:bCs/>
          <w:sz w:val="24"/>
          <w:szCs w:val="24"/>
        </w:rPr>
      </w:pPr>
      <w:r w:rsidRPr="00125189">
        <w:rPr>
          <w:rFonts w:ascii="Times New Roman" w:hAnsi="Times New Roman"/>
          <w:bCs/>
          <w:sz w:val="24"/>
          <w:szCs w:val="24"/>
        </w:rPr>
        <w:t>Общая схема клиринговой деятельности НКЦ на биржевых рынках в конце 2017 года выглядела следующим образом:</w:t>
      </w:r>
    </w:p>
    <w:p w14:paraId="15A8C6C7" w14:textId="77777777" w:rsidR="00125189" w:rsidRDefault="00125189" w:rsidP="00125189">
      <w:pPr>
        <w:ind w:firstLine="708"/>
        <w:jc w:val="both"/>
        <w:rPr>
          <w:b/>
          <w:i/>
          <w:sz w:val="24"/>
          <w:szCs w:val="24"/>
          <w:u w:val="single"/>
        </w:rPr>
      </w:pPr>
      <w:r>
        <w:rPr>
          <w:b/>
          <w:i/>
          <w:noProof/>
          <w:sz w:val="24"/>
          <w:szCs w:val="24"/>
          <w:u w:val="single"/>
          <w:lang w:eastAsia="ru-RU"/>
        </w:rPr>
        <mc:AlternateContent>
          <mc:Choice Requires="wpg">
            <w:drawing>
              <wp:anchor distT="0" distB="0" distL="114300" distR="114300" simplePos="0" relativeHeight="251661312" behindDoc="0" locked="0" layoutInCell="1" allowOverlap="1" wp14:anchorId="3B4601E3" wp14:editId="07C33371">
                <wp:simplePos x="0" y="0"/>
                <wp:positionH relativeFrom="column">
                  <wp:posOffset>-832485</wp:posOffset>
                </wp:positionH>
                <wp:positionV relativeFrom="paragraph">
                  <wp:posOffset>223520</wp:posOffset>
                </wp:positionV>
                <wp:extent cx="7028180" cy="3805055"/>
                <wp:effectExtent l="0" t="0" r="20320" b="24130"/>
                <wp:wrapNone/>
                <wp:docPr id="6" name="Группа 6"/>
                <wp:cNvGraphicFramePr/>
                <a:graphic xmlns:a="http://schemas.openxmlformats.org/drawingml/2006/main">
                  <a:graphicData uri="http://schemas.microsoft.com/office/word/2010/wordprocessingGroup">
                    <wpg:wgp>
                      <wpg:cNvGrpSpPr/>
                      <wpg:grpSpPr>
                        <a:xfrm>
                          <a:off x="0" y="0"/>
                          <a:ext cx="7028180" cy="3805055"/>
                          <a:chOff x="0" y="0"/>
                          <a:chExt cx="7028180" cy="3805055"/>
                        </a:xfrm>
                      </wpg:grpSpPr>
                      <wps:wsp>
                        <wps:cNvPr id="7" name="Надпись 7"/>
                        <wps:cNvSpPr txBox="1"/>
                        <wps:spPr>
                          <a:xfrm>
                            <a:off x="0" y="0"/>
                            <a:ext cx="3212982" cy="756525"/>
                          </a:xfrm>
                          <a:prstGeom prst="rect">
                            <a:avLst/>
                          </a:prstGeom>
                          <a:solidFill>
                            <a:srgbClr val="C00000"/>
                          </a:solidFill>
                          <a:ln w="6350">
                            <a:solidFill>
                              <a:srgbClr val="C00000"/>
                            </a:solidFill>
                            <a:round/>
                          </a:ln>
                          <a:effectLst/>
                        </wps:spPr>
                        <wps:txbx>
                          <w:txbxContent>
                            <w:p w14:paraId="049E5088" w14:textId="77777777" w:rsidR="00944739" w:rsidRPr="00E02D44" w:rsidRDefault="00944739" w:rsidP="00125189">
                              <w:pPr>
                                <w:pStyle w:val="11"/>
                                <w:jc w:val="center"/>
                                <w:rPr>
                                  <w:rStyle w:val="msoins0"/>
                                  <w:b/>
                                  <w:color w:val="FFFFFF" w:themeColor="background1"/>
                                  <w:sz w:val="28"/>
                                  <w:szCs w:val="28"/>
                                </w:rPr>
                              </w:pPr>
                              <w:r w:rsidRPr="00E02D44">
                                <w:rPr>
                                  <w:rStyle w:val="msoins0"/>
                                  <w:b/>
                                  <w:color w:val="FFFFFF" w:themeColor="background1"/>
                                  <w:sz w:val="28"/>
                                  <w:szCs w:val="28"/>
                                </w:rPr>
                                <w:t>ПАО Московская Биржа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Надпись 8"/>
                        <wps:cNvSpPr txBox="1"/>
                        <wps:spPr>
                          <a:xfrm>
                            <a:off x="3829050" y="0"/>
                            <a:ext cx="3199130" cy="735330"/>
                          </a:xfrm>
                          <a:prstGeom prst="rect">
                            <a:avLst/>
                          </a:prstGeom>
                          <a:solidFill>
                            <a:srgbClr val="C00000"/>
                          </a:solidFill>
                          <a:ln w="6350">
                            <a:solidFill>
                              <a:srgbClr val="C00000"/>
                            </a:solidFill>
                            <a:round/>
                          </a:ln>
                          <a:effectLst/>
                        </wps:spPr>
                        <wps:txbx>
                          <w:txbxContent>
                            <w:p w14:paraId="0EE9D666" w14:textId="77777777" w:rsidR="00944739" w:rsidRPr="00E02D44" w:rsidRDefault="00944739" w:rsidP="00125189">
                              <w:pPr>
                                <w:pStyle w:val="11"/>
                                <w:jc w:val="center"/>
                                <w:rPr>
                                  <w:rStyle w:val="msoins0"/>
                                  <w:b/>
                                  <w:color w:val="FFFFFF" w:themeColor="background1"/>
                                  <w:sz w:val="28"/>
                                  <w:szCs w:val="28"/>
                                </w:rPr>
                              </w:pPr>
                              <w:r>
                                <w:rPr>
                                  <w:rStyle w:val="msoins0"/>
                                  <w:b/>
                                  <w:color w:val="FFFFFF" w:themeColor="background1"/>
                                  <w:sz w:val="28"/>
                                  <w:szCs w:val="28"/>
                                </w:rPr>
                                <w:t>АО «Национальная товарная биржа»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оугольник 9"/>
                        <wps:cNvSpPr/>
                        <wps:spPr>
                          <a:xfrm>
                            <a:off x="152400" y="1419225"/>
                            <a:ext cx="2122805" cy="1047750"/>
                          </a:xfrm>
                          <a:prstGeom prst="rect">
                            <a:avLst/>
                          </a:prstGeom>
                          <a:solidFill>
                            <a:sysClr val="window" lastClr="FFFFFF"/>
                          </a:solidFill>
                          <a:ln w="19050" cap="flat" cmpd="sng" algn="ctr">
                            <a:solidFill>
                              <a:srgbClr val="5B9BD5"/>
                            </a:solidFill>
                            <a:prstDash val="solid"/>
                            <a:miter lim="800000"/>
                          </a:ln>
                          <a:effectLst/>
                        </wps:spPr>
                        <wps:txbx>
                          <w:txbxContent>
                            <w:p w14:paraId="20EB66D1" w14:textId="77777777" w:rsidR="00944739" w:rsidRPr="002A70D5" w:rsidRDefault="00944739" w:rsidP="00125189">
                              <w:pPr>
                                <w:pStyle w:val="11"/>
                                <w:jc w:val="both"/>
                                <w:rPr>
                                  <w:rStyle w:val="msoins0"/>
                                  <w:szCs w:val="24"/>
                                </w:rPr>
                              </w:pPr>
                              <w:r w:rsidRPr="002A70D5">
                                <w:rPr>
                                  <w:rStyle w:val="msoins0"/>
                                  <w:szCs w:val="24"/>
                                </w:rPr>
                                <w:t>Клиринг с ЦК по срочному, валютному рынкам, рынк</w:t>
                              </w:r>
                              <w:r>
                                <w:rPr>
                                  <w:rStyle w:val="msoins0"/>
                                  <w:szCs w:val="24"/>
                                </w:rPr>
                                <w:t>у драгоценных металлов и рынку С</w:t>
                              </w:r>
                              <w:r w:rsidRPr="002A70D5">
                                <w:rPr>
                                  <w:rStyle w:val="msoins0"/>
                                  <w:szCs w:val="24"/>
                                </w:rPr>
                                <w:t>тандартизированных ПФИ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Скругленный прямоугольник 9"/>
                        <wps:cNvSpPr/>
                        <wps:spPr>
                          <a:xfrm>
                            <a:off x="2362200" y="809625"/>
                            <a:ext cx="2254354" cy="2995430"/>
                          </a:xfrm>
                          <a:prstGeom prst="roundRect">
                            <a:avLst/>
                          </a:prstGeom>
                          <a:solidFill>
                            <a:srgbClr val="C00000"/>
                          </a:solidFill>
                          <a:ln w="19050" cap="flat" cmpd="sng" algn="ctr">
                            <a:solidFill>
                              <a:sysClr val="window" lastClr="FFFFFF"/>
                            </a:solidFill>
                            <a:prstDash val="solid"/>
                            <a:miter lim="800000"/>
                          </a:ln>
                          <a:effectLst/>
                        </wps:spPr>
                        <wps:txbx>
                          <w:txbxContent>
                            <w:p w14:paraId="44DE6FB4" w14:textId="77777777" w:rsidR="00944739" w:rsidRDefault="00944739" w:rsidP="00125189">
                              <w:pPr>
                                <w:pStyle w:val="11"/>
                                <w:jc w:val="center"/>
                                <w:rPr>
                                  <w:rStyle w:val="msoins0"/>
                                  <w:b/>
                                  <w:color w:val="FFFFFF" w:themeColor="background1"/>
                                  <w:sz w:val="28"/>
                                  <w:szCs w:val="28"/>
                                </w:rPr>
                              </w:pPr>
                              <w:r>
                                <w:rPr>
                                  <w:rStyle w:val="msoins0"/>
                                  <w:b/>
                                  <w:color w:val="FFFFFF" w:themeColor="background1"/>
                                  <w:sz w:val="28"/>
                                  <w:szCs w:val="28"/>
                                </w:rPr>
                                <w:t>НКО НКЦ (АО)</w:t>
                              </w:r>
                            </w:p>
                            <w:p w14:paraId="24702C14" w14:textId="77777777" w:rsidR="00944739" w:rsidRDefault="00944739" w:rsidP="00125189">
                              <w:pPr>
                                <w:pStyle w:val="11"/>
                                <w:jc w:val="center"/>
                                <w:rPr>
                                  <w:rStyle w:val="msoins0"/>
                                  <w:b/>
                                  <w:color w:val="FFFFFF" w:themeColor="background1"/>
                                  <w:sz w:val="28"/>
                                  <w:szCs w:val="28"/>
                                </w:rPr>
                              </w:pPr>
                            </w:p>
                            <w:p w14:paraId="7E57C404" w14:textId="77777777" w:rsidR="00944739" w:rsidRDefault="00944739" w:rsidP="00125189">
                              <w:pPr>
                                <w:pStyle w:val="11"/>
                                <w:jc w:val="both"/>
                                <w:rPr>
                                  <w:rStyle w:val="msoins0"/>
                                  <w:b/>
                                  <w:color w:val="FFFFFF" w:themeColor="background1"/>
                                  <w:szCs w:val="24"/>
                                </w:rPr>
                              </w:pPr>
                              <w:r>
                                <w:rPr>
                                  <w:rStyle w:val="msoins0"/>
                                  <w:b/>
                                  <w:color w:val="FFFFFF" w:themeColor="background1"/>
                                  <w:szCs w:val="24"/>
                                </w:rPr>
                                <w:t>По состоянию на конец 2017 года</w:t>
                              </w:r>
                            </w:p>
                            <w:p w14:paraId="0807DBF8" w14:textId="77777777" w:rsidR="00944739" w:rsidRDefault="00944739" w:rsidP="00125189">
                              <w:pPr>
                                <w:pStyle w:val="11"/>
                                <w:numPr>
                                  <w:ilvl w:val="0"/>
                                  <w:numId w:val="28"/>
                                </w:numPr>
                                <w:ind w:left="284" w:hanging="284"/>
                                <w:jc w:val="both"/>
                                <w:rPr>
                                  <w:rStyle w:val="msoins0"/>
                                  <w:b/>
                                  <w:color w:val="FFFFFF" w:themeColor="background1"/>
                                  <w:szCs w:val="24"/>
                                </w:rPr>
                              </w:pPr>
                              <w:r>
                                <w:rPr>
                                  <w:rStyle w:val="msoins0"/>
                                  <w:b/>
                                  <w:color w:val="FFFFFF" w:themeColor="background1"/>
                                  <w:szCs w:val="24"/>
                                </w:rPr>
                                <w:t>560 участников клиринга</w:t>
                              </w:r>
                            </w:p>
                            <w:p w14:paraId="308E7F27" w14:textId="77777777" w:rsidR="00944739" w:rsidRPr="00E02D44" w:rsidRDefault="00944739" w:rsidP="00125189">
                              <w:pPr>
                                <w:pStyle w:val="11"/>
                                <w:numPr>
                                  <w:ilvl w:val="0"/>
                                  <w:numId w:val="28"/>
                                </w:numPr>
                                <w:ind w:left="284" w:hanging="284"/>
                                <w:jc w:val="both"/>
                                <w:rPr>
                                  <w:rStyle w:val="msoins0"/>
                                  <w:b/>
                                  <w:color w:val="FFFFFF" w:themeColor="background1"/>
                                  <w:szCs w:val="24"/>
                                </w:rPr>
                              </w:pPr>
                              <w:r>
                                <w:rPr>
                                  <w:rStyle w:val="msoins0"/>
                                  <w:b/>
                                  <w:color w:val="FFFFFF" w:themeColor="background1"/>
                                  <w:szCs w:val="24"/>
                                </w:rPr>
                                <w:t xml:space="preserve">объем определенных по итогам клиринга обязательств участников клиринга: </w:t>
                              </w:r>
                              <w:r w:rsidRPr="00E02D44">
                                <w:rPr>
                                  <w:rStyle w:val="msoins0"/>
                                  <w:b/>
                                  <w:color w:val="FFFFFF" w:themeColor="background1"/>
                                  <w:szCs w:val="24"/>
                                </w:rPr>
                                <w:t xml:space="preserve">1 </w:t>
                              </w:r>
                              <w:r>
                                <w:rPr>
                                  <w:rStyle w:val="msoins0"/>
                                  <w:b/>
                                  <w:color w:val="FFFFFF" w:themeColor="background1"/>
                                  <w:szCs w:val="24"/>
                                </w:rPr>
                                <w:t>6</w:t>
                              </w:r>
                              <w:r w:rsidRPr="00E02D44">
                                <w:rPr>
                                  <w:rStyle w:val="msoins0"/>
                                  <w:b/>
                                  <w:color w:val="FFFFFF" w:themeColor="background1"/>
                                  <w:szCs w:val="24"/>
                                </w:rPr>
                                <w:t>1</w:t>
                              </w:r>
                              <w:r>
                                <w:rPr>
                                  <w:rStyle w:val="msoins0"/>
                                  <w:b/>
                                  <w:color w:val="FFFFFF" w:themeColor="background1"/>
                                  <w:szCs w:val="24"/>
                                </w:rPr>
                                <w:t>5</w:t>
                              </w:r>
                              <w:r w:rsidRPr="00E02D44">
                                <w:rPr>
                                  <w:rStyle w:val="msoins0"/>
                                  <w:b/>
                                  <w:color w:val="FFFFFF" w:themeColor="background1"/>
                                  <w:szCs w:val="24"/>
                                </w:rPr>
                                <w:t xml:space="preserve"> трлн руб.</w:t>
                              </w:r>
                              <w:r>
                                <w:rPr>
                                  <w:rStyle w:val="msoins0"/>
                                  <w:b/>
                                  <w:color w:val="FFFFFF" w:themeColor="background1"/>
                                  <w:szCs w:val="24"/>
                                </w:rPr>
                                <w:t xml:space="preserve"> (</w:t>
                              </w:r>
                              <w:r w:rsidRPr="00E02D44">
                                <w:rPr>
                                  <w:rStyle w:val="msoins0"/>
                                  <w:b/>
                                  <w:color w:val="FFFFFF" w:themeColor="background1"/>
                                  <w:szCs w:val="24"/>
                                </w:rPr>
                                <w:t>1</w:t>
                              </w:r>
                              <w:r>
                                <w:rPr>
                                  <w:rStyle w:val="msoins0"/>
                                  <w:b/>
                                  <w:color w:val="FFFFFF" w:themeColor="background1"/>
                                  <w:szCs w:val="24"/>
                                </w:rPr>
                                <w:t xml:space="preserve"> </w:t>
                              </w:r>
                              <w:r w:rsidRPr="00E02D44">
                                <w:rPr>
                                  <w:rStyle w:val="msoins0"/>
                                  <w:b/>
                                  <w:color w:val="FFFFFF" w:themeColor="background1"/>
                                  <w:szCs w:val="24"/>
                                </w:rPr>
                                <w:t xml:space="preserve">531 </w:t>
                              </w:r>
                              <w:r>
                                <w:rPr>
                                  <w:rStyle w:val="msoins0"/>
                                  <w:b/>
                                  <w:color w:val="FFFFFF" w:themeColor="background1"/>
                                  <w:szCs w:val="24"/>
                                </w:rPr>
                                <w:t>трлн руб. в 2016)</w:t>
                              </w:r>
                            </w:p>
                            <w:p w14:paraId="65B0CEA3" w14:textId="77777777" w:rsidR="00944739" w:rsidRDefault="00944739" w:rsidP="001251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оугольник 11"/>
                        <wps:cNvSpPr/>
                        <wps:spPr>
                          <a:xfrm>
                            <a:off x="4695825" y="1657350"/>
                            <a:ext cx="2275205" cy="1133475"/>
                          </a:xfrm>
                          <a:prstGeom prst="rect">
                            <a:avLst/>
                          </a:prstGeom>
                          <a:solidFill>
                            <a:sysClr val="window" lastClr="FFFFFF"/>
                          </a:solidFill>
                          <a:ln w="19050" cap="flat" cmpd="sng" algn="ctr">
                            <a:solidFill>
                              <a:srgbClr val="5B9BD5"/>
                            </a:solidFill>
                            <a:prstDash val="solid"/>
                            <a:miter lim="800000"/>
                          </a:ln>
                          <a:effectLst/>
                        </wps:spPr>
                        <wps:txbx>
                          <w:txbxContent>
                            <w:p w14:paraId="140B1CBE" w14:textId="77777777" w:rsidR="00944739" w:rsidRPr="002A70D5" w:rsidRDefault="00944739" w:rsidP="00125189">
                              <w:pPr>
                                <w:pStyle w:val="11"/>
                                <w:jc w:val="both"/>
                                <w:rPr>
                                  <w:rStyle w:val="msoins0"/>
                                  <w:szCs w:val="24"/>
                                </w:rPr>
                              </w:pPr>
                              <w:r w:rsidRPr="002A70D5">
                                <w:rPr>
                                  <w:rStyle w:val="msoins0"/>
                                  <w:szCs w:val="24"/>
                                </w:rPr>
                                <w:t xml:space="preserve">Клиринг </w:t>
                              </w:r>
                              <w:r>
                                <w:rPr>
                                  <w:rStyle w:val="msoins0"/>
                                  <w:szCs w:val="24"/>
                                </w:rPr>
                                <w:t>по товарному рынку (поставочные фьючерсы на зерно и сахар) с ЦК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рямоугольник 12"/>
                        <wps:cNvSpPr/>
                        <wps:spPr>
                          <a:xfrm>
                            <a:off x="152400" y="2695575"/>
                            <a:ext cx="2124075" cy="7715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93E80F7" w14:textId="77777777" w:rsidR="00944739" w:rsidRPr="002A70D5" w:rsidRDefault="00944739" w:rsidP="00125189">
                              <w:pPr>
                                <w:pStyle w:val="11"/>
                                <w:jc w:val="both"/>
                                <w:rPr>
                                  <w:rStyle w:val="msoins0"/>
                                  <w:szCs w:val="24"/>
                                </w:rPr>
                              </w:pPr>
                              <w:r w:rsidRPr="002A70D5">
                                <w:rPr>
                                  <w:rStyle w:val="msoins0"/>
                                  <w:szCs w:val="24"/>
                                </w:rPr>
                                <w:t xml:space="preserve">Клиринг </w:t>
                              </w:r>
                              <w:r>
                                <w:rPr>
                                  <w:rStyle w:val="msoins0"/>
                                  <w:szCs w:val="24"/>
                                </w:rPr>
                                <w:t>по фондовому рынку (</w:t>
                              </w:r>
                              <w:r w:rsidRPr="002A70D5">
                                <w:rPr>
                                  <w:rStyle w:val="msoins0"/>
                                  <w:szCs w:val="24"/>
                                </w:rPr>
                                <w:t xml:space="preserve">с ЦК </w:t>
                              </w:r>
                              <w:r>
                                <w:rPr>
                                  <w:rStyle w:val="msoins0"/>
                                  <w:szCs w:val="24"/>
                                </w:rPr>
                                <w:t>и без ЦК), рынку депозитов (с ЦК)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ая соединительная линия 13"/>
                        <wps:cNvCnPr/>
                        <wps:spPr>
                          <a:xfrm>
                            <a:off x="1343025" y="752475"/>
                            <a:ext cx="0" cy="6667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4" name="Прямая соединительная линия 14"/>
                        <wps:cNvCnPr/>
                        <wps:spPr>
                          <a:xfrm>
                            <a:off x="5743575" y="752475"/>
                            <a:ext cx="0" cy="904875"/>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5" name="Прямая соединительная линия 15"/>
                        <wps:cNvCnPr/>
                        <wps:spPr>
                          <a:xfrm flipH="1">
                            <a:off x="2276475" y="1943100"/>
                            <a:ext cx="8572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6" name="Прямая соединительная линия 16"/>
                        <wps:cNvCnPr/>
                        <wps:spPr>
                          <a:xfrm flipH="1">
                            <a:off x="2276475" y="3095625"/>
                            <a:ext cx="8572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7" name="Прямая соединительная линия 17"/>
                        <wps:cNvCnPr/>
                        <wps:spPr>
                          <a:xfrm flipH="1">
                            <a:off x="4610100" y="2209800"/>
                            <a:ext cx="8572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8" name="Прямая соединительная линия 18"/>
                        <wps:cNvCnPr/>
                        <wps:spPr>
                          <a:xfrm>
                            <a:off x="1343025" y="2466975"/>
                            <a:ext cx="0" cy="22860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B4601E3" id="_x0000_s1026" style="position:absolute;left:0;text-align:left;margin-left:-65.55pt;margin-top:17.6pt;width:553.4pt;height:299.6pt;z-index:251661312" coordsize="70281,38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">
                <v:shapetype id="_x0000_t202" coordsize="21600,21600" o:spt="202" path="m,l,21600r21600,l21600,xe">
                  <v:stroke joinstyle="miter"/>
                  <v:path gradientshapeok="t" o:connecttype="rect"/>
                </v:shapetype>
                <v:shape id="Надпись 7" o:spid="_x0000_s1027" type="#_x0000_t202" style="position:absolute;width:32129;height:7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" fillcolor="#c00000" strokecolor="#c00000" strokeweight=".5pt">
                  <v:stroke joinstyle="round"/>
                  <v:textbox>
                    <w:txbxContent>
                      <w:p w14:paraId="049E5088" w14:textId="77777777" w:rsidR="00944739" w:rsidRPr="00E02D44" w:rsidRDefault="00944739" w:rsidP="00125189">
                        <w:pPr>
                          <w:pStyle w:val="11"/>
                          <w:jc w:val="center"/>
                          <w:rPr>
                            <w:rStyle w:val="msoins0"/>
                            <w:b/>
                            <w:color w:val="FFFFFF" w:themeColor="background1"/>
                            <w:sz w:val="28"/>
                            <w:szCs w:val="28"/>
                          </w:rPr>
                        </w:pPr>
                        <w:r w:rsidRPr="00E02D44">
                          <w:rPr>
                            <w:rStyle w:val="msoins0"/>
                            <w:b/>
                            <w:color w:val="FFFFFF" w:themeColor="background1"/>
                            <w:sz w:val="28"/>
                            <w:szCs w:val="28"/>
                          </w:rPr>
                          <w:t>ПАО Московская Биржа</w:t>
                        </w:r>
                      </w:p>
                    </w:txbxContent>
                  </v:textbox>
                </v:shape>
                <v:shape id="Надпись 8" o:spid="_x0000_s1028" type="#_x0000_t202" style="position:absolute;left:38290;width:31991;height:7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" fillcolor="#c00000" strokecolor="#c00000" strokeweight=".5pt">
                  <v:stroke joinstyle="round"/>
                  <v:textbox>
                    <w:txbxContent>
                      <w:p w14:paraId="0EE9D666" w14:textId="77777777" w:rsidR="00944739" w:rsidRPr="00E02D44" w:rsidRDefault="00944739" w:rsidP="00125189">
                        <w:pPr>
                          <w:pStyle w:val="11"/>
                          <w:jc w:val="center"/>
                          <w:rPr>
                            <w:rStyle w:val="msoins0"/>
                            <w:b/>
                            <w:color w:val="FFFFFF" w:themeColor="background1"/>
                            <w:sz w:val="28"/>
                            <w:szCs w:val="28"/>
                          </w:rPr>
                        </w:pPr>
                        <w:r>
                          <w:rPr>
                            <w:rStyle w:val="msoins0"/>
                            <w:b/>
                            <w:color w:val="FFFFFF" w:themeColor="background1"/>
                            <w:sz w:val="28"/>
                            <w:szCs w:val="28"/>
                          </w:rPr>
                          <w:t>АО «Национальная товарная биржа»</w:t>
                        </w:r>
                      </w:p>
                    </w:txbxContent>
                  </v:textbox>
                </v:shape>
                <v:rect id="Прямоугольник 9" o:spid="_x0000_s1029" style="position:absolute;left:1524;top:14192;width:21228;height:10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" fillcolor="window" strokecolor="#5b9bd5" strokeweight="1.5pt">
                  <v:textbox>
                    <w:txbxContent>
                      <w:p w14:paraId="20EB66D1" w14:textId="77777777" w:rsidR="00944739" w:rsidRPr="002A70D5" w:rsidRDefault="00944739" w:rsidP="00125189">
                        <w:pPr>
                          <w:pStyle w:val="11"/>
                          <w:jc w:val="both"/>
                          <w:rPr>
                            <w:rStyle w:val="msoins0"/>
                            <w:szCs w:val="24"/>
                          </w:rPr>
                        </w:pPr>
                        <w:r w:rsidRPr="002A70D5">
                          <w:rPr>
                            <w:rStyle w:val="msoins0"/>
                            <w:szCs w:val="24"/>
                          </w:rPr>
                          <w:t>Клиринг с ЦК по срочному, валютному рынкам, рынк</w:t>
                        </w:r>
                        <w:r>
                          <w:rPr>
                            <w:rStyle w:val="msoins0"/>
                            <w:szCs w:val="24"/>
                          </w:rPr>
                          <w:t>у драгоценных металлов и рынку С</w:t>
                        </w:r>
                        <w:r w:rsidRPr="002A70D5">
                          <w:rPr>
                            <w:rStyle w:val="msoins0"/>
                            <w:szCs w:val="24"/>
                          </w:rPr>
                          <w:t>тандартизированных ПФИ</w:t>
                        </w:r>
                      </w:p>
                    </w:txbxContent>
                  </v:textbox>
                </v:rect>
                <v:roundrect id="Скругленный прямоугольник 9" o:spid="_x0000_s1030" style="position:absolute;left:23622;top:8096;width:22543;height:29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" fillcolor="#c00000" strokecolor="window" strokeweight="1.5pt">
                  <v:stroke joinstyle="miter"/>
                  <v:textbox>
                    <w:txbxContent>
                      <w:p w14:paraId="44DE6FB4" w14:textId="77777777" w:rsidR="00944739" w:rsidRDefault="00944739" w:rsidP="00125189">
                        <w:pPr>
                          <w:pStyle w:val="11"/>
                          <w:jc w:val="center"/>
                          <w:rPr>
                            <w:rStyle w:val="msoins0"/>
                            <w:b/>
                            <w:color w:val="FFFFFF" w:themeColor="background1"/>
                            <w:sz w:val="28"/>
                            <w:szCs w:val="28"/>
                          </w:rPr>
                        </w:pPr>
                        <w:r>
                          <w:rPr>
                            <w:rStyle w:val="msoins0"/>
                            <w:b/>
                            <w:color w:val="FFFFFF" w:themeColor="background1"/>
                            <w:sz w:val="28"/>
                            <w:szCs w:val="28"/>
                          </w:rPr>
                          <w:t>НКО НКЦ (АО)</w:t>
                        </w:r>
                      </w:p>
                      <w:p w14:paraId="24702C14" w14:textId="77777777" w:rsidR="00944739" w:rsidRDefault="00944739" w:rsidP="00125189">
                        <w:pPr>
                          <w:pStyle w:val="11"/>
                          <w:jc w:val="center"/>
                          <w:rPr>
                            <w:rStyle w:val="msoins0"/>
                            <w:b/>
                            <w:color w:val="FFFFFF" w:themeColor="background1"/>
                            <w:sz w:val="28"/>
                            <w:szCs w:val="28"/>
                          </w:rPr>
                        </w:pPr>
                      </w:p>
                      <w:p w14:paraId="7E57C404" w14:textId="77777777" w:rsidR="00944739" w:rsidRDefault="00944739" w:rsidP="00125189">
                        <w:pPr>
                          <w:pStyle w:val="11"/>
                          <w:jc w:val="both"/>
                          <w:rPr>
                            <w:rStyle w:val="msoins0"/>
                            <w:b/>
                            <w:color w:val="FFFFFF" w:themeColor="background1"/>
                            <w:szCs w:val="24"/>
                          </w:rPr>
                        </w:pPr>
                        <w:r>
                          <w:rPr>
                            <w:rStyle w:val="msoins0"/>
                            <w:b/>
                            <w:color w:val="FFFFFF" w:themeColor="background1"/>
                            <w:szCs w:val="24"/>
                          </w:rPr>
                          <w:t>По состоянию на конец 2017 года</w:t>
                        </w:r>
                      </w:p>
                      <w:p w14:paraId="0807DBF8" w14:textId="77777777" w:rsidR="00944739" w:rsidRDefault="00944739" w:rsidP="00125189">
                        <w:pPr>
                          <w:pStyle w:val="11"/>
                          <w:numPr>
                            <w:ilvl w:val="0"/>
                            <w:numId w:val="28"/>
                          </w:numPr>
                          <w:ind w:left="284" w:hanging="284"/>
                          <w:jc w:val="both"/>
                          <w:rPr>
                            <w:rStyle w:val="msoins0"/>
                            <w:b/>
                            <w:color w:val="FFFFFF" w:themeColor="background1"/>
                            <w:szCs w:val="24"/>
                          </w:rPr>
                        </w:pPr>
                        <w:r>
                          <w:rPr>
                            <w:rStyle w:val="msoins0"/>
                            <w:b/>
                            <w:color w:val="FFFFFF" w:themeColor="background1"/>
                            <w:szCs w:val="24"/>
                          </w:rPr>
                          <w:t>560 участников клиринга</w:t>
                        </w:r>
                      </w:p>
                      <w:p w14:paraId="308E7F27" w14:textId="77777777" w:rsidR="00944739" w:rsidRPr="00E02D44" w:rsidRDefault="00944739" w:rsidP="00125189">
                        <w:pPr>
                          <w:pStyle w:val="11"/>
                          <w:numPr>
                            <w:ilvl w:val="0"/>
                            <w:numId w:val="28"/>
                          </w:numPr>
                          <w:ind w:left="284" w:hanging="284"/>
                          <w:jc w:val="both"/>
                          <w:rPr>
                            <w:rStyle w:val="msoins0"/>
                            <w:b/>
                            <w:color w:val="FFFFFF" w:themeColor="background1"/>
                            <w:szCs w:val="24"/>
                          </w:rPr>
                        </w:pPr>
                        <w:r>
                          <w:rPr>
                            <w:rStyle w:val="msoins0"/>
                            <w:b/>
                            <w:color w:val="FFFFFF" w:themeColor="background1"/>
                            <w:szCs w:val="24"/>
                          </w:rPr>
                          <w:t xml:space="preserve">объем определенных по итогам клиринга обязательств участников клиринга: </w:t>
                        </w:r>
                        <w:r w:rsidRPr="00E02D44">
                          <w:rPr>
                            <w:rStyle w:val="msoins0"/>
                            <w:b/>
                            <w:color w:val="FFFFFF" w:themeColor="background1"/>
                            <w:szCs w:val="24"/>
                          </w:rPr>
                          <w:t xml:space="preserve">1 </w:t>
                        </w:r>
                        <w:r>
                          <w:rPr>
                            <w:rStyle w:val="msoins0"/>
                            <w:b/>
                            <w:color w:val="FFFFFF" w:themeColor="background1"/>
                            <w:szCs w:val="24"/>
                          </w:rPr>
                          <w:t>6</w:t>
                        </w:r>
                        <w:r w:rsidRPr="00E02D44">
                          <w:rPr>
                            <w:rStyle w:val="msoins0"/>
                            <w:b/>
                            <w:color w:val="FFFFFF" w:themeColor="background1"/>
                            <w:szCs w:val="24"/>
                          </w:rPr>
                          <w:t>1</w:t>
                        </w:r>
                        <w:r>
                          <w:rPr>
                            <w:rStyle w:val="msoins0"/>
                            <w:b/>
                            <w:color w:val="FFFFFF" w:themeColor="background1"/>
                            <w:szCs w:val="24"/>
                          </w:rPr>
                          <w:t>5</w:t>
                        </w:r>
                        <w:r w:rsidRPr="00E02D44">
                          <w:rPr>
                            <w:rStyle w:val="msoins0"/>
                            <w:b/>
                            <w:color w:val="FFFFFF" w:themeColor="background1"/>
                            <w:szCs w:val="24"/>
                          </w:rPr>
                          <w:t xml:space="preserve"> трлн руб.</w:t>
                        </w:r>
                        <w:r>
                          <w:rPr>
                            <w:rStyle w:val="msoins0"/>
                            <w:b/>
                            <w:color w:val="FFFFFF" w:themeColor="background1"/>
                            <w:szCs w:val="24"/>
                          </w:rPr>
                          <w:t xml:space="preserve"> (</w:t>
                        </w:r>
                        <w:r w:rsidRPr="00E02D44">
                          <w:rPr>
                            <w:rStyle w:val="msoins0"/>
                            <w:b/>
                            <w:color w:val="FFFFFF" w:themeColor="background1"/>
                            <w:szCs w:val="24"/>
                          </w:rPr>
                          <w:t>1</w:t>
                        </w:r>
                        <w:r>
                          <w:rPr>
                            <w:rStyle w:val="msoins0"/>
                            <w:b/>
                            <w:color w:val="FFFFFF" w:themeColor="background1"/>
                            <w:szCs w:val="24"/>
                          </w:rPr>
                          <w:t xml:space="preserve"> </w:t>
                        </w:r>
                        <w:r w:rsidRPr="00E02D44">
                          <w:rPr>
                            <w:rStyle w:val="msoins0"/>
                            <w:b/>
                            <w:color w:val="FFFFFF" w:themeColor="background1"/>
                            <w:szCs w:val="24"/>
                          </w:rPr>
                          <w:t xml:space="preserve">531 </w:t>
                        </w:r>
                        <w:r>
                          <w:rPr>
                            <w:rStyle w:val="msoins0"/>
                            <w:b/>
                            <w:color w:val="FFFFFF" w:themeColor="background1"/>
                            <w:szCs w:val="24"/>
                          </w:rPr>
                          <w:t>трлн руб. в 2016)</w:t>
                        </w:r>
                      </w:p>
                      <w:p w14:paraId="65B0CEA3" w14:textId="77777777" w:rsidR="00944739" w:rsidRDefault="00944739" w:rsidP="00125189">
                        <w:pPr>
                          <w:jc w:val="center"/>
                        </w:pPr>
                      </w:p>
                    </w:txbxContent>
                  </v:textbox>
                </v:roundrect>
                <v:rect id="Прямоугольник 11" o:spid="_x0000_s1031" style="position:absolute;left:46958;top:16573;width:22752;height:11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" fillcolor="window" strokecolor="#5b9bd5" strokeweight="1.5pt">
                  <v:textbox>
                    <w:txbxContent>
                      <w:p w14:paraId="140B1CBE" w14:textId="77777777" w:rsidR="00944739" w:rsidRPr="002A70D5" w:rsidRDefault="00944739" w:rsidP="00125189">
                        <w:pPr>
                          <w:pStyle w:val="11"/>
                          <w:jc w:val="both"/>
                          <w:rPr>
                            <w:rStyle w:val="msoins0"/>
                            <w:szCs w:val="24"/>
                          </w:rPr>
                        </w:pPr>
                        <w:r w:rsidRPr="002A70D5">
                          <w:rPr>
                            <w:rStyle w:val="msoins0"/>
                            <w:szCs w:val="24"/>
                          </w:rPr>
                          <w:t xml:space="preserve">Клиринг </w:t>
                        </w:r>
                        <w:r>
                          <w:rPr>
                            <w:rStyle w:val="msoins0"/>
                            <w:szCs w:val="24"/>
                          </w:rPr>
                          <w:t>по товарному рынку (поставочные фьючерсы на зерно и сахар) с ЦК</w:t>
                        </w:r>
                      </w:p>
                    </w:txbxContent>
                  </v:textbox>
                </v:rect>
                <v:rect id="Прямоугольник 12" o:spid="_x0000_s1032" style="position:absolute;left:1524;top:26955;width:21240;height:7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" fillcolor="white [3201]" strokecolor="#5b9bd5 [3204]" strokeweight="1.5pt">
                  <v:textbox>
                    <w:txbxContent>
                      <w:p w14:paraId="693E80F7" w14:textId="77777777" w:rsidR="00944739" w:rsidRPr="002A70D5" w:rsidRDefault="00944739" w:rsidP="00125189">
                        <w:pPr>
                          <w:pStyle w:val="11"/>
                          <w:jc w:val="both"/>
                          <w:rPr>
                            <w:rStyle w:val="msoins0"/>
                            <w:szCs w:val="24"/>
                          </w:rPr>
                        </w:pPr>
                        <w:r w:rsidRPr="002A70D5">
                          <w:rPr>
                            <w:rStyle w:val="msoins0"/>
                            <w:szCs w:val="24"/>
                          </w:rPr>
                          <w:t xml:space="preserve">Клиринг </w:t>
                        </w:r>
                        <w:r>
                          <w:rPr>
                            <w:rStyle w:val="msoins0"/>
                            <w:szCs w:val="24"/>
                          </w:rPr>
                          <w:t>по фондовому рынку (</w:t>
                        </w:r>
                        <w:r w:rsidRPr="002A70D5">
                          <w:rPr>
                            <w:rStyle w:val="msoins0"/>
                            <w:szCs w:val="24"/>
                          </w:rPr>
                          <w:t xml:space="preserve">с ЦК </w:t>
                        </w:r>
                        <w:r>
                          <w:rPr>
                            <w:rStyle w:val="msoins0"/>
                            <w:szCs w:val="24"/>
                          </w:rPr>
                          <w:t>и без ЦК), рынку депозитов (с ЦК)</w:t>
                        </w:r>
                      </w:p>
                    </w:txbxContent>
                  </v:textbox>
                </v:rect>
                <v:line id="Прямая соединительная линия 13" o:spid="_x0000_s1033" style="position:absolute;visibility:visible;mso-wrap-style:square" from="13430,7524" to="13430,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" strokecolor="#5b9bd5 [3204]" strokeweight="1.25pt">
                  <v:stroke joinstyle="miter"/>
                </v:line>
                <v:line id="Прямая соединительная линия 14" o:spid="_x0000_s1034" style="position:absolute;visibility:visible;mso-wrap-style:square" from="57435,7524" to="57435,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" strokecolor="#5b9bd5 [3204]" strokeweight="1.25pt">
                  <v:stroke joinstyle="miter"/>
                </v:line>
                <v:line id="Прямая соединительная линия 15" o:spid="_x0000_s1035" style="position:absolute;flip:x;visibility:visible;mso-wrap-style:square" from="22764,19431" to="23622,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" strokecolor="#5b9bd5 [3204]" strokeweight="1.25pt">
                  <v:stroke joinstyle="miter"/>
                </v:line>
                <v:line id="Прямая соединительная линия 16" o:spid="_x0000_s1036" style="position:absolute;flip:x;visibility:visible;mso-wrap-style:square" from="22764,30956" to="23622,3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" strokecolor="#5b9bd5 [3204]" strokeweight="1.25pt">
                  <v:stroke joinstyle="miter"/>
                </v:line>
                <v:line id="Прямая соединительная линия 17" o:spid="_x0000_s1037" style="position:absolute;flip:x;visibility:visible;mso-wrap-style:square" from="46101,22098" to="46958,22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" strokecolor="#5b9bd5 [3204]" strokeweight="1.25pt">
                  <v:stroke joinstyle="miter"/>
                </v:line>
                <v:line id="Прямая соединительная линия 18" o:spid="_x0000_s1038" style="position:absolute;visibility:visible;mso-wrap-style:square" from="13430,24669" to="13430,2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" strokecolor="#5b9bd5 [3204]" strokeweight="1.25pt">
                  <v:stroke joinstyle="miter"/>
                </v:line>
              </v:group>
            </w:pict>
          </mc:Fallback>
        </mc:AlternateContent>
      </w:r>
    </w:p>
    <w:p w14:paraId="06DE8EBF" w14:textId="77777777" w:rsidR="00125189" w:rsidRDefault="00125189" w:rsidP="00125189">
      <w:pPr>
        <w:ind w:firstLine="708"/>
        <w:jc w:val="both"/>
        <w:rPr>
          <w:b/>
          <w:i/>
          <w:sz w:val="24"/>
          <w:szCs w:val="24"/>
          <w:u w:val="single"/>
        </w:rPr>
      </w:pPr>
    </w:p>
    <w:p w14:paraId="2316EFAF" w14:textId="77777777" w:rsidR="00125189" w:rsidRDefault="00125189" w:rsidP="00125189">
      <w:pPr>
        <w:ind w:firstLine="708"/>
        <w:jc w:val="both"/>
        <w:rPr>
          <w:b/>
          <w:i/>
          <w:sz w:val="24"/>
          <w:szCs w:val="24"/>
          <w:u w:val="single"/>
        </w:rPr>
      </w:pPr>
    </w:p>
    <w:p w14:paraId="41F5CC30" w14:textId="77777777" w:rsidR="00125189" w:rsidRDefault="00125189" w:rsidP="00125189">
      <w:pPr>
        <w:ind w:firstLine="708"/>
        <w:jc w:val="both"/>
        <w:rPr>
          <w:b/>
          <w:i/>
          <w:sz w:val="24"/>
          <w:szCs w:val="24"/>
          <w:u w:val="single"/>
        </w:rPr>
      </w:pPr>
    </w:p>
    <w:p w14:paraId="0DA72F72" w14:textId="77777777" w:rsidR="00125189" w:rsidRDefault="00125189" w:rsidP="00125189">
      <w:pPr>
        <w:ind w:firstLine="708"/>
        <w:jc w:val="both"/>
        <w:rPr>
          <w:b/>
          <w:i/>
          <w:sz w:val="24"/>
          <w:szCs w:val="24"/>
          <w:u w:val="single"/>
        </w:rPr>
      </w:pPr>
    </w:p>
    <w:p w14:paraId="61D3F25E" w14:textId="77777777" w:rsidR="00125189" w:rsidRDefault="00125189" w:rsidP="00125189">
      <w:pPr>
        <w:ind w:firstLine="708"/>
        <w:jc w:val="both"/>
        <w:rPr>
          <w:b/>
          <w:i/>
          <w:sz w:val="24"/>
          <w:szCs w:val="24"/>
          <w:u w:val="single"/>
        </w:rPr>
      </w:pPr>
    </w:p>
    <w:p w14:paraId="1B05E4B4" w14:textId="77777777" w:rsidR="00125189" w:rsidRDefault="00125189" w:rsidP="00125189">
      <w:pPr>
        <w:ind w:firstLine="708"/>
        <w:jc w:val="both"/>
        <w:rPr>
          <w:b/>
          <w:i/>
          <w:sz w:val="24"/>
          <w:szCs w:val="24"/>
          <w:u w:val="single"/>
        </w:rPr>
      </w:pPr>
    </w:p>
    <w:p w14:paraId="4C239E17" w14:textId="77777777" w:rsidR="00125189" w:rsidRDefault="00125189" w:rsidP="00125189">
      <w:pPr>
        <w:ind w:firstLine="708"/>
        <w:jc w:val="both"/>
        <w:rPr>
          <w:b/>
          <w:i/>
          <w:sz w:val="24"/>
          <w:szCs w:val="24"/>
          <w:u w:val="single"/>
        </w:rPr>
      </w:pPr>
    </w:p>
    <w:p w14:paraId="0D74A3E3" w14:textId="77777777" w:rsidR="00125189" w:rsidRDefault="00125189" w:rsidP="00125189">
      <w:pPr>
        <w:ind w:firstLine="708"/>
        <w:jc w:val="both"/>
        <w:rPr>
          <w:b/>
          <w:i/>
          <w:sz w:val="24"/>
          <w:szCs w:val="24"/>
          <w:u w:val="single"/>
        </w:rPr>
      </w:pPr>
    </w:p>
    <w:p w14:paraId="4EBFF289" w14:textId="77777777" w:rsidR="00125189" w:rsidRDefault="00125189" w:rsidP="00125189">
      <w:pPr>
        <w:ind w:firstLine="708"/>
        <w:jc w:val="both"/>
        <w:rPr>
          <w:b/>
          <w:i/>
          <w:sz w:val="24"/>
          <w:szCs w:val="24"/>
          <w:u w:val="single"/>
        </w:rPr>
      </w:pPr>
    </w:p>
    <w:p w14:paraId="34C85F04" w14:textId="77777777" w:rsidR="00125189" w:rsidRDefault="00125189" w:rsidP="00125189">
      <w:pPr>
        <w:ind w:firstLine="708"/>
        <w:jc w:val="both"/>
        <w:rPr>
          <w:b/>
          <w:i/>
          <w:sz w:val="24"/>
          <w:szCs w:val="24"/>
          <w:u w:val="single"/>
        </w:rPr>
      </w:pPr>
    </w:p>
    <w:p w14:paraId="05F1EFDA" w14:textId="77777777" w:rsidR="00125189" w:rsidRDefault="00125189" w:rsidP="00125189">
      <w:pPr>
        <w:ind w:firstLine="708"/>
        <w:jc w:val="both"/>
        <w:rPr>
          <w:b/>
          <w:i/>
          <w:sz w:val="24"/>
          <w:szCs w:val="24"/>
          <w:u w:val="single"/>
        </w:rPr>
      </w:pPr>
    </w:p>
    <w:p w14:paraId="2D8B380B" w14:textId="77777777" w:rsidR="00125189" w:rsidRDefault="00125189" w:rsidP="00125189">
      <w:pPr>
        <w:ind w:firstLine="708"/>
        <w:jc w:val="both"/>
        <w:rPr>
          <w:b/>
          <w:i/>
          <w:sz w:val="24"/>
          <w:szCs w:val="24"/>
          <w:u w:val="single"/>
        </w:rPr>
      </w:pPr>
    </w:p>
    <w:p w14:paraId="50F1BA2A" w14:textId="77777777" w:rsidR="00125189" w:rsidRDefault="00125189" w:rsidP="00125189">
      <w:pPr>
        <w:ind w:firstLine="708"/>
        <w:jc w:val="both"/>
        <w:rPr>
          <w:b/>
          <w:i/>
          <w:sz w:val="24"/>
          <w:szCs w:val="24"/>
          <w:u w:val="single"/>
        </w:rPr>
      </w:pPr>
    </w:p>
    <w:p w14:paraId="647FB1A0" w14:textId="77777777" w:rsidR="00125189" w:rsidRDefault="00125189" w:rsidP="00125189">
      <w:pPr>
        <w:ind w:firstLine="708"/>
        <w:jc w:val="both"/>
        <w:rPr>
          <w:b/>
          <w:i/>
          <w:sz w:val="24"/>
          <w:szCs w:val="24"/>
          <w:u w:val="single"/>
        </w:rPr>
      </w:pPr>
    </w:p>
    <w:p w14:paraId="11CE3533" w14:textId="77777777" w:rsidR="00125189" w:rsidRDefault="00125189" w:rsidP="00125189">
      <w:pPr>
        <w:ind w:firstLine="708"/>
        <w:jc w:val="both"/>
        <w:rPr>
          <w:b/>
          <w:i/>
          <w:sz w:val="24"/>
          <w:szCs w:val="24"/>
          <w:u w:val="single"/>
        </w:rPr>
      </w:pPr>
    </w:p>
    <w:p w14:paraId="2EDB927C" w14:textId="77777777" w:rsidR="00125189" w:rsidRDefault="00125189" w:rsidP="00125189">
      <w:pPr>
        <w:ind w:firstLine="708"/>
        <w:jc w:val="both"/>
        <w:rPr>
          <w:b/>
          <w:i/>
          <w:sz w:val="24"/>
          <w:szCs w:val="24"/>
          <w:u w:val="single"/>
        </w:rPr>
      </w:pPr>
    </w:p>
    <w:p w14:paraId="388F784A" w14:textId="77777777" w:rsidR="00125189" w:rsidRDefault="00125189" w:rsidP="00125189">
      <w:pPr>
        <w:ind w:firstLine="708"/>
        <w:jc w:val="both"/>
        <w:rPr>
          <w:b/>
          <w:i/>
          <w:sz w:val="24"/>
          <w:szCs w:val="24"/>
          <w:u w:val="single"/>
        </w:rPr>
      </w:pPr>
    </w:p>
    <w:p w14:paraId="73066F2B" w14:textId="77777777" w:rsidR="00125189" w:rsidRDefault="00125189" w:rsidP="00125189">
      <w:pPr>
        <w:ind w:firstLine="708"/>
        <w:jc w:val="both"/>
        <w:rPr>
          <w:b/>
          <w:i/>
          <w:sz w:val="24"/>
          <w:szCs w:val="24"/>
          <w:u w:val="single"/>
        </w:rPr>
      </w:pPr>
    </w:p>
    <w:p w14:paraId="58E3BEFA" w14:textId="77777777" w:rsidR="00125189" w:rsidRDefault="00125189" w:rsidP="00125189">
      <w:pPr>
        <w:ind w:firstLine="708"/>
        <w:jc w:val="both"/>
        <w:rPr>
          <w:b/>
          <w:i/>
          <w:sz w:val="24"/>
          <w:szCs w:val="24"/>
          <w:u w:val="single"/>
        </w:rPr>
      </w:pPr>
    </w:p>
    <w:p w14:paraId="34226E7D" w14:textId="77777777" w:rsidR="00125189" w:rsidRDefault="00125189" w:rsidP="00125189">
      <w:pPr>
        <w:ind w:firstLine="708"/>
        <w:jc w:val="both"/>
        <w:rPr>
          <w:b/>
          <w:i/>
          <w:sz w:val="24"/>
          <w:szCs w:val="24"/>
          <w:u w:val="single"/>
        </w:rPr>
      </w:pPr>
    </w:p>
    <w:p w14:paraId="27F579F1" w14:textId="77777777" w:rsidR="00125189" w:rsidRDefault="00125189" w:rsidP="00125189">
      <w:pPr>
        <w:ind w:firstLine="708"/>
        <w:jc w:val="both"/>
        <w:rPr>
          <w:b/>
          <w:i/>
          <w:sz w:val="24"/>
          <w:szCs w:val="24"/>
          <w:u w:val="single"/>
        </w:rPr>
      </w:pPr>
    </w:p>
    <w:p w14:paraId="0F53E5CD" w14:textId="77777777" w:rsidR="00125189" w:rsidRDefault="00125189" w:rsidP="00125189">
      <w:pPr>
        <w:ind w:firstLine="708"/>
        <w:jc w:val="both"/>
        <w:rPr>
          <w:b/>
          <w:i/>
          <w:sz w:val="24"/>
          <w:szCs w:val="24"/>
          <w:u w:val="single"/>
        </w:rPr>
      </w:pPr>
    </w:p>
    <w:p w14:paraId="20A39562" w14:textId="77777777" w:rsidR="00125189" w:rsidRDefault="00125189" w:rsidP="00125189">
      <w:pPr>
        <w:ind w:firstLine="708"/>
        <w:jc w:val="both"/>
        <w:rPr>
          <w:b/>
          <w:i/>
          <w:sz w:val="24"/>
          <w:szCs w:val="24"/>
          <w:u w:val="single"/>
        </w:rPr>
      </w:pPr>
    </w:p>
    <w:p w14:paraId="3EA69503" w14:textId="77777777" w:rsidR="00125189" w:rsidRDefault="00125189" w:rsidP="00125189">
      <w:pPr>
        <w:ind w:firstLine="708"/>
        <w:jc w:val="both"/>
        <w:rPr>
          <w:b/>
          <w:i/>
          <w:sz w:val="24"/>
          <w:szCs w:val="24"/>
          <w:u w:val="single"/>
        </w:rPr>
      </w:pPr>
    </w:p>
    <w:p w14:paraId="17AF67B6" w14:textId="77777777" w:rsidR="00125189" w:rsidRDefault="00125189" w:rsidP="00125189">
      <w:pPr>
        <w:ind w:firstLine="708"/>
        <w:jc w:val="both"/>
        <w:rPr>
          <w:b/>
          <w:i/>
          <w:sz w:val="24"/>
          <w:szCs w:val="24"/>
          <w:u w:val="single"/>
        </w:rPr>
      </w:pPr>
    </w:p>
    <w:p w14:paraId="3F2A7FDE" w14:textId="77777777" w:rsidR="00125189" w:rsidRDefault="00125189" w:rsidP="00125189">
      <w:pPr>
        <w:ind w:firstLine="708"/>
        <w:jc w:val="both"/>
        <w:rPr>
          <w:b/>
          <w:i/>
          <w:sz w:val="24"/>
          <w:szCs w:val="24"/>
          <w:u w:val="single"/>
        </w:rPr>
      </w:pPr>
    </w:p>
    <w:p w14:paraId="5C783DD1" w14:textId="77777777" w:rsidR="00805127" w:rsidRPr="00805127" w:rsidRDefault="00805127" w:rsidP="00805127">
      <w:pPr>
        <w:spacing w:after="200"/>
        <w:ind w:left="708"/>
        <w:jc w:val="both"/>
        <w:rPr>
          <w:rFonts w:ascii="Times New Roman" w:hAnsi="Times New Roman"/>
          <w:b/>
          <w:sz w:val="24"/>
          <w:szCs w:val="24"/>
        </w:rPr>
      </w:pPr>
      <w:r w:rsidRPr="00805127">
        <w:rPr>
          <w:rFonts w:ascii="Times New Roman" w:hAnsi="Times New Roman"/>
          <w:sz w:val="24"/>
          <w:szCs w:val="24"/>
        </w:rPr>
        <w:t xml:space="preserve">     </w:t>
      </w:r>
    </w:p>
    <w:p w14:paraId="0BE8506C" w14:textId="77777777" w:rsidR="00805127" w:rsidRPr="00805127" w:rsidRDefault="00805127" w:rsidP="00805127">
      <w:pPr>
        <w:ind w:firstLine="708"/>
        <w:jc w:val="both"/>
        <w:rPr>
          <w:rFonts w:ascii="Times New Roman" w:hAnsi="Times New Roman"/>
          <w:sz w:val="24"/>
          <w:szCs w:val="24"/>
        </w:rPr>
      </w:pPr>
    </w:p>
    <w:p w14:paraId="22A72659" w14:textId="77777777" w:rsidR="00447135" w:rsidRDefault="00447135" w:rsidP="00805127">
      <w:pPr>
        <w:ind w:firstLine="708"/>
        <w:jc w:val="both"/>
        <w:rPr>
          <w:rFonts w:ascii="Times New Roman" w:hAnsi="Times New Roman"/>
          <w:b/>
          <w:i/>
          <w:sz w:val="24"/>
          <w:szCs w:val="24"/>
        </w:rPr>
      </w:pPr>
    </w:p>
    <w:p w14:paraId="497DF823" w14:textId="77777777" w:rsidR="00447135" w:rsidRDefault="00447135" w:rsidP="00805127">
      <w:pPr>
        <w:ind w:firstLine="708"/>
        <w:jc w:val="both"/>
        <w:rPr>
          <w:rFonts w:ascii="Times New Roman" w:hAnsi="Times New Roman"/>
          <w:b/>
          <w:i/>
          <w:sz w:val="24"/>
          <w:szCs w:val="24"/>
        </w:rPr>
      </w:pPr>
    </w:p>
    <w:p w14:paraId="5A088E75" w14:textId="77777777" w:rsidR="00447135" w:rsidRDefault="00447135" w:rsidP="00805127">
      <w:pPr>
        <w:ind w:firstLine="708"/>
        <w:jc w:val="both"/>
        <w:rPr>
          <w:rFonts w:ascii="Times New Roman" w:hAnsi="Times New Roman"/>
          <w:b/>
          <w:i/>
          <w:sz w:val="24"/>
          <w:szCs w:val="24"/>
        </w:rPr>
      </w:pPr>
    </w:p>
    <w:p w14:paraId="6C231AC2" w14:textId="77777777" w:rsidR="00447135" w:rsidRDefault="00447135" w:rsidP="00805127">
      <w:pPr>
        <w:ind w:firstLine="708"/>
        <w:jc w:val="both"/>
        <w:rPr>
          <w:rFonts w:ascii="Times New Roman" w:hAnsi="Times New Roman"/>
          <w:b/>
          <w:i/>
          <w:sz w:val="24"/>
          <w:szCs w:val="24"/>
        </w:rPr>
      </w:pPr>
    </w:p>
    <w:p w14:paraId="6A61FC60" w14:textId="154DFE57" w:rsidR="00805127" w:rsidRPr="00805127" w:rsidRDefault="00805127" w:rsidP="00805127">
      <w:pPr>
        <w:ind w:firstLine="708"/>
        <w:jc w:val="both"/>
        <w:rPr>
          <w:rFonts w:ascii="Times New Roman" w:hAnsi="Times New Roman"/>
          <w:sz w:val="24"/>
          <w:szCs w:val="24"/>
        </w:rPr>
      </w:pPr>
      <w:r w:rsidRPr="00805127">
        <w:rPr>
          <w:rFonts w:ascii="Times New Roman" w:hAnsi="Times New Roman"/>
          <w:b/>
          <w:i/>
          <w:sz w:val="24"/>
          <w:szCs w:val="24"/>
        </w:rPr>
        <w:t>Среди наиболее значи</w:t>
      </w:r>
      <w:r w:rsidR="007A29F7">
        <w:rPr>
          <w:rFonts w:ascii="Times New Roman" w:hAnsi="Times New Roman"/>
          <w:b/>
          <w:i/>
          <w:sz w:val="24"/>
          <w:szCs w:val="24"/>
        </w:rPr>
        <w:t>мых</w:t>
      </w:r>
      <w:r w:rsidRPr="00805127">
        <w:rPr>
          <w:rFonts w:ascii="Times New Roman" w:hAnsi="Times New Roman"/>
          <w:b/>
          <w:i/>
          <w:sz w:val="24"/>
          <w:szCs w:val="24"/>
        </w:rPr>
        <w:t xml:space="preserve"> результатов и событий прошедшего года необходимо отметить</w:t>
      </w:r>
      <w:r w:rsidRPr="00805127">
        <w:rPr>
          <w:rFonts w:ascii="Times New Roman" w:hAnsi="Times New Roman"/>
          <w:sz w:val="24"/>
          <w:szCs w:val="24"/>
        </w:rPr>
        <w:t>:</w:t>
      </w:r>
    </w:p>
    <w:p w14:paraId="4C1BD11B" w14:textId="77777777" w:rsidR="00805127" w:rsidRPr="00805127" w:rsidRDefault="00805127" w:rsidP="00805127">
      <w:pPr>
        <w:ind w:firstLine="708"/>
        <w:jc w:val="both"/>
        <w:rPr>
          <w:rFonts w:ascii="Times New Roman" w:hAnsi="Times New Roman"/>
          <w:sz w:val="24"/>
          <w:szCs w:val="24"/>
        </w:rPr>
      </w:pPr>
    </w:p>
    <w:p w14:paraId="6231D7AB" w14:textId="77777777" w:rsidR="00805127" w:rsidRPr="00805127" w:rsidRDefault="00805127" w:rsidP="00805127">
      <w:pPr>
        <w:numPr>
          <w:ilvl w:val="0"/>
          <w:numId w:val="24"/>
        </w:numPr>
        <w:spacing w:after="200" w:line="23" w:lineRule="atLeast"/>
        <w:contextualSpacing/>
        <w:jc w:val="both"/>
        <w:rPr>
          <w:rFonts w:ascii="Times New Roman" w:eastAsia="Calibri" w:hAnsi="Times New Roman"/>
          <w:b/>
          <w:sz w:val="24"/>
          <w:szCs w:val="24"/>
        </w:rPr>
      </w:pPr>
      <w:r w:rsidRPr="00805127">
        <w:rPr>
          <w:rFonts w:ascii="Times New Roman" w:eastAsia="Calibri" w:hAnsi="Times New Roman"/>
          <w:b/>
          <w:sz w:val="24"/>
          <w:szCs w:val="24"/>
        </w:rPr>
        <w:t xml:space="preserve"> В связи с изменением статуса НКЦ как банка на небанковскую кредитную организацию – центральный контрагент:</w:t>
      </w:r>
    </w:p>
    <w:p w14:paraId="2D2B9350" w14:textId="77777777" w:rsidR="00805127" w:rsidRPr="00805127" w:rsidRDefault="00805127" w:rsidP="001D44FC">
      <w:pPr>
        <w:numPr>
          <w:ilvl w:val="0"/>
          <w:numId w:val="26"/>
        </w:numPr>
        <w:jc w:val="both"/>
        <w:rPr>
          <w:rFonts w:ascii="Times New Roman" w:hAnsi="Times New Roman"/>
          <w:sz w:val="24"/>
          <w:szCs w:val="24"/>
          <w:lang w:eastAsia="ru-RU"/>
        </w:rPr>
      </w:pPr>
      <w:r w:rsidRPr="00805127">
        <w:rPr>
          <w:rFonts w:ascii="Times New Roman" w:hAnsi="Times New Roman"/>
          <w:sz w:val="24"/>
          <w:szCs w:val="24"/>
        </w:rPr>
        <w:t>разработаны и утверждены в новых редакциях и дополнены основополагающие внутренние документы НКО НКЦ (АО), включая Правила клиринга, Правила организации системы управления рисками, Методику проведения стресс-тестирования в НКО НКЦ (АО), Методику оценки точности моделей в НКО НКЦ (АО), Методику определения выделенного капитала центрального контрагента НКО НКЦ (АО),  а также утверждена новая редакция Устава организации, смена наименования и увеличение количества независимых директоров в составе Наблюдательного совета НКЦ;</w:t>
      </w:r>
    </w:p>
    <w:p w14:paraId="7BBF35E2" w14:textId="77777777" w:rsidR="00805127" w:rsidRPr="00805127" w:rsidRDefault="00805127" w:rsidP="00805127">
      <w:pPr>
        <w:numPr>
          <w:ilvl w:val="0"/>
          <w:numId w:val="26"/>
        </w:numPr>
        <w:tabs>
          <w:tab w:val="left" w:pos="426"/>
          <w:tab w:val="left" w:pos="709"/>
          <w:tab w:val="left" w:pos="851"/>
        </w:tabs>
        <w:autoSpaceDE w:val="0"/>
        <w:autoSpaceDN w:val="0"/>
        <w:spacing w:after="200" w:line="23" w:lineRule="atLeast"/>
        <w:contextualSpacing/>
        <w:jc w:val="both"/>
        <w:rPr>
          <w:rFonts w:ascii="Times New Roman" w:eastAsia="Calibri" w:hAnsi="Times New Roman"/>
          <w:sz w:val="24"/>
          <w:szCs w:val="24"/>
          <w:lang w:eastAsia="ru-RU"/>
        </w:rPr>
      </w:pPr>
      <w:r w:rsidRPr="00805127">
        <w:rPr>
          <w:rFonts w:ascii="Times New Roman" w:eastAsia="Calibri" w:hAnsi="Times New Roman"/>
          <w:sz w:val="24"/>
          <w:szCs w:val="24"/>
        </w:rPr>
        <w:t xml:space="preserve">внесены изменения в договоры с Банком России, регулирующие рассчетно-кассовое обслуживание НКЦ, </w:t>
      </w:r>
      <w:r w:rsidRPr="00805127">
        <w:rPr>
          <w:rFonts w:ascii="Times New Roman" w:eastAsia="Calibri" w:hAnsi="Times New Roman"/>
          <w:sz w:val="24"/>
          <w:szCs w:val="24"/>
          <w:lang w:eastAsia="ru-RU"/>
        </w:rPr>
        <w:t>порядок предоставления Банком России кредитов НКЦ и участие НКЦ в депозитных операциях Банка России;</w:t>
      </w:r>
    </w:p>
    <w:p w14:paraId="7183066D" w14:textId="77777777" w:rsidR="00805127" w:rsidRPr="00805127" w:rsidRDefault="00805127" w:rsidP="00805127">
      <w:pPr>
        <w:numPr>
          <w:ilvl w:val="0"/>
          <w:numId w:val="26"/>
        </w:numPr>
        <w:spacing w:after="120" w:line="23" w:lineRule="atLeast"/>
        <w:contextualSpacing/>
        <w:jc w:val="both"/>
        <w:rPr>
          <w:rFonts w:ascii="Times New Roman" w:eastAsia="Calibri" w:hAnsi="Times New Roman"/>
          <w:sz w:val="24"/>
          <w:szCs w:val="24"/>
        </w:rPr>
      </w:pPr>
      <w:r w:rsidRPr="00805127">
        <w:rPr>
          <w:rFonts w:ascii="Times New Roman" w:eastAsia="Calibri" w:hAnsi="Times New Roman"/>
          <w:sz w:val="24"/>
          <w:szCs w:val="24"/>
        </w:rPr>
        <w:t>получена лицензия на осуществление банковских операций для небанковских кредитных организаций – центральных контрагентов и обновлена лицензия на осуществление клиринговой деятельности.</w:t>
      </w:r>
    </w:p>
    <w:p w14:paraId="4A9A7005" w14:textId="77777777" w:rsidR="00805127" w:rsidRPr="00805127" w:rsidRDefault="00805127" w:rsidP="00805127">
      <w:pPr>
        <w:tabs>
          <w:tab w:val="left" w:pos="426"/>
          <w:tab w:val="left" w:pos="709"/>
          <w:tab w:val="left" w:pos="851"/>
        </w:tabs>
        <w:autoSpaceDE w:val="0"/>
        <w:autoSpaceDN w:val="0"/>
        <w:spacing w:line="23" w:lineRule="atLeast"/>
        <w:ind w:left="426"/>
        <w:contextualSpacing/>
        <w:jc w:val="both"/>
        <w:rPr>
          <w:rFonts w:ascii="Times New Roman" w:eastAsia="Calibri" w:hAnsi="Times New Roman"/>
          <w:sz w:val="24"/>
          <w:szCs w:val="24"/>
          <w:lang w:eastAsia="ru-RU"/>
        </w:rPr>
      </w:pPr>
    </w:p>
    <w:p w14:paraId="21C8435D" w14:textId="77777777" w:rsidR="00805127" w:rsidRPr="00805127" w:rsidRDefault="00805127" w:rsidP="00805127">
      <w:pPr>
        <w:ind w:firstLine="708"/>
        <w:jc w:val="both"/>
        <w:rPr>
          <w:rFonts w:ascii="Times New Roman" w:hAnsi="Times New Roman"/>
          <w:sz w:val="24"/>
          <w:szCs w:val="24"/>
        </w:rPr>
      </w:pPr>
    </w:p>
    <w:p w14:paraId="1ACD0E92" w14:textId="77777777" w:rsidR="00805127" w:rsidRPr="00805127" w:rsidRDefault="00805127" w:rsidP="00805127">
      <w:pPr>
        <w:spacing w:after="200"/>
        <w:ind w:left="502"/>
        <w:contextualSpacing/>
        <w:jc w:val="both"/>
        <w:rPr>
          <w:rFonts w:ascii="Times New Roman" w:eastAsia="Calibri" w:hAnsi="Times New Roman"/>
          <w:sz w:val="24"/>
          <w:szCs w:val="24"/>
          <w:lang w:eastAsia="ru-RU"/>
        </w:rPr>
      </w:pPr>
    </w:p>
    <w:p w14:paraId="47B4AAF7" w14:textId="77777777" w:rsidR="00805127" w:rsidRPr="00805127" w:rsidRDefault="00805127" w:rsidP="00805127">
      <w:pPr>
        <w:spacing w:after="200"/>
        <w:jc w:val="both"/>
        <w:rPr>
          <w:rFonts w:ascii="Times New Roman" w:hAnsi="Times New Roman" w:cstheme="minorBidi"/>
          <w:b/>
          <w:sz w:val="24"/>
          <w:szCs w:val="24"/>
        </w:rPr>
      </w:pPr>
      <w:r w:rsidRPr="00805127">
        <w:rPr>
          <w:rFonts w:ascii="Times New Roman" w:hAnsi="Times New Roman" w:cstheme="minorBidi"/>
          <w:b/>
          <w:sz w:val="24"/>
          <w:szCs w:val="24"/>
          <w:lang w:val="en-US" w:eastAsia="ru-RU"/>
        </w:rPr>
        <w:t>II</w:t>
      </w:r>
      <w:r w:rsidRPr="00805127">
        <w:rPr>
          <w:rFonts w:ascii="Times New Roman" w:hAnsi="Times New Roman" w:cstheme="minorBidi"/>
          <w:sz w:val="24"/>
          <w:szCs w:val="24"/>
          <w:lang w:eastAsia="ru-RU"/>
        </w:rPr>
        <w:t xml:space="preserve">.   </w:t>
      </w:r>
      <w:r w:rsidRPr="00805127">
        <w:rPr>
          <w:rFonts w:ascii="Times New Roman" w:hAnsi="Times New Roman" w:cstheme="minorBidi"/>
          <w:b/>
          <w:sz w:val="24"/>
          <w:szCs w:val="24"/>
          <w:lang w:eastAsia="ru-RU"/>
        </w:rPr>
        <w:t>В рамках реализации стратегических проектов Группы «Московская Биржа» по развитию клиринговой деятельности</w:t>
      </w:r>
      <w:r w:rsidRPr="00805127">
        <w:rPr>
          <w:rFonts w:ascii="Times New Roman" w:hAnsi="Times New Roman" w:cstheme="minorBidi"/>
          <w:sz w:val="24"/>
          <w:szCs w:val="24"/>
          <w:lang w:eastAsia="ru-RU"/>
        </w:rPr>
        <w:t>:</w:t>
      </w:r>
    </w:p>
    <w:p w14:paraId="790F9AD9" w14:textId="77777777" w:rsidR="00805127" w:rsidRPr="00805127" w:rsidRDefault="00805127" w:rsidP="00805127">
      <w:pPr>
        <w:spacing w:after="200"/>
        <w:ind w:left="502"/>
        <w:contextualSpacing/>
        <w:jc w:val="both"/>
        <w:rPr>
          <w:rFonts w:ascii="Times New Roman" w:eastAsia="Calibri" w:hAnsi="Times New Roman"/>
          <w:b/>
          <w:sz w:val="24"/>
          <w:szCs w:val="24"/>
        </w:rPr>
      </w:pPr>
    </w:p>
    <w:p w14:paraId="66B45DDB" w14:textId="77777777" w:rsidR="00805127" w:rsidRPr="00286CB1" w:rsidRDefault="00805127" w:rsidP="00805127">
      <w:pPr>
        <w:numPr>
          <w:ilvl w:val="0"/>
          <w:numId w:val="20"/>
        </w:numPr>
        <w:spacing w:after="200" w:line="276" w:lineRule="auto"/>
        <w:contextualSpacing/>
        <w:jc w:val="both"/>
        <w:rPr>
          <w:rFonts w:ascii="Times New Roman" w:eastAsia="Calibri" w:hAnsi="Times New Roman"/>
          <w:b/>
          <w:sz w:val="24"/>
          <w:szCs w:val="24"/>
        </w:rPr>
      </w:pPr>
      <w:r w:rsidRPr="00805127">
        <w:rPr>
          <w:rFonts w:ascii="Times New Roman" w:hAnsi="Times New Roman" w:cstheme="minorBidi"/>
          <w:b/>
          <w:sz w:val="24"/>
          <w:szCs w:val="24"/>
        </w:rPr>
        <w:t xml:space="preserve">Запущен проект «Единый пул обеспечения. Этап I», </w:t>
      </w:r>
      <w:r w:rsidRPr="00805127">
        <w:rPr>
          <w:rFonts w:ascii="Times New Roman" w:hAnsi="Times New Roman" w:cstheme="minorBidi"/>
          <w:sz w:val="24"/>
          <w:szCs w:val="24"/>
        </w:rPr>
        <w:t>направленный на</w:t>
      </w:r>
      <w:r w:rsidRPr="00805127">
        <w:rPr>
          <w:rFonts w:ascii="Times New Roman" w:eastAsia="Calibri" w:hAnsi="Times New Roman"/>
          <w:sz w:val="24"/>
          <w:szCs w:val="24"/>
        </w:rPr>
        <w:t xml:space="preserve"> снижение издержек участников на проведение операций на рынках Группы за счет предоставления клиринговым центром уникального даже по международным меркам клирингового функционала:</w:t>
      </w:r>
    </w:p>
    <w:p w14:paraId="30819179" w14:textId="77777777" w:rsidR="00A847D4" w:rsidRPr="002F4AA6" w:rsidRDefault="00A847D4" w:rsidP="00A847D4">
      <w:pPr>
        <w:pStyle w:val="a9"/>
        <w:numPr>
          <w:ilvl w:val="0"/>
          <w:numId w:val="21"/>
        </w:numPr>
        <w:spacing w:after="0" w:line="240" w:lineRule="auto"/>
        <w:jc w:val="both"/>
        <w:rPr>
          <w:rFonts w:ascii="Times New Roman" w:hAnsi="Times New Roman"/>
          <w:sz w:val="24"/>
          <w:szCs w:val="24"/>
        </w:rPr>
      </w:pPr>
      <w:r w:rsidRPr="002F4AA6">
        <w:rPr>
          <w:rFonts w:ascii="Times New Roman" w:hAnsi="Times New Roman"/>
          <w:sz w:val="24"/>
          <w:szCs w:val="24"/>
        </w:rPr>
        <w:t>единый счет</w:t>
      </w:r>
      <w:r>
        <w:rPr>
          <w:rFonts w:ascii="Times New Roman" w:hAnsi="Times New Roman"/>
          <w:sz w:val="24"/>
          <w:szCs w:val="24"/>
        </w:rPr>
        <w:t xml:space="preserve"> (счет единого пула)</w:t>
      </w:r>
      <w:r w:rsidRPr="002F4AA6">
        <w:rPr>
          <w:rFonts w:ascii="Times New Roman" w:hAnsi="Times New Roman"/>
          <w:sz w:val="24"/>
          <w:szCs w:val="24"/>
        </w:rPr>
        <w:t>;</w:t>
      </w:r>
    </w:p>
    <w:p w14:paraId="75B68C8C" w14:textId="77777777" w:rsidR="00A847D4" w:rsidRDefault="00A847D4" w:rsidP="00A847D4">
      <w:pPr>
        <w:pStyle w:val="a9"/>
        <w:numPr>
          <w:ilvl w:val="0"/>
          <w:numId w:val="21"/>
        </w:numPr>
        <w:spacing w:after="0" w:line="240" w:lineRule="auto"/>
        <w:jc w:val="both"/>
        <w:rPr>
          <w:rFonts w:ascii="Times New Roman" w:hAnsi="Times New Roman"/>
          <w:sz w:val="24"/>
          <w:szCs w:val="24"/>
        </w:rPr>
      </w:pPr>
      <w:r w:rsidRPr="002F4AA6">
        <w:rPr>
          <w:rFonts w:ascii="Times New Roman" w:hAnsi="Times New Roman"/>
          <w:sz w:val="24"/>
          <w:szCs w:val="24"/>
        </w:rPr>
        <w:t>единое обеспечение</w:t>
      </w:r>
      <w:r>
        <w:rPr>
          <w:rFonts w:ascii="Times New Roman" w:hAnsi="Times New Roman"/>
          <w:sz w:val="24"/>
          <w:szCs w:val="24"/>
        </w:rPr>
        <w:t>, включая управление обеспечением в едином пуле</w:t>
      </w:r>
      <w:r w:rsidRPr="002F4AA6">
        <w:rPr>
          <w:rFonts w:ascii="Times New Roman" w:hAnsi="Times New Roman"/>
          <w:sz w:val="24"/>
          <w:szCs w:val="24"/>
        </w:rPr>
        <w:t>;</w:t>
      </w:r>
    </w:p>
    <w:p w14:paraId="773ABC89" w14:textId="77777777" w:rsidR="00A847D4" w:rsidRPr="002F4AA6" w:rsidRDefault="00A847D4" w:rsidP="00A847D4">
      <w:pPr>
        <w:pStyle w:val="a9"/>
        <w:numPr>
          <w:ilvl w:val="0"/>
          <w:numId w:val="21"/>
        </w:numPr>
        <w:spacing w:after="0" w:line="240" w:lineRule="auto"/>
        <w:jc w:val="both"/>
        <w:rPr>
          <w:rFonts w:ascii="Times New Roman" w:hAnsi="Times New Roman"/>
          <w:sz w:val="24"/>
          <w:szCs w:val="24"/>
        </w:rPr>
      </w:pPr>
      <w:r>
        <w:rPr>
          <w:rFonts w:ascii="Times New Roman" w:hAnsi="Times New Roman"/>
          <w:sz w:val="24"/>
          <w:szCs w:val="24"/>
        </w:rPr>
        <w:lastRenderedPageBreak/>
        <w:t>возможность кросс-маржирования между валютным рынком и рынком драгоценных металлов и фондовым и денежным рынками;</w:t>
      </w:r>
    </w:p>
    <w:p w14:paraId="235FC058" w14:textId="77777777" w:rsidR="00A847D4" w:rsidRPr="00743D4C" w:rsidRDefault="00A847D4" w:rsidP="00A847D4">
      <w:pPr>
        <w:pStyle w:val="a9"/>
        <w:numPr>
          <w:ilvl w:val="0"/>
          <w:numId w:val="21"/>
        </w:numPr>
        <w:spacing w:after="0" w:line="240" w:lineRule="auto"/>
        <w:jc w:val="both"/>
        <w:rPr>
          <w:rFonts w:ascii="Times New Roman" w:hAnsi="Times New Roman"/>
          <w:sz w:val="24"/>
          <w:szCs w:val="24"/>
        </w:rPr>
      </w:pPr>
      <w:r w:rsidRPr="00743D4C">
        <w:rPr>
          <w:rFonts w:ascii="Times New Roman" w:hAnsi="Times New Roman"/>
          <w:sz w:val="24"/>
          <w:szCs w:val="24"/>
        </w:rPr>
        <w:t xml:space="preserve">возможность кросс-маржирования между срочным рынком и фондовым и денежным рынками (реализация запланирована на этапе </w:t>
      </w:r>
      <w:r w:rsidRPr="00743D4C">
        <w:rPr>
          <w:rFonts w:ascii="Times New Roman" w:hAnsi="Times New Roman"/>
          <w:sz w:val="24"/>
          <w:szCs w:val="24"/>
          <w:lang w:val="en-US"/>
        </w:rPr>
        <w:t>II</w:t>
      </w:r>
      <w:r w:rsidRPr="00743D4C">
        <w:rPr>
          <w:rFonts w:ascii="Times New Roman" w:hAnsi="Times New Roman"/>
          <w:sz w:val="24"/>
          <w:szCs w:val="24"/>
        </w:rPr>
        <w:t xml:space="preserve"> проекта в </w:t>
      </w:r>
      <w:r w:rsidRPr="00743D4C">
        <w:rPr>
          <w:rFonts w:ascii="Times New Roman" w:hAnsi="Times New Roman"/>
          <w:sz w:val="24"/>
          <w:szCs w:val="24"/>
          <w:lang w:val="en-US"/>
        </w:rPr>
        <w:t>I</w:t>
      </w:r>
      <w:r w:rsidRPr="00743D4C">
        <w:rPr>
          <w:rFonts w:ascii="Times New Roman" w:hAnsi="Times New Roman"/>
          <w:sz w:val="24"/>
          <w:szCs w:val="24"/>
        </w:rPr>
        <w:t>-м полугодии 2018 года);</w:t>
      </w:r>
    </w:p>
    <w:p w14:paraId="2B62AB17" w14:textId="77777777" w:rsidR="00A847D4" w:rsidRDefault="00A847D4" w:rsidP="00A847D4">
      <w:pPr>
        <w:pStyle w:val="a9"/>
        <w:numPr>
          <w:ilvl w:val="0"/>
          <w:numId w:val="21"/>
        </w:numPr>
        <w:spacing w:after="0" w:line="240" w:lineRule="auto"/>
        <w:jc w:val="both"/>
        <w:rPr>
          <w:rFonts w:ascii="Times New Roman" w:hAnsi="Times New Roman"/>
          <w:sz w:val="24"/>
          <w:szCs w:val="24"/>
        </w:rPr>
      </w:pPr>
      <w:r w:rsidRPr="002F4AA6">
        <w:rPr>
          <w:rFonts w:ascii="Times New Roman" w:hAnsi="Times New Roman"/>
          <w:sz w:val="24"/>
          <w:szCs w:val="24"/>
        </w:rPr>
        <w:t>неттинг при проведении расчетов по сделкам, заключенным на валютном</w:t>
      </w:r>
      <w:r>
        <w:rPr>
          <w:rFonts w:ascii="Times New Roman" w:hAnsi="Times New Roman"/>
          <w:sz w:val="24"/>
          <w:szCs w:val="24"/>
        </w:rPr>
        <w:t xml:space="preserve"> </w:t>
      </w:r>
      <w:r w:rsidRPr="00EA2597">
        <w:rPr>
          <w:rFonts w:ascii="Times New Roman" w:hAnsi="Times New Roman"/>
          <w:bCs/>
          <w:sz w:val="24"/>
          <w:szCs w:val="24"/>
        </w:rPr>
        <w:t>рынк</w:t>
      </w:r>
      <w:r>
        <w:rPr>
          <w:rFonts w:ascii="Times New Roman" w:hAnsi="Times New Roman"/>
          <w:bCs/>
          <w:sz w:val="24"/>
          <w:szCs w:val="24"/>
        </w:rPr>
        <w:t>е</w:t>
      </w:r>
      <w:r w:rsidRPr="00EA2597">
        <w:rPr>
          <w:rFonts w:ascii="Times New Roman" w:hAnsi="Times New Roman"/>
          <w:bCs/>
          <w:sz w:val="24"/>
          <w:szCs w:val="24"/>
        </w:rPr>
        <w:t xml:space="preserve"> и рынк</w:t>
      </w:r>
      <w:r>
        <w:rPr>
          <w:rFonts w:ascii="Times New Roman" w:hAnsi="Times New Roman"/>
          <w:bCs/>
          <w:sz w:val="24"/>
          <w:szCs w:val="24"/>
        </w:rPr>
        <w:t>е</w:t>
      </w:r>
      <w:r w:rsidRPr="00EA2597">
        <w:rPr>
          <w:rFonts w:ascii="Times New Roman" w:hAnsi="Times New Roman"/>
          <w:bCs/>
          <w:sz w:val="24"/>
          <w:szCs w:val="24"/>
        </w:rPr>
        <w:t xml:space="preserve"> д</w:t>
      </w:r>
      <w:r>
        <w:rPr>
          <w:rFonts w:ascii="Times New Roman" w:hAnsi="Times New Roman"/>
          <w:bCs/>
          <w:sz w:val="24"/>
          <w:szCs w:val="24"/>
        </w:rPr>
        <w:t>рагоценных металлов</w:t>
      </w:r>
      <w:r w:rsidRPr="002F4AA6">
        <w:rPr>
          <w:rFonts w:ascii="Times New Roman" w:hAnsi="Times New Roman"/>
          <w:sz w:val="24"/>
          <w:szCs w:val="24"/>
        </w:rPr>
        <w:t xml:space="preserve">, фондовом </w:t>
      </w:r>
      <w:r>
        <w:rPr>
          <w:rFonts w:ascii="Times New Roman" w:hAnsi="Times New Roman"/>
          <w:bCs/>
          <w:sz w:val="24"/>
          <w:szCs w:val="24"/>
        </w:rPr>
        <w:t xml:space="preserve">и </w:t>
      </w:r>
      <w:r w:rsidRPr="00EA2597">
        <w:rPr>
          <w:rFonts w:ascii="Times New Roman" w:hAnsi="Times New Roman"/>
          <w:bCs/>
          <w:sz w:val="24"/>
          <w:szCs w:val="24"/>
        </w:rPr>
        <w:t>денежн</w:t>
      </w:r>
      <w:r>
        <w:rPr>
          <w:rFonts w:ascii="Times New Roman" w:hAnsi="Times New Roman"/>
          <w:bCs/>
          <w:sz w:val="24"/>
          <w:szCs w:val="24"/>
        </w:rPr>
        <w:t>ом</w:t>
      </w:r>
      <w:r w:rsidRPr="00EA2597">
        <w:rPr>
          <w:rFonts w:ascii="Times New Roman" w:hAnsi="Times New Roman"/>
          <w:bCs/>
          <w:sz w:val="24"/>
          <w:szCs w:val="24"/>
        </w:rPr>
        <w:t xml:space="preserve"> рынк</w:t>
      </w:r>
      <w:r>
        <w:rPr>
          <w:rFonts w:ascii="Times New Roman" w:hAnsi="Times New Roman"/>
          <w:bCs/>
          <w:sz w:val="24"/>
          <w:szCs w:val="24"/>
        </w:rPr>
        <w:t>ах,</w:t>
      </w:r>
      <w:r w:rsidRPr="002F4AA6">
        <w:rPr>
          <w:rFonts w:ascii="Times New Roman" w:hAnsi="Times New Roman"/>
          <w:sz w:val="24"/>
          <w:szCs w:val="24"/>
        </w:rPr>
        <w:t xml:space="preserve"> срочном рынк</w:t>
      </w:r>
      <w:r>
        <w:rPr>
          <w:rFonts w:ascii="Times New Roman" w:hAnsi="Times New Roman"/>
          <w:sz w:val="24"/>
          <w:szCs w:val="24"/>
        </w:rPr>
        <w:t>е</w:t>
      </w:r>
      <w:r w:rsidRPr="002F4AA6">
        <w:rPr>
          <w:rFonts w:ascii="Times New Roman" w:hAnsi="Times New Roman"/>
          <w:sz w:val="24"/>
          <w:szCs w:val="24"/>
        </w:rPr>
        <w:t>.</w:t>
      </w:r>
    </w:p>
    <w:p w14:paraId="034A50E6" w14:textId="4829C077" w:rsidR="00A847D4" w:rsidRDefault="00A847D4" w:rsidP="00A847D4">
      <w:pPr>
        <w:ind w:firstLine="708"/>
        <w:jc w:val="both"/>
        <w:rPr>
          <w:b/>
          <w:sz w:val="24"/>
          <w:szCs w:val="24"/>
        </w:rPr>
      </w:pPr>
    </w:p>
    <w:p w14:paraId="04C960D6" w14:textId="07434EBC" w:rsidR="00266F28" w:rsidRDefault="00266F28" w:rsidP="00A847D4">
      <w:pPr>
        <w:ind w:firstLine="708"/>
        <w:jc w:val="both"/>
        <w:rPr>
          <w:b/>
          <w:sz w:val="24"/>
          <w:szCs w:val="24"/>
        </w:rPr>
      </w:pPr>
    </w:p>
    <w:p w14:paraId="3C304176" w14:textId="0E616EE5" w:rsidR="00266F28" w:rsidRDefault="00266F28" w:rsidP="00A847D4">
      <w:pPr>
        <w:ind w:firstLine="708"/>
        <w:jc w:val="both"/>
        <w:rPr>
          <w:b/>
          <w:sz w:val="24"/>
          <w:szCs w:val="24"/>
        </w:rPr>
      </w:pPr>
    </w:p>
    <w:p w14:paraId="4AE7F6D8" w14:textId="77777777" w:rsidR="00266F28" w:rsidRDefault="00266F28" w:rsidP="00A847D4">
      <w:pPr>
        <w:ind w:firstLine="708"/>
        <w:jc w:val="both"/>
        <w:rPr>
          <w:b/>
          <w:sz w:val="24"/>
          <w:szCs w:val="24"/>
        </w:rPr>
      </w:pPr>
    </w:p>
    <w:p w14:paraId="550E3C3A" w14:textId="77777777" w:rsidR="00286CB1" w:rsidRPr="00805127" w:rsidRDefault="00286CB1" w:rsidP="00286CB1">
      <w:pPr>
        <w:spacing w:after="200" w:line="276" w:lineRule="auto"/>
        <w:ind w:left="927"/>
        <w:contextualSpacing/>
        <w:jc w:val="both"/>
        <w:rPr>
          <w:rFonts w:ascii="Times New Roman" w:eastAsia="Calibri" w:hAnsi="Times New Roman"/>
          <w:b/>
          <w:sz w:val="24"/>
          <w:szCs w:val="24"/>
        </w:rPr>
      </w:pPr>
    </w:p>
    <w:p w14:paraId="1E297183" w14:textId="77777777" w:rsidR="001C1E6D" w:rsidRPr="001C1E6D" w:rsidRDefault="001C1E6D" w:rsidP="001C1E6D">
      <w:pPr>
        <w:ind w:firstLine="708"/>
        <w:jc w:val="both"/>
        <w:rPr>
          <w:rFonts w:ascii="Times New Roman" w:hAnsi="Times New Roman"/>
          <w:b/>
          <w:sz w:val="24"/>
          <w:szCs w:val="24"/>
        </w:rPr>
      </w:pPr>
      <w:r w:rsidRPr="001C1E6D">
        <w:rPr>
          <w:rFonts w:ascii="Times New Roman" w:hAnsi="Times New Roman"/>
          <w:b/>
          <w:sz w:val="24"/>
          <w:szCs w:val="24"/>
        </w:rPr>
        <w:t>Преимущества Единого пула</w:t>
      </w:r>
    </w:p>
    <w:p w14:paraId="36F48369" w14:textId="77777777" w:rsidR="001C1E6D" w:rsidRDefault="001C1E6D" w:rsidP="001C1E6D">
      <w:pPr>
        <w:pStyle w:val="a9"/>
        <w:numPr>
          <w:ilvl w:val="0"/>
          <w:numId w:val="21"/>
        </w:numPr>
        <w:spacing w:after="0" w:line="240" w:lineRule="auto"/>
        <w:jc w:val="both"/>
        <w:rPr>
          <w:rFonts w:ascii="Times New Roman" w:hAnsi="Times New Roman"/>
          <w:sz w:val="24"/>
          <w:szCs w:val="24"/>
        </w:rPr>
      </w:pPr>
      <w:r>
        <w:rPr>
          <w:rFonts w:ascii="Times New Roman" w:hAnsi="Times New Roman"/>
          <w:sz w:val="24"/>
          <w:szCs w:val="24"/>
        </w:rPr>
        <w:t>В части клирингового о</w:t>
      </w:r>
      <w:r w:rsidRPr="002F4AA6">
        <w:rPr>
          <w:rFonts w:ascii="Times New Roman" w:hAnsi="Times New Roman"/>
          <w:sz w:val="24"/>
          <w:szCs w:val="24"/>
        </w:rPr>
        <w:t>беспечени</w:t>
      </w:r>
      <w:r>
        <w:rPr>
          <w:rFonts w:ascii="Times New Roman" w:hAnsi="Times New Roman"/>
          <w:sz w:val="24"/>
          <w:szCs w:val="24"/>
        </w:rPr>
        <w:t>я:</w:t>
      </w:r>
    </w:p>
    <w:p w14:paraId="5D621E4C" w14:textId="77777777" w:rsidR="001C1E6D" w:rsidRPr="006A5C68" w:rsidRDefault="001C1E6D" w:rsidP="001C1E6D">
      <w:pPr>
        <w:pStyle w:val="a9"/>
        <w:numPr>
          <w:ilvl w:val="1"/>
          <w:numId w:val="21"/>
        </w:numPr>
        <w:spacing w:after="0" w:line="240" w:lineRule="auto"/>
        <w:jc w:val="both"/>
        <w:rPr>
          <w:rFonts w:ascii="Times New Roman" w:hAnsi="Times New Roman"/>
          <w:sz w:val="24"/>
          <w:szCs w:val="24"/>
        </w:rPr>
      </w:pPr>
      <w:r w:rsidRPr="006A5C68">
        <w:rPr>
          <w:rFonts w:ascii="Times New Roman" w:hAnsi="Times New Roman"/>
          <w:sz w:val="24"/>
          <w:szCs w:val="24"/>
        </w:rPr>
        <w:t xml:space="preserve">унифицирован перечень активов, принимаемых в качестве коллективного клирингового обеспечения (взносов в гарантийные фонды) на </w:t>
      </w:r>
      <w:r w:rsidRPr="006A5C68">
        <w:rPr>
          <w:rFonts w:ascii="Times New Roman" w:hAnsi="Times New Roman"/>
          <w:bCs/>
          <w:sz w:val="24"/>
          <w:szCs w:val="24"/>
        </w:rPr>
        <w:t>валютном рынке и рынке драгоценных металлов, фондовом и денежном рынках, срочном рынке и рынке Стандартизированных ПФИ</w:t>
      </w:r>
      <w:r w:rsidRPr="006A5C68">
        <w:rPr>
          <w:rFonts w:ascii="Times New Roman" w:hAnsi="Times New Roman"/>
          <w:sz w:val="24"/>
          <w:szCs w:val="24"/>
        </w:rPr>
        <w:t xml:space="preserve"> (включая прием суверенных облигаций и еврооблигации на всех рынках) (реализована в 2015 году для </w:t>
      </w:r>
      <w:r w:rsidRPr="006A5C68">
        <w:rPr>
          <w:rFonts w:ascii="Times New Roman" w:hAnsi="Times New Roman"/>
          <w:bCs/>
          <w:sz w:val="24"/>
          <w:szCs w:val="24"/>
        </w:rPr>
        <w:t>валютного рынка и рынка драгоценных металлов, фондового и денежного рынков, срочного рынка и рынка Стандартизированных ПФИ</w:t>
      </w:r>
      <w:r w:rsidRPr="006A5C68">
        <w:rPr>
          <w:rFonts w:ascii="Times New Roman" w:hAnsi="Times New Roman"/>
          <w:sz w:val="24"/>
          <w:szCs w:val="24"/>
        </w:rPr>
        <w:t>);</w:t>
      </w:r>
    </w:p>
    <w:p w14:paraId="18312A92" w14:textId="77777777" w:rsidR="001C1E6D" w:rsidRPr="006A5C68" w:rsidRDefault="001C1E6D" w:rsidP="001C1E6D">
      <w:pPr>
        <w:pStyle w:val="a9"/>
        <w:numPr>
          <w:ilvl w:val="1"/>
          <w:numId w:val="21"/>
        </w:numPr>
        <w:spacing w:after="0" w:line="240" w:lineRule="auto"/>
        <w:jc w:val="both"/>
        <w:rPr>
          <w:rFonts w:ascii="Times New Roman" w:hAnsi="Times New Roman"/>
          <w:sz w:val="24"/>
          <w:szCs w:val="24"/>
        </w:rPr>
      </w:pPr>
      <w:r w:rsidRPr="006A5C68">
        <w:rPr>
          <w:rFonts w:ascii="Times New Roman" w:hAnsi="Times New Roman"/>
          <w:sz w:val="24"/>
          <w:szCs w:val="24"/>
        </w:rPr>
        <w:t xml:space="preserve">унифицирован перечень активов, принимаемых в качестве </w:t>
      </w:r>
      <w:r w:rsidR="006A5C68">
        <w:rPr>
          <w:rFonts w:ascii="Times New Roman" w:hAnsi="Times New Roman"/>
          <w:sz w:val="24"/>
          <w:szCs w:val="24"/>
        </w:rPr>
        <w:t xml:space="preserve">индивидуального </w:t>
      </w:r>
      <w:r w:rsidRPr="006A5C68">
        <w:rPr>
          <w:rFonts w:ascii="Times New Roman" w:hAnsi="Times New Roman"/>
          <w:sz w:val="24"/>
          <w:szCs w:val="24"/>
        </w:rPr>
        <w:t xml:space="preserve">обеспечения исполнения обязательств по сделкам, заключенным на </w:t>
      </w:r>
      <w:r w:rsidRPr="006A5C68">
        <w:rPr>
          <w:rFonts w:ascii="Times New Roman" w:hAnsi="Times New Roman"/>
          <w:bCs/>
          <w:sz w:val="24"/>
          <w:szCs w:val="24"/>
        </w:rPr>
        <w:t>валютном рынке и рынке драгоценных металлов, фондовом и денежном рынках, срочном рынке за счет обеспечения на едином счете;</w:t>
      </w:r>
    </w:p>
    <w:p w14:paraId="313AD82A" w14:textId="77777777" w:rsidR="001C1E6D" w:rsidRPr="006A5C68" w:rsidRDefault="001C1E6D" w:rsidP="001C1E6D">
      <w:pPr>
        <w:pStyle w:val="a9"/>
        <w:numPr>
          <w:ilvl w:val="1"/>
          <w:numId w:val="21"/>
        </w:numPr>
        <w:spacing w:after="0" w:line="240" w:lineRule="auto"/>
        <w:jc w:val="both"/>
        <w:rPr>
          <w:rFonts w:ascii="Times New Roman" w:hAnsi="Times New Roman"/>
          <w:sz w:val="24"/>
          <w:szCs w:val="24"/>
        </w:rPr>
      </w:pPr>
      <w:r w:rsidRPr="006A5C68">
        <w:rPr>
          <w:rFonts w:ascii="Times New Roman" w:hAnsi="Times New Roman"/>
          <w:sz w:val="24"/>
          <w:szCs w:val="24"/>
        </w:rPr>
        <w:t xml:space="preserve">унифицирован подход к приему активов в качестве обеспечения исполнения обязательств по сделкам, заключенным на </w:t>
      </w:r>
      <w:r w:rsidRPr="006A5C68">
        <w:rPr>
          <w:rFonts w:ascii="Times New Roman" w:hAnsi="Times New Roman"/>
          <w:bCs/>
          <w:sz w:val="24"/>
          <w:szCs w:val="24"/>
        </w:rPr>
        <w:t>валютном рынке и рынке драгоценных металлов, фондовом и денежном рынках, срочном рынке</w:t>
      </w:r>
      <w:r w:rsidRPr="006A5C68">
        <w:rPr>
          <w:rFonts w:ascii="Times New Roman" w:hAnsi="Times New Roman"/>
          <w:sz w:val="24"/>
          <w:szCs w:val="24"/>
        </w:rPr>
        <w:t xml:space="preserve"> за счет обеспечения на разных счетах для каждого рынка.</w:t>
      </w:r>
    </w:p>
    <w:p w14:paraId="398394C8" w14:textId="77777777" w:rsidR="001C1E6D" w:rsidRDefault="001C1E6D" w:rsidP="001C1E6D">
      <w:pPr>
        <w:pStyle w:val="a9"/>
        <w:numPr>
          <w:ilvl w:val="0"/>
          <w:numId w:val="21"/>
        </w:numPr>
        <w:spacing w:after="0" w:line="240" w:lineRule="auto"/>
        <w:jc w:val="both"/>
        <w:rPr>
          <w:rFonts w:ascii="Times New Roman" w:hAnsi="Times New Roman"/>
          <w:sz w:val="24"/>
          <w:szCs w:val="24"/>
        </w:rPr>
      </w:pPr>
      <w:r w:rsidRPr="006A5C68">
        <w:rPr>
          <w:rFonts w:ascii="Times New Roman" w:hAnsi="Times New Roman"/>
          <w:sz w:val="24"/>
          <w:szCs w:val="24"/>
        </w:rPr>
        <w:t>В части расчетов</w:t>
      </w:r>
      <w:r>
        <w:rPr>
          <w:rFonts w:ascii="Times New Roman" w:hAnsi="Times New Roman"/>
          <w:sz w:val="24"/>
          <w:szCs w:val="24"/>
        </w:rPr>
        <w:t>:</w:t>
      </w:r>
    </w:p>
    <w:p w14:paraId="07EF881D" w14:textId="04E8A8EF" w:rsidR="001C1E6D" w:rsidRDefault="0080787B" w:rsidP="001C1E6D">
      <w:pPr>
        <w:pStyle w:val="a9"/>
        <w:numPr>
          <w:ilvl w:val="1"/>
          <w:numId w:val="21"/>
        </w:numPr>
        <w:spacing w:after="0" w:line="240" w:lineRule="auto"/>
        <w:jc w:val="both"/>
        <w:rPr>
          <w:rFonts w:ascii="Times New Roman" w:hAnsi="Times New Roman"/>
          <w:sz w:val="24"/>
          <w:szCs w:val="24"/>
        </w:rPr>
      </w:pPr>
      <w:r>
        <w:rPr>
          <w:rFonts w:ascii="Times New Roman" w:hAnsi="Times New Roman"/>
          <w:sz w:val="24"/>
          <w:szCs w:val="24"/>
        </w:rPr>
        <w:t>р</w:t>
      </w:r>
      <w:r w:rsidR="001C1E6D" w:rsidRPr="002F4AA6">
        <w:rPr>
          <w:rFonts w:ascii="Times New Roman" w:hAnsi="Times New Roman"/>
          <w:sz w:val="24"/>
          <w:szCs w:val="24"/>
        </w:rPr>
        <w:t xml:space="preserve">асчеты по обязательствам и требованиям из сделок, заключенных на </w:t>
      </w:r>
      <w:r w:rsidR="001C1E6D">
        <w:rPr>
          <w:rFonts w:ascii="Times New Roman" w:hAnsi="Times New Roman"/>
          <w:sz w:val="24"/>
          <w:szCs w:val="24"/>
        </w:rPr>
        <w:t>в</w:t>
      </w:r>
      <w:r w:rsidR="001C1E6D" w:rsidRPr="00EA2597">
        <w:rPr>
          <w:rFonts w:ascii="Times New Roman" w:hAnsi="Times New Roman"/>
          <w:bCs/>
          <w:sz w:val="24"/>
          <w:szCs w:val="24"/>
        </w:rPr>
        <w:t>алютн</w:t>
      </w:r>
      <w:r w:rsidR="001C1E6D">
        <w:rPr>
          <w:rFonts w:ascii="Times New Roman" w:hAnsi="Times New Roman"/>
          <w:bCs/>
          <w:sz w:val="24"/>
          <w:szCs w:val="24"/>
        </w:rPr>
        <w:t>ом</w:t>
      </w:r>
      <w:r w:rsidR="001C1E6D" w:rsidRPr="00EA2597">
        <w:rPr>
          <w:rFonts w:ascii="Times New Roman" w:hAnsi="Times New Roman"/>
          <w:bCs/>
          <w:sz w:val="24"/>
          <w:szCs w:val="24"/>
        </w:rPr>
        <w:t xml:space="preserve"> рынк</w:t>
      </w:r>
      <w:r w:rsidR="001C1E6D">
        <w:rPr>
          <w:rFonts w:ascii="Times New Roman" w:hAnsi="Times New Roman"/>
          <w:bCs/>
          <w:sz w:val="24"/>
          <w:szCs w:val="24"/>
        </w:rPr>
        <w:t>е</w:t>
      </w:r>
      <w:r w:rsidR="001C1E6D" w:rsidRPr="00EA2597">
        <w:rPr>
          <w:rFonts w:ascii="Times New Roman" w:hAnsi="Times New Roman"/>
          <w:bCs/>
          <w:sz w:val="24"/>
          <w:szCs w:val="24"/>
        </w:rPr>
        <w:t xml:space="preserve"> и рынк</w:t>
      </w:r>
      <w:r w:rsidR="001C1E6D">
        <w:rPr>
          <w:rFonts w:ascii="Times New Roman" w:hAnsi="Times New Roman"/>
          <w:bCs/>
          <w:sz w:val="24"/>
          <w:szCs w:val="24"/>
        </w:rPr>
        <w:t>е</w:t>
      </w:r>
      <w:r w:rsidR="001C1E6D" w:rsidRPr="00EA2597">
        <w:rPr>
          <w:rFonts w:ascii="Times New Roman" w:hAnsi="Times New Roman"/>
          <w:bCs/>
          <w:sz w:val="24"/>
          <w:szCs w:val="24"/>
        </w:rPr>
        <w:t xml:space="preserve"> д</w:t>
      </w:r>
      <w:r w:rsidR="001C1E6D">
        <w:rPr>
          <w:rFonts w:ascii="Times New Roman" w:hAnsi="Times New Roman"/>
          <w:bCs/>
          <w:sz w:val="24"/>
          <w:szCs w:val="24"/>
        </w:rPr>
        <w:t xml:space="preserve">рагоценных металлов, фондовом и </w:t>
      </w:r>
      <w:r w:rsidR="001C1E6D" w:rsidRPr="00EA2597">
        <w:rPr>
          <w:rFonts w:ascii="Times New Roman" w:hAnsi="Times New Roman"/>
          <w:bCs/>
          <w:sz w:val="24"/>
          <w:szCs w:val="24"/>
        </w:rPr>
        <w:t>денежн</w:t>
      </w:r>
      <w:r w:rsidR="001C1E6D">
        <w:rPr>
          <w:rFonts w:ascii="Times New Roman" w:hAnsi="Times New Roman"/>
          <w:bCs/>
          <w:sz w:val="24"/>
          <w:szCs w:val="24"/>
        </w:rPr>
        <w:t>ом</w:t>
      </w:r>
      <w:r w:rsidR="001C1E6D" w:rsidRPr="00EA2597">
        <w:rPr>
          <w:rFonts w:ascii="Times New Roman" w:hAnsi="Times New Roman"/>
          <w:bCs/>
          <w:sz w:val="24"/>
          <w:szCs w:val="24"/>
        </w:rPr>
        <w:t xml:space="preserve"> рынк</w:t>
      </w:r>
      <w:r w:rsidR="001C1E6D">
        <w:rPr>
          <w:rFonts w:ascii="Times New Roman" w:hAnsi="Times New Roman"/>
          <w:bCs/>
          <w:sz w:val="24"/>
          <w:szCs w:val="24"/>
        </w:rPr>
        <w:t>ах</w:t>
      </w:r>
      <w:r w:rsidR="001C1E6D" w:rsidRPr="00EA2597">
        <w:rPr>
          <w:rFonts w:ascii="Times New Roman" w:hAnsi="Times New Roman"/>
          <w:bCs/>
          <w:sz w:val="24"/>
          <w:szCs w:val="24"/>
        </w:rPr>
        <w:t>, срочн</w:t>
      </w:r>
      <w:r w:rsidR="001C1E6D">
        <w:rPr>
          <w:rFonts w:ascii="Times New Roman" w:hAnsi="Times New Roman"/>
          <w:bCs/>
          <w:sz w:val="24"/>
          <w:szCs w:val="24"/>
        </w:rPr>
        <w:t>ом</w:t>
      </w:r>
      <w:r w:rsidR="001C1E6D" w:rsidRPr="00EA2597">
        <w:rPr>
          <w:rFonts w:ascii="Times New Roman" w:hAnsi="Times New Roman"/>
          <w:bCs/>
          <w:sz w:val="24"/>
          <w:szCs w:val="24"/>
        </w:rPr>
        <w:t xml:space="preserve"> рынк</w:t>
      </w:r>
      <w:r w:rsidR="001C1E6D">
        <w:rPr>
          <w:rFonts w:ascii="Times New Roman" w:hAnsi="Times New Roman"/>
          <w:bCs/>
          <w:sz w:val="24"/>
          <w:szCs w:val="24"/>
        </w:rPr>
        <w:t>е</w:t>
      </w:r>
      <w:r w:rsidR="001C1E6D" w:rsidRPr="002F4AA6">
        <w:rPr>
          <w:rFonts w:ascii="Times New Roman" w:hAnsi="Times New Roman"/>
          <w:sz w:val="24"/>
          <w:szCs w:val="24"/>
        </w:rPr>
        <w:t xml:space="preserve">, </w:t>
      </w:r>
      <w:r w:rsidR="001C1E6D">
        <w:rPr>
          <w:rFonts w:ascii="Times New Roman" w:hAnsi="Times New Roman"/>
          <w:sz w:val="24"/>
          <w:szCs w:val="24"/>
        </w:rPr>
        <w:t xml:space="preserve">проводятся </w:t>
      </w:r>
      <w:r w:rsidR="001C1E6D" w:rsidRPr="002F4AA6">
        <w:rPr>
          <w:rFonts w:ascii="Times New Roman" w:hAnsi="Times New Roman"/>
          <w:sz w:val="24"/>
          <w:szCs w:val="24"/>
        </w:rPr>
        <w:t>на нетто-основе з</w:t>
      </w:r>
      <w:r w:rsidR="001C1E6D">
        <w:rPr>
          <w:rFonts w:ascii="Times New Roman" w:hAnsi="Times New Roman"/>
          <w:sz w:val="24"/>
          <w:szCs w:val="24"/>
        </w:rPr>
        <w:t>а счет активов, учитываемых на счете единого пула.</w:t>
      </w:r>
    </w:p>
    <w:p w14:paraId="0B4570A5" w14:textId="77777777" w:rsidR="001C1E6D" w:rsidRPr="00195C8B" w:rsidRDefault="001C1E6D" w:rsidP="001C1E6D">
      <w:pPr>
        <w:pStyle w:val="a9"/>
        <w:numPr>
          <w:ilvl w:val="0"/>
          <w:numId w:val="21"/>
        </w:numPr>
        <w:spacing w:after="0" w:line="240" w:lineRule="auto"/>
        <w:jc w:val="both"/>
        <w:rPr>
          <w:rFonts w:ascii="Times New Roman" w:hAnsi="Times New Roman"/>
          <w:sz w:val="24"/>
          <w:szCs w:val="24"/>
        </w:rPr>
      </w:pPr>
      <w:r w:rsidRPr="00195C8B">
        <w:rPr>
          <w:rFonts w:ascii="Times New Roman" w:hAnsi="Times New Roman"/>
          <w:sz w:val="24"/>
          <w:szCs w:val="24"/>
        </w:rPr>
        <w:t>В части расчета требований к обеспечению:</w:t>
      </w:r>
    </w:p>
    <w:p w14:paraId="01FF0E96" w14:textId="77777777" w:rsidR="001C1E6D" w:rsidRPr="00743D4C" w:rsidRDefault="001C1E6D" w:rsidP="001C1E6D">
      <w:pPr>
        <w:pStyle w:val="a9"/>
        <w:numPr>
          <w:ilvl w:val="1"/>
          <w:numId w:val="21"/>
        </w:numPr>
        <w:spacing w:after="0" w:line="240" w:lineRule="auto"/>
        <w:jc w:val="both"/>
        <w:rPr>
          <w:rFonts w:ascii="Times New Roman" w:hAnsi="Times New Roman"/>
          <w:sz w:val="24"/>
          <w:szCs w:val="24"/>
        </w:rPr>
      </w:pPr>
      <w:r w:rsidRPr="00743D4C">
        <w:rPr>
          <w:rFonts w:ascii="Times New Roman" w:hAnsi="Times New Roman"/>
          <w:sz w:val="24"/>
          <w:szCs w:val="24"/>
        </w:rPr>
        <w:t>реализованы элементы кросс-маржирования, позволяющие обеспечить кросс-маржирование обязательств и требований из сделок, заключенных на разных рынках: между валютным рынком и рынком драгоценных металлов и фондовым и денежным рынками (реализовано), между срочным рынком и фондовым и денежным рынками (планируется к реализации в 2018 году).</w:t>
      </w:r>
    </w:p>
    <w:p w14:paraId="30DF3D27" w14:textId="77777777" w:rsidR="001C1E6D" w:rsidRDefault="001C1E6D" w:rsidP="001C1E6D">
      <w:pPr>
        <w:ind w:firstLine="708"/>
        <w:jc w:val="both"/>
        <w:rPr>
          <w:b/>
          <w:sz w:val="24"/>
          <w:szCs w:val="24"/>
        </w:rPr>
      </w:pPr>
    </w:p>
    <w:p w14:paraId="7F39BE88" w14:textId="77777777" w:rsidR="001C1E6D" w:rsidRPr="001C1E6D" w:rsidRDefault="001C1E6D" w:rsidP="001C1E6D">
      <w:pPr>
        <w:ind w:firstLine="708"/>
        <w:jc w:val="both"/>
        <w:rPr>
          <w:rFonts w:ascii="Times New Roman" w:hAnsi="Times New Roman"/>
          <w:b/>
          <w:sz w:val="24"/>
          <w:szCs w:val="24"/>
        </w:rPr>
      </w:pPr>
      <w:r w:rsidRPr="001C1E6D">
        <w:rPr>
          <w:rFonts w:ascii="Times New Roman" w:hAnsi="Times New Roman"/>
          <w:b/>
          <w:sz w:val="24"/>
          <w:szCs w:val="24"/>
        </w:rPr>
        <w:t>Особенности расчетов на нетто-основе</w:t>
      </w:r>
    </w:p>
    <w:p w14:paraId="654F758B" w14:textId="5DA415A6" w:rsidR="001C1E6D" w:rsidRDefault="0080787B" w:rsidP="001C1E6D">
      <w:pPr>
        <w:pStyle w:val="a9"/>
        <w:numPr>
          <w:ilvl w:val="0"/>
          <w:numId w:val="21"/>
        </w:numPr>
        <w:spacing w:after="0" w:line="240" w:lineRule="auto"/>
        <w:jc w:val="both"/>
        <w:rPr>
          <w:rFonts w:ascii="Times New Roman" w:hAnsi="Times New Roman"/>
          <w:sz w:val="24"/>
          <w:szCs w:val="24"/>
        </w:rPr>
      </w:pPr>
      <w:r>
        <w:rPr>
          <w:rFonts w:ascii="Times New Roman" w:hAnsi="Times New Roman"/>
          <w:sz w:val="24"/>
          <w:szCs w:val="24"/>
        </w:rPr>
        <w:lastRenderedPageBreak/>
        <w:t>о</w:t>
      </w:r>
      <w:r w:rsidR="001C1E6D" w:rsidRPr="00C7211C">
        <w:rPr>
          <w:rFonts w:ascii="Times New Roman" w:hAnsi="Times New Roman"/>
          <w:sz w:val="24"/>
          <w:szCs w:val="24"/>
        </w:rPr>
        <w:t>бязательства и тре</w:t>
      </w:r>
      <w:r w:rsidR="001C1E6D">
        <w:rPr>
          <w:rFonts w:ascii="Times New Roman" w:hAnsi="Times New Roman"/>
          <w:sz w:val="24"/>
          <w:szCs w:val="24"/>
        </w:rPr>
        <w:t>бования, учитываемые на счете единого пула</w:t>
      </w:r>
      <w:r w:rsidR="001C1E6D" w:rsidRPr="00C7211C">
        <w:rPr>
          <w:rFonts w:ascii="Times New Roman" w:hAnsi="Times New Roman"/>
          <w:sz w:val="24"/>
          <w:szCs w:val="24"/>
        </w:rPr>
        <w:t xml:space="preserve">, возникающие </w:t>
      </w:r>
      <w:r w:rsidR="001C1E6D">
        <w:rPr>
          <w:rFonts w:ascii="Times New Roman" w:hAnsi="Times New Roman"/>
          <w:sz w:val="24"/>
          <w:szCs w:val="24"/>
        </w:rPr>
        <w:t xml:space="preserve">из </w:t>
      </w:r>
      <w:r w:rsidR="001C1E6D" w:rsidRPr="00C7211C">
        <w:rPr>
          <w:rFonts w:ascii="Times New Roman" w:hAnsi="Times New Roman"/>
          <w:sz w:val="24"/>
          <w:szCs w:val="24"/>
        </w:rPr>
        <w:t>сделок, заключенных на разных рынках, в том числе обязательств по уплате вариационной маржи</w:t>
      </w:r>
      <w:r w:rsidR="001C1E6D">
        <w:rPr>
          <w:rFonts w:ascii="Times New Roman" w:hAnsi="Times New Roman"/>
          <w:sz w:val="24"/>
          <w:szCs w:val="24"/>
        </w:rPr>
        <w:t>, в дату исполнения</w:t>
      </w:r>
      <w:r w:rsidR="001C1E6D" w:rsidRPr="00C7211C">
        <w:rPr>
          <w:rFonts w:ascii="Times New Roman" w:hAnsi="Times New Roman"/>
          <w:sz w:val="24"/>
          <w:szCs w:val="24"/>
        </w:rPr>
        <w:t xml:space="preserve"> прекраща</w:t>
      </w:r>
      <w:r w:rsidR="001C1E6D">
        <w:rPr>
          <w:rFonts w:ascii="Times New Roman" w:hAnsi="Times New Roman"/>
          <w:sz w:val="24"/>
          <w:szCs w:val="24"/>
        </w:rPr>
        <w:t>ются в результате неттинга (по каждому</w:t>
      </w:r>
      <w:r w:rsidR="001C1E6D" w:rsidRPr="00C7211C">
        <w:rPr>
          <w:rFonts w:ascii="Times New Roman" w:hAnsi="Times New Roman"/>
          <w:sz w:val="24"/>
          <w:szCs w:val="24"/>
        </w:rPr>
        <w:t xml:space="preserve"> актив</w:t>
      </w:r>
      <w:r w:rsidR="003C049C">
        <w:rPr>
          <w:rFonts w:ascii="Times New Roman" w:hAnsi="Times New Roman"/>
          <w:sz w:val="24"/>
          <w:szCs w:val="24"/>
        </w:rPr>
        <w:t>у);</w:t>
      </w:r>
    </w:p>
    <w:p w14:paraId="345D455D" w14:textId="7ADF7717" w:rsidR="001C1E6D" w:rsidRDefault="0080787B" w:rsidP="001C1E6D">
      <w:pPr>
        <w:pStyle w:val="a9"/>
        <w:numPr>
          <w:ilvl w:val="0"/>
          <w:numId w:val="21"/>
        </w:numPr>
        <w:spacing w:after="0" w:line="240" w:lineRule="auto"/>
        <w:jc w:val="both"/>
        <w:rPr>
          <w:rFonts w:ascii="Times New Roman" w:hAnsi="Times New Roman"/>
          <w:sz w:val="24"/>
          <w:szCs w:val="24"/>
        </w:rPr>
      </w:pPr>
      <w:r>
        <w:rPr>
          <w:rFonts w:ascii="Times New Roman" w:hAnsi="Times New Roman"/>
          <w:sz w:val="24"/>
          <w:szCs w:val="24"/>
        </w:rPr>
        <w:t>и</w:t>
      </w:r>
      <w:r w:rsidR="001C1E6D">
        <w:rPr>
          <w:rFonts w:ascii="Times New Roman" w:hAnsi="Times New Roman"/>
          <w:sz w:val="24"/>
          <w:szCs w:val="24"/>
        </w:rPr>
        <w:t>тоговое нетто-обязательство, определенное по итогам неттинга обязательств и требований из сделок, заключенных на разных рынках, исполняется за счет активов, учитываемых на счете единого пула</w:t>
      </w:r>
      <w:r w:rsidR="003C049C">
        <w:rPr>
          <w:rFonts w:ascii="Times New Roman" w:hAnsi="Times New Roman"/>
          <w:sz w:val="24"/>
          <w:szCs w:val="24"/>
        </w:rPr>
        <w:t>;</w:t>
      </w:r>
    </w:p>
    <w:p w14:paraId="793AE1E4" w14:textId="6571A6D3" w:rsidR="001C1E6D" w:rsidRDefault="0080787B" w:rsidP="001C1E6D">
      <w:pPr>
        <w:pStyle w:val="a9"/>
        <w:numPr>
          <w:ilvl w:val="0"/>
          <w:numId w:val="21"/>
        </w:numPr>
        <w:spacing w:after="0" w:line="240" w:lineRule="auto"/>
        <w:jc w:val="both"/>
        <w:rPr>
          <w:rFonts w:ascii="Times New Roman" w:hAnsi="Times New Roman"/>
          <w:sz w:val="24"/>
          <w:szCs w:val="24"/>
        </w:rPr>
      </w:pPr>
      <w:r>
        <w:rPr>
          <w:rFonts w:ascii="Times New Roman" w:hAnsi="Times New Roman"/>
          <w:sz w:val="24"/>
          <w:szCs w:val="24"/>
        </w:rPr>
        <w:t>у</w:t>
      </w:r>
      <w:r w:rsidR="001C1E6D" w:rsidRPr="00C7211C">
        <w:rPr>
          <w:rFonts w:ascii="Times New Roman" w:hAnsi="Times New Roman"/>
          <w:sz w:val="24"/>
          <w:szCs w:val="24"/>
        </w:rPr>
        <w:t>регулирование всех неисполненных обязательств</w:t>
      </w:r>
      <w:r w:rsidR="001C1E6D">
        <w:rPr>
          <w:rFonts w:ascii="Times New Roman" w:hAnsi="Times New Roman"/>
          <w:sz w:val="24"/>
          <w:szCs w:val="24"/>
        </w:rPr>
        <w:t>, учитываемых</w:t>
      </w:r>
      <w:r w:rsidR="001C1E6D" w:rsidRPr="00C7211C">
        <w:rPr>
          <w:rFonts w:ascii="Times New Roman" w:hAnsi="Times New Roman"/>
          <w:sz w:val="24"/>
          <w:szCs w:val="24"/>
        </w:rPr>
        <w:t xml:space="preserve"> по </w:t>
      </w:r>
      <w:r w:rsidR="001C1E6D">
        <w:rPr>
          <w:rFonts w:ascii="Times New Roman" w:hAnsi="Times New Roman"/>
          <w:sz w:val="24"/>
          <w:szCs w:val="24"/>
        </w:rPr>
        <w:t xml:space="preserve">счету </w:t>
      </w:r>
      <w:r w:rsidR="001C1E6D" w:rsidRPr="00C7211C">
        <w:rPr>
          <w:rFonts w:ascii="Times New Roman" w:hAnsi="Times New Roman"/>
          <w:sz w:val="24"/>
          <w:szCs w:val="24"/>
        </w:rPr>
        <w:t>един</w:t>
      </w:r>
      <w:r w:rsidR="001C1E6D">
        <w:rPr>
          <w:rFonts w:ascii="Times New Roman" w:hAnsi="Times New Roman"/>
          <w:sz w:val="24"/>
          <w:szCs w:val="24"/>
        </w:rPr>
        <w:t>ого</w:t>
      </w:r>
      <w:r w:rsidR="001C1E6D" w:rsidRPr="00C7211C">
        <w:rPr>
          <w:rFonts w:ascii="Times New Roman" w:hAnsi="Times New Roman"/>
          <w:sz w:val="24"/>
          <w:szCs w:val="24"/>
        </w:rPr>
        <w:t xml:space="preserve"> </w:t>
      </w:r>
      <w:r w:rsidR="001C1E6D">
        <w:rPr>
          <w:rFonts w:ascii="Times New Roman" w:hAnsi="Times New Roman"/>
          <w:sz w:val="24"/>
          <w:szCs w:val="24"/>
        </w:rPr>
        <w:t>пула,</w:t>
      </w:r>
      <w:r w:rsidR="001C1E6D" w:rsidRPr="00C7211C">
        <w:rPr>
          <w:rFonts w:ascii="Times New Roman" w:hAnsi="Times New Roman"/>
          <w:sz w:val="24"/>
          <w:szCs w:val="24"/>
        </w:rPr>
        <w:t xml:space="preserve"> </w:t>
      </w:r>
      <w:r w:rsidR="001C1E6D">
        <w:rPr>
          <w:rFonts w:ascii="Times New Roman" w:hAnsi="Times New Roman"/>
          <w:sz w:val="24"/>
          <w:szCs w:val="24"/>
        </w:rPr>
        <w:t>осуществляется путем</w:t>
      </w:r>
      <w:r w:rsidR="001C1E6D" w:rsidRPr="00C7211C">
        <w:rPr>
          <w:rFonts w:ascii="Times New Roman" w:hAnsi="Times New Roman"/>
          <w:sz w:val="24"/>
          <w:szCs w:val="24"/>
        </w:rPr>
        <w:t xml:space="preserve"> заключени</w:t>
      </w:r>
      <w:r w:rsidR="001C1E6D">
        <w:rPr>
          <w:rFonts w:ascii="Times New Roman" w:hAnsi="Times New Roman"/>
          <w:sz w:val="24"/>
          <w:szCs w:val="24"/>
        </w:rPr>
        <w:t>я</w:t>
      </w:r>
      <w:r w:rsidR="001C1E6D" w:rsidRPr="00C7211C">
        <w:rPr>
          <w:rFonts w:ascii="Times New Roman" w:hAnsi="Times New Roman"/>
          <w:sz w:val="24"/>
          <w:szCs w:val="24"/>
        </w:rPr>
        <w:t xml:space="preserve"> сделок урегулирования (РЕПО, своп или закрывающих сделок купли-продаж</w:t>
      </w:r>
      <w:r w:rsidR="003C049C">
        <w:rPr>
          <w:rFonts w:ascii="Times New Roman" w:hAnsi="Times New Roman"/>
          <w:sz w:val="24"/>
          <w:szCs w:val="24"/>
        </w:rPr>
        <w:t>и) за счет единого обеспечения;</w:t>
      </w:r>
    </w:p>
    <w:p w14:paraId="62F8D140" w14:textId="675382D0" w:rsidR="001C1E6D" w:rsidRDefault="0080787B" w:rsidP="001C1E6D">
      <w:pPr>
        <w:pStyle w:val="a9"/>
        <w:numPr>
          <w:ilvl w:val="0"/>
          <w:numId w:val="21"/>
        </w:numPr>
        <w:spacing w:after="0" w:line="240" w:lineRule="auto"/>
        <w:jc w:val="both"/>
        <w:rPr>
          <w:rFonts w:ascii="Times New Roman" w:hAnsi="Times New Roman"/>
          <w:sz w:val="24"/>
          <w:szCs w:val="24"/>
        </w:rPr>
      </w:pPr>
      <w:r>
        <w:rPr>
          <w:rFonts w:ascii="Times New Roman" w:hAnsi="Times New Roman"/>
          <w:sz w:val="24"/>
          <w:szCs w:val="24"/>
        </w:rPr>
        <w:t>у</w:t>
      </w:r>
      <w:r w:rsidR="001C1E6D" w:rsidRPr="00C7211C">
        <w:rPr>
          <w:rFonts w:ascii="Times New Roman" w:hAnsi="Times New Roman"/>
          <w:sz w:val="24"/>
          <w:szCs w:val="24"/>
        </w:rPr>
        <w:t>нифи</w:t>
      </w:r>
      <w:r w:rsidR="001C1E6D">
        <w:rPr>
          <w:rFonts w:ascii="Times New Roman" w:hAnsi="Times New Roman"/>
          <w:sz w:val="24"/>
          <w:szCs w:val="24"/>
        </w:rPr>
        <w:t>цирован</w:t>
      </w:r>
      <w:r w:rsidR="001C1E6D" w:rsidRPr="00C7211C">
        <w:rPr>
          <w:rFonts w:ascii="Times New Roman" w:hAnsi="Times New Roman"/>
          <w:sz w:val="24"/>
          <w:szCs w:val="24"/>
        </w:rPr>
        <w:t xml:space="preserve"> временно</w:t>
      </w:r>
      <w:r w:rsidR="001C1E6D">
        <w:rPr>
          <w:rFonts w:ascii="Times New Roman" w:hAnsi="Times New Roman"/>
          <w:sz w:val="24"/>
          <w:szCs w:val="24"/>
        </w:rPr>
        <w:t>й</w:t>
      </w:r>
      <w:r w:rsidR="001C1E6D" w:rsidRPr="00C7211C">
        <w:rPr>
          <w:rFonts w:ascii="Times New Roman" w:hAnsi="Times New Roman"/>
          <w:sz w:val="24"/>
          <w:szCs w:val="24"/>
        </w:rPr>
        <w:t xml:space="preserve"> регламент исполнения обязат</w:t>
      </w:r>
      <w:r w:rsidR="001C1E6D">
        <w:rPr>
          <w:rFonts w:ascii="Times New Roman" w:hAnsi="Times New Roman"/>
          <w:sz w:val="24"/>
          <w:szCs w:val="24"/>
        </w:rPr>
        <w:t>ельств по всем рынкам:</w:t>
      </w:r>
    </w:p>
    <w:p w14:paraId="7E8073F7" w14:textId="77777777" w:rsidR="001C1E6D" w:rsidRDefault="001C1E6D" w:rsidP="001C1E6D">
      <w:pPr>
        <w:pStyle w:val="a9"/>
        <w:numPr>
          <w:ilvl w:val="1"/>
          <w:numId w:val="21"/>
        </w:numPr>
        <w:spacing w:after="0" w:line="240" w:lineRule="auto"/>
        <w:jc w:val="both"/>
        <w:rPr>
          <w:rFonts w:ascii="Times New Roman" w:hAnsi="Times New Roman"/>
          <w:sz w:val="24"/>
          <w:szCs w:val="24"/>
        </w:rPr>
      </w:pPr>
      <w:r w:rsidRPr="00C7211C">
        <w:rPr>
          <w:rFonts w:ascii="Times New Roman" w:hAnsi="Times New Roman"/>
          <w:sz w:val="24"/>
          <w:szCs w:val="24"/>
        </w:rPr>
        <w:t xml:space="preserve">обязательства по </w:t>
      </w:r>
      <w:r>
        <w:rPr>
          <w:rFonts w:ascii="Times New Roman" w:hAnsi="Times New Roman"/>
          <w:sz w:val="24"/>
          <w:szCs w:val="24"/>
        </w:rPr>
        <w:t xml:space="preserve">ценным </w:t>
      </w:r>
      <w:r w:rsidRPr="00C7211C">
        <w:rPr>
          <w:rFonts w:ascii="Times New Roman" w:hAnsi="Times New Roman"/>
          <w:sz w:val="24"/>
          <w:szCs w:val="24"/>
        </w:rPr>
        <w:t>бумагам исполняются в клир</w:t>
      </w:r>
      <w:r>
        <w:rPr>
          <w:rFonts w:ascii="Times New Roman" w:hAnsi="Times New Roman"/>
          <w:sz w:val="24"/>
          <w:szCs w:val="24"/>
        </w:rPr>
        <w:t>инговые сессии в 17:00 и 19:00,</w:t>
      </w:r>
    </w:p>
    <w:p w14:paraId="20EDC444" w14:textId="77777777" w:rsidR="001C1E6D" w:rsidRDefault="001C1E6D" w:rsidP="001C1E6D">
      <w:pPr>
        <w:pStyle w:val="a9"/>
        <w:numPr>
          <w:ilvl w:val="1"/>
          <w:numId w:val="21"/>
        </w:numPr>
        <w:spacing w:after="0" w:line="240" w:lineRule="auto"/>
        <w:jc w:val="both"/>
        <w:rPr>
          <w:rFonts w:ascii="Times New Roman" w:hAnsi="Times New Roman"/>
          <w:sz w:val="24"/>
          <w:szCs w:val="24"/>
        </w:rPr>
      </w:pPr>
      <w:r w:rsidRPr="00C7211C">
        <w:rPr>
          <w:rFonts w:ascii="Times New Roman" w:hAnsi="Times New Roman"/>
          <w:sz w:val="24"/>
          <w:szCs w:val="24"/>
        </w:rPr>
        <w:t>обязател</w:t>
      </w:r>
      <w:r>
        <w:rPr>
          <w:rFonts w:ascii="Times New Roman" w:hAnsi="Times New Roman"/>
          <w:sz w:val="24"/>
          <w:szCs w:val="24"/>
        </w:rPr>
        <w:t>ьства по денежным средствам у</w:t>
      </w:r>
      <w:r w:rsidRPr="00C7211C">
        <w:rPr>
          <w:rFonts w:ascii="Times New Roman" w:hAnsi="Times New Roman"/>
          <w:sz w:val="24"/>
          <w:szCs w:val="24"/>
        </w:rPr>
        <w:t xml:space="preserve">частников клиринга перед </w:t>
      </w:r>
      <w:r>
        <w:rPr>
          <w:rFonts w:ascii="Times New Roman" w:hAnsi="Times New Roman"/>
          <w:sz w:val="24"/>
          <w:szCs w:val="24"/>
        </w:rPr>
        <w:t>Н</w:t>
      </w:r>
      <w:r w:rsidRPr="00C7211C">
        <w:rPr>
          <w:rFonts w:ascii="Times New Roman" w:hAnsi="Times New Roman"/>
          <w:sz w:val="24"/>
          <w:szCs w:val="24"/>
        </w:rPr>
        <w:t>К</w:t>
      </w:r>
      <w:r>
        <w:rPr>
          <w:rFonts w:ascii="Times New Roman" w:hAnsi="Times New Roman"/>
          <w:sz w:val="24"/>
          <w:szCs w:val="24"/>
        </w:rPr>
        <w:t>Ц</w:t>
      </w:r>
      <w:r w:rsidRPr="00C7211C">
        <w:rPr>
          <w:rFonts w:ascii="Times New Roman" w:hAnsi="Times New Roman"/>
          <w:sz w:val="24"/>
          <w:szCs w:val="24"/>
        </w:rPr>
        <w:t xml:space="preserve"> – </w:t>
      </w:r>
      <w:r>
        <w:rPr>
          <w:rFonts w:ascii="Times New Roman" w:hAnsi="Times New Roman"/>
          <w:sz w:val="24"/>
          <w:szCs w:val="24"/>
        </w:rPr>
        <w:t xml:space="preserve">в срок, установленный с учетом </w:t>
      </w:r>
      <w:r w:rsidRPr="00C7211C">
        <w:rPr>
          <w:rFonts w:ascii="Times New Roman" w:hAnsi="Times New Roman"/>
          <w:sz w:val="24"/>
          <w:szCs w:val="24"/>
        </w:rPr>
        <w:t>cut</w:t>
      </w:r>
      <w:r>
        <w:rPr>
          <w:rFonts w:ascii="Times New Roman" w:hAnsi="Times New Roman"/>
          <w:sz w:val="24"/>
          <w:szCs w:val="24"/>
        </w:rPr>
        <w:t>-</w:t>
      </w:r>
      <w:r w:rsidRPr="00C7211C">
        <w:rPr>
          <w:rFonts w:ascii="Times New Roman" w:hAnsi="Times New Roman"/>
          <w:sz w:val="24"/>
          <w:szCs w:val="24"/>
        </w:rPr>
        <w:t xml:space="preserve">off </w:t>
      </w:r>
      <w:r>
        <w:rPr>
          <w:rFonts w:ascii="Times New Roman" w:hAnsi="Times New Roman"/>
          <w:sz w:val="24"/>
          <w:szCs w:val="24"/>
        </w:rPr>
        <w:t>time по соответствующей валюте, но не позднее 20:00 по московскому времени;</w:t>
      </w:r>
    </w:p>
    <w:p w14:paraId="5C8F3028" w14:textId="77777777" w:rsidR="001C1E6D" w:rsidRPr="00B86D9A" w:rsidRDefault="001C1E6D" w:rsidP="001C1E6D">
      <w:pPr>
        <w:pStyle w:val="a9"/>
        <w:numPr>
          <w:ilvl w:val="1"/>
          <w:numId w:val="21"/>
        </w:numPr>
        <w:spacing w:after="0" w:line="240" w:lineRule="auto"/>
        <w:jc w:val="both"/>
        <w:rPr>
          <w:rFonts w:ascii="Times New Roman" w:hAnsi="Times New Roman"/>
          <w:sz w:val="24"/>
          <w:szCs w:val="24"/>
        </w:rPr>
      </w:pPr>
      <w:r w:rsidRPr="00B86D9A">
        <w:rPr>
          <w:rFonts w:ascii="Times New Roman" w:hAnsi="Times New Roman"/>
          <w:sz w:val="24"/>
          <w:szCs w:val="24"/>
        </w:rPr>
        <w:t>за исполнение обязательств по денежным средствам с нарушением срока, установленного временным регламентом, с участника клиринга взимается штраф.</w:t>
      </w:r>
    </w:p>
    <w:p w14:paraId="7C3744FF" w14:textId="77777777" w:rsidR="001C1E6D" w:rsidRDefault="001C1E6D" w:rsidP="001C1E6D">
      <w:pPr>
        <w:ind w:firstLine="708"/>
        <w:jc w:val="both"/>
        <w:rPr>
          <w:b/>
          <w:sz w:val="24"/>
          <w:szCs w:val="24"/>
        </w:rPr>
      </w:pPr>
    </w:p>
    <w:p w14:paraId="6F5EDC00" w14:textId="77777777" w:rsidR="001C1E6D" w:rsidRPr="00B3310A" w:rsidRDefault="001C1E6D" w:rsidP="001C1E6D">
      <w:pPr>
        <w:ind w:left="567"/>
        <w:jc w:val="both"/>
        <w:rPr>
          <w:rFonts w:ascii="Times New Roman" w:hAnsi="Times New Roman"/>
          <w:sz w:val="24"/>
          <w:szCs w:val="24"/>
        </w:rPr>
      </w:pPr>
      <w:r w:rsidRPr="00B3310A">
        <w:rPr>
          <w:rFonts w:ascii="Times New Roman" w:hAnsi="Times New Roman"/>
          <w:sz w:val="24"/>
          <w:szCs w:val="24"/>
        </w:rPr>
        <w:t>В декабре 2017 в рамках проекта «Единый пул обеспечения» реализованы следующие возможности:</w:t>
      </w:r>
    </w:p>
    <w:p w14:paraId="6B2E2EF6" w14:textId="77777777" w:rsidR="00447135" w:rsidRDefault="00447135" w:rsidP="00447135">
      <w:pPr>
        <w:pStyle w:val="a9"/>
        <w:spacing w:after="0" w:line="240" w:lineRule="auto"/>
        <w:ind w:left="1429"/>
        <w:jc w:val="both"/>
        <w:rPr>
          <w:rFonts w:ascii="Times New Roman" w:hAnsi="Times New Roman"/>
          <w:sz w:val="24"/>
          <w:szCs w:val="24"/>
        </w:rPr>
      </w:pPr>
    </w:p>
    <w:p w14:paraId="252AE576" w14:textId="19C66570" w:rsidR="001C1E6D" w:rsidRDefault="0080787B" w:rsidP="001C1E6D">
      <w:pPr>
        <w:pStyle w:val="a9"/>
        <w:numPr>
          <w:ilvl w:val="0"/>
          <w:numId w:val="21"/>
        </w:numPr>
        <w:spacing w:after="0" w:line="240" w:lineRule="auto"/>
        <w:jc w:val="both"/>
        <w:rPr>
          <w:rFonts w:ascii="Times New Roman" w:hAnsi="Times New Roman"/>
          <w:sz w:val="24"/>
          <w:szCs w:val="24"/>
        </w:rPr>
      </w:pPr>
      <w:r>
        <w:rPr>
          <w:rFonts w:ascii="Times New Roman" w:hAnsi="Times New Roman"/>
          <w:sz w:val="24"/>
          <w:szCs w:val="24"/>
        </w:rPr>
        <w:t>в</w:t>
      </w:r>
      <w:r w:rsidR="001C1E6D">
        <w:rPr>
          <w:rFonts w:ascii="Times New Roman" w:hAnsi="Times New Roman"/>
          <w:sz w:val="24"/>
          <w:szCs w:val="24"/>
        </w:rPr>
        <w:t>озможнос</w:t>
      </w:r>
      <w:r w:rsidR="003C049C">
        <w:rPr>
          <w:rFonts w:ascii="Times New Roman" w:hAnsi="Times New Roman"/>
          <w:sz w:val="24"/>
          <w:szCs w:val="24"/>
        </w:rPr>
        <w:t>ть перехода на счет единого пул;</w:t>
      </w:r>
      <w:r w:rsidR="001C1E6D">
        <w:rPr>
          <w:rFonts w:ascii="Times New Roman" w:hAnsi="Times New Roman"/>
          <w:sz w:val="24"/>
          <w:szCs w:val="24"/>
        </w:rPr>
        <w:t xml:space="preserve"> </w:t>
      </w:r>
    </w:p>
    <w:p w14:paraId="79B1A446" w14:textId="0834CA28" w:rsidR="001C1E6D" w:rsidRDefault="0080787B" w:rsidP="001C1E6D">
      <w:pPr>
        <w:pStyle w:val="a9"/>
        <w:numPr>
          <w:ilvl w:val="0"/>
          <w:numId w:val="21"/>
        </w:numPr>
        <w:spacing w:after="0" w:line="240" w:lineRule="auto"/>
        <w:jc w:val="both"/>
        <w:rPr>
          <w:rFonts w:ascii="Times New Roman" w:hAnsi="Times New Roman"/>
          <w:sz w:val="24"/>
          <w:szCs w:val="24"/>
        </w:rPr>
      </w:pPr>
      <w:r>
        <w:rPr>
          <w:rFonts w:ascii="Times New Roman" w:hAnsi="Times New Roman"/>
          <w:sz w:val="24"/>
          <w:szCs w:val="24"/>
        </w:rPr>
        <w:t>у</w:t>
      </w:r>
      <w:r w:rsidR="001C1E6D">
        <w:rPr>
          <w:rFonts w:ascii="Times New Roman" w:hAnsi="Times New Roman"/>
          <w:sz w:val="24"/>
          <w:szCs w:val="24"/>
        </w:rPr>
        <w:t>правление обеспечением в едином пуле:</w:t>
      </w:r>
    </w:p>
    <w:p w14:paraId="2EF80B6A" w14:textId="1035BCC5" w:rsidR="001C1E6D" w:rsidRPr="009A5DDF" w:rsidRDefault="0080787B" w:rsidP="001C1E6D">
      <w:pPr>
        <w:pStyle w:val="a9"/>
        <w:numPr>
          <w:ilvl w:val="1"/>
          <w:numId w:val="21"/>
        </w:numPr>
        <w:spacing w:after="0" w:line="240" w:lineRule="auto"/>
        <w:jc w:val="both"/>
        <w:rPr>
          <w:rFonts w:ascii="Times New Roman" w:hAnsi="Times New Roman"/>
          <w:sz w:val="24"/>
          <w:szCs w:val="24"/>
        </w:rPr>
      </w:pPr>
      <w:r>
        <w:rPr>
          <w:rFonts w:ascii="Times New Roman" w:hAnsi="Times New Roman"/>
          <w:sz w:val="24"/>
          <w:szCs w:val="24"/>
        </w:rPr>
        <w:t>п</w:t>
      </w:r>
      <w:r w:rsidR="001C1E6D" w:rsidRPr="009A5DDF">
        <w:rPr>
          <w:rFonts w:ascii="Times New Roman" w:hAnsi="Times New Roman"/>
          <w:sz w:val="24"/>
          <w:szCs w:val="24"/>
        </w:rPr>
        <w:t>еревод активов между счетами</w:t>
      </w:r>
      <w:r w:rsidR="001C1E6D">
        <w:rPr>
          <w:rFonts w:ascii="Times New Roman" w:hAnsi="Times New Roman"/>
          <w:sz w:val="24"/>
          <w:szCs w:val="24"/>
        </w:rPr>
        <w:t>, в т.ч. счетами</w:t>
      </w:r>
      <w:r w:rsidR="001C1E6D" w:rsidRPr="009A5DDF">
        <w:rPr>
          <w:rFonts w:ascii="Times New Roman" w:hAnsi="Times New Roman"/>
          <w:sz w:val="24"/>
          <w:szCs w:val="24"/>
        </w:rPr>
        <w:t xml:space="preserve"> единого пула</w:t>
      </w:r>
      <w:r w:rsidR="003C049C">
        <w:rPr>
          <w:rFonts w:ascii="Times New Roman" w:hAnsi="Times New Roman"/>
          <w:sz w:val="24"/>
          <w:szCs w:val="24"/>
        </w:rPr>
        <w:t>;</w:t>
      </w:r>
    </w:p>
    <w:p w14:paraId="7CDAB041" w14:textId="67845CDC" w:rsidR="001C1E6D" w:rsidRPr="006A5C68" w:rsidRDefault="0080787B" w:rsidP="001C1E6D">
      <w:pPr>
        <w:pStyle w:val="a9"/>
        <w:numPr>
          <w:ilvl w:val="1"/>
          <w:numId w:val="21"/>
        </w:numPr>
        <w:spacing w:after="0" w:line="240" w:lineRule="auto"/>
        <w:jc w:val="both"/>
        <w:rPr>
          <w:rFonts w:ascii="Times New Roman" w:hAnsi="Times New Roman"/>
          <w:sz w:val="24"/>
          <w:szCs w:val="24"/>
        </w:rPr>
      </w:pPr>
      <w:r>
        <w:rPr>
          <w:rFonts w:ascii="Times New Roman" w:hAnsi="Times New Roman"/>
          <w:sz w:val="24"/>
          <w:szCs w:val="24"/>
        </w:rPr>
        <w:t>п</w:t>
      </w:r>
      <w:r w:rsidR="001C1E6D" w:rsidRPr="006A5C68">
        <w:rPr>
          <w:rFonts w:ascii="Times New Roman" w:hAnsi="Times New Roman"/>
          <w:sz w:val="24"/>
          <w:szCs w:val="24"/>
        </w:rPr>
        <w:t>ередача профилей российских рублей между клиринговой системой фондового рынка и клиринговой системой валютного рынка и рынка драгоценных металлов, между клиринговой системой фондового рынка и клиринговой системой срочного рынка</w:t>
      </w:r>
      <w:r w:rsidR="003C049C">
        <w:rPr>
          <w:rFonts w:ascii="Times New Roman" w:hAnsi="Times New Roman"/>
          <w:sz w:val="24"/>
          <w:szCs w:val="24"/>
        </w:rPr>
        <w:t>;</w:t>
      </w:r>
    </w:p>
    <w:p w14:paraId="6CA8AA24" w14:textId="1523095F" w:rsidR="001C1E6D" w:rsidRDefault="0080787B" w:rsidP="001C1E6D">
      <w:pPr>
        <w:pStyle w:val="a9"/>
        <w:numPr>
          <w:ilvl w:val="1"/>
          <w:numId w:val="21"/>
        </w:numPr>
        <w:spacing w:after="0" w:line="240" w:lineRule="auto"/>
        <w:jc w:val="both"/>
        <w:rPr>
          <w:rFonts w:ascii="Times New Roman" w:hAnsi="Times New Roman"/>
          <w:sz w:val="24"/>
          <w:szCs w:val="24"/>
        </w:rPr>
      </w:pPr>
      <w:r>
        <w:rPr>
          <w:rFonts w:ascii="Times New Roman" w:hAnsi="Times New Roman"/>
          <w:sz w:val="24"/>
          <w:szCs w:val="24"/>
        </w:rPr>
        <w:t>п</w:t>
      </w:r>
      <w:r w:rsidR="001C1E6D" w:rsidRPr="006A5C68">
        <w:rPr>
          <w:rFonts w:ascii="Times New Roman" w:hAnsi="Times New Roman"/>
          <w:sz w:val="24"/>
          <w:szCs w:val="24"/>
        </w:rPr>
        <w:t>ередача профилей иностранной валюты и драгоценных металлов между клиринговой</w:t>
      </w:r>
      <w:r w:rsidR="001C1E6D">
        <w:rPr>
          <w:rFonts w:ascii="Times New Roman" w:hAnsi="Times New Roman"/>
          <w:sz w:val="24"/>
          <w:szCs w:val="24"/>
        </w:rPr>
        <w:t xml:space="preserve"> системой фондового рынка и клиринговой системой валютного ры</w:t>
      </w:r>
      <w:r w:rsidR="003C049C">
        <w:rPr>
          <w:rFonts w:ascii="Times New Roman" w:hAnsi="Times New Roman"/>
          <w:sz w:val="24"/>
          <w:szCs w:val="24"/>
        </w:rPr>
        <w:t>нка и рынка драгоценных металло;</w:t>
      </w:r>
    </w:p>
    <w:p w14:paraId="1D942316" w14:textId="509616BF" w:rsidR="001C1E6D" w:rsidRPr="009A5DDF" w:rsidRDefault="0080787B" w:rsidP="001C1E6D">
      <w:pPr>
        <w:pStyle w:val="a9"/>
        <w:numPr>
          <w:ilvl w:val="1"/>
          <w:numId w:val="21"/>
        </w:numPr>
        <w:spacing w:after="0" w:line="240" w:lineRule="auto"/>
        <w:jc w:val="both"/>
        <w:rPr>
          <w:rFonts w:ascii="Times New Roman" w:hAnsi="Times New Roman"/>
          <w:sz w:val="24"/>
          <w:szCs w:val="24"/>
        </w:rPr>
      </w:pPr>
      <w:r>
        <w:rPr>
          <w:rFonts w:ascii="Times New Roman" w:hAnsi="Times New Roman"/>
          <w:sz w:val="24"/>
          <w:szCs w:val="24"/>
        </w:rPr>
        <w:t>в</w:t>
      </w:r>
      <w:r w:rsidR="001C1E6D" w:rsidRPr="009A5DDF">
        <w:rPr>
          <w:rFonts w:ascii="Times New Roman" w:hAnsi="Times New Roman"/>
          <w:sz w:val="24"/>
          <w:szCs w:val="24"/>
        </w:rPr>
        <w:t xml:space="preserve">озврат обеспечения, </w:t>
      </w:r>
      <w:r w:rsidR="001C1E6D">
        <w:rPr>
          <w:rFonts w:ascii="Times New Roman" w:hAnsi="Times New Roman"/>
          <w:sz w:val="24"/>
          <w:szCs w:val="24"/>
        </w:rPr>
        <w:t xml:space="preserve">в т.ч. со счетов единого пула, на основании </w:t>
      </w:r>
      <w:r w:rsidR="001C1E6D" w:rsidRPr="009A5DDF">
        <w:rPr>
          <w:rFonts w:ascii="Times New Roman" w:hAnsi="Times New Roman"/>
          <w:sz w:val="24"/>
          <w:szCs w:val="24"/>
        </w:rPr>
        <w:t>запрос</w:t>
      </w:r>
      <w:r w:rsidR="001C1E6D">
        <w:rPr>
          <w:rFonts w:ascii="Times New Roman" w:hAnsi="Times New Roman"/>
          <w:sz w:val="24"/>
          <w:szCs w:val="24"/>
        </w:rPr>
        <w:t>а участника клиринга</w:t>
      </w:r>
      <w:r w:rsidR="006A5C68">
        <w:rPr>
          <w:rFonts w:ascii="Times New Roman" w:hAnsi="Times New Roman"/>
          <w:sz w:val="24"/>
          <w:szCs w:val="24"/>
        </w:rPr>
        <w:t>.</w:t>
      </w:r>
    </w:p>
    <w:p w14:paraId="5712CE25" w14:textId="73074A08" w:rsidR="001C1E6D" w:rsidRPr="001A241C" w:rsidRDefault="003C049C" w:rsidP="001C1E6D">
      <w:pPr>
        <w:pStyle w:val="a9"/>
        <w:numPr>
          <w:ilvl w:val="0"/>
          <w:numId w:val="21"/>
        </w:numPr>
        <w:spacing w:after="0" w:line="240" w:lineRule="auto"/>
        <w:jc w:val="both"/>
        <w:rPr>
          <w:rFonts w:ascii="Times New Roman" w:hAnsi="Times New Roman"/>
          <w:sz w:val="24"/>
          <w:szCs w:val="24"/>
        </w:rPr>
      </w:pPr>
      <w:r>
        <w:rPr>
          <w:rFonts w:ascii="Times New Roman" w:hAnsi="Times New Roman"/>
          <w:sz w:val="24"/>
          <w:szCs w:val="24"/>
        </w:rPr>
        <w:t>р</w:t>
      </w:r>
      <w:r w:rsidR="001C1E6D" w:rsidRPr="001A241C">
        <w:rPr>
          <w:rFonts w:ascii="Times New Roman" w:hAnsi="Times New Roman"/>
          <w:sz w:val="24"/>
          <w:szCs w:val="24"/>
        </w:rPr>
        <w:t xml:space="preserve">асчеты на нетто-основе по сделкам, заключенным на валютном </w:t>
      </w:r>
      <w:r w:rsidR="001C1E6D" w:rsidRPr="001A241C">
        <w:rPr>
          <w:rFonts w:ascii="Times New Roman" w:hAnsi="Times New Roman"/>
          <w:bCs/>
          <w:sz w:val="24"/>
          <w:szCs w:val="24"/>
        </w:rPr>
        <w:t>рынке и рынке драгоценных металлов</w:t>
      </w:r>
      <w:r w:rsidR="001C1E6D" w:rsidRPr="001A241C">
        <w:rPr>
          <w:rFonts w:ascii="Times New Roman" w:hAnsi="Times New Roman"/>
          <w:sz w:val="24"/>
          <w:szCs w:val="24"/>
        </w:rPr>
        <w:t xml:space="preserve">, фондовом </w:t>
      </w:r>
      <w:r w:rsidR="001C1E6D" w:rsidRPr="001A241C">
        <w:rPr>
          <w:rFonts w:ascii="Times New Roman" w:hAnsi="Times New Roman"/>
          <w:bCs/>
          <w:sz w:val="24"/>
          <w:szCs w:val="24"/>
        </w:rPr>
        <w:t>и денежном рынках,</w:t>
      </w:r>
      <w:r w:rsidR="001C1E6D" w:rsidRPr="001A241C">
        <w:rPr>
          <w:rFonts w:ascii="Times New Roman" w:hAnsi="Times New Roman"/>
          <w:sz w:val="24"/>
          <w:szCs w:val="24"/>
        </w:rPr>
        <w:t xml:space="preserve"> срочном рынке счет активов, учитываемых на счете единого пула</w:t>
      </w:r>
      <w:r>
        <w:rPr>
          <w:rFonts w:ascii="Times New Roman" w:hAnsi="Times New Roman"/>
          <w:sz w:val="24"/>
          <w:szCs w:val="24"/>
        </w:rPr>
        <w:t>;</w:t>
      </w:r>
    </w:p>
    <w:p w14:paraId="077B4267" w14:textId="11CC219B" w:rsidR="001C1E6D" w:rsidRPr="00BE678D" w:rsidRDefault="003C049C" w:rsidP="001C1E6D">
      <w:pPr>
        <w:pStyle w:val="a9"/>
        <w:numPr>
          <w:ilvl w:val="0"/>
          <w:numId w:val="21"/>
        </w:numPr>
        <w:spacing w:after="0" w:line="240" w:lineRule="auto"/>
        <w:jc w:val="both"/>
        <w:rPr>
          <w:rFonts w:ascii="Times New Roman" w:hAnsi="Times New Roman"/>
          <w:sz w:val="24"/>
          <w:szCs w:val="24"/>
        </w:rPr>
      </w:pPr>
      <w:r>
        <w:rPr>
          <w:rFonts w:ascii="Times New Roman" w:hAnsi="Times New Roman"/>
          <w:sz w:val="24"/>
          <w:szCs w:val="24"/>
        </w:rPr>
        <w:t>у</w:t>
      </w:r>
      <w:r w:rsidR="001C1E6D" w:rsidRPr="00B936E6">
        <w:rPr>
          <w:rFonts w:ascii="Times New Roman" w:hAnsi="Times New Roman"/>
          <w:sz w:val="24"/>
          <w:szCs w:val="24"/>
        </w:rPr>
        <w:t xml:space="preserve">нифицирован временной регламент клиринга исполнения обязательств для </w:t>
      </w:r>
      <w:r w:rsidR="001C1E6D" w:rsidRPr="00B936E6">
        <w:rPr>
          <w:rFonts w:ascii="Times New Roman" w:hAnsi="Times New Roman"/>
          <w:bCs/>
          <w:sz w:val="24"/>
          <w:szCs w:val="24"/>
        </w:rPr>
        <w:t>валютного рынка и рынка драгоценных металлов, фондового и денежного рынков, срочного рынка</w:t>
      </w:r>
      <w:r>
        <w:rPr>
          <w:rFonts w:ascii="Times New Roman" w:hAnsi="Times New Roman"/>
          <w:bCs/>
          <w:sz w:val="24"/>
          <w:szCs w:val="24"/>
        </w:rPr>
        <w:t>.</w:t>
      </w:r>
    </w:p>
    <w:p w14:paraId="1EAF1E8B" w14:textId="77777777" w:rsidR="001C1E6D" w:rsidRPr="00B936E6" w:rsidRDefault="001C1E6D" w:rsidP="001C1E6D">
      <w:pPr>
        <w:pStyle w:val="a9"/>
        <w:spacing w:after="0" w:line="240" w:lineRule="auto"/>
        <w:ind w:left="1429"/>
        <w:jc w:val="both"/>
        <w:rPr>
          <w:rFonts w:ascii="Times New Roman" w:hAnsi="Times New Roman"/>
          <w:sz w:val="24"/>
          <w:szCs w:val="24"/>
        </w:rPr>
      </w:pPr>
    </w:p>
    <w:p w14:paraId="3F338C05" w14:textId="77777777" w:rsidR="001C1E6D" w:rsidRDefault="001C1E6D" w:rsidP="001C1E6D">
      <w:pPr>
        <w:ind w:left="567"/>
        <w:jc w:val="both"/>
        <w:rPr>
          <w:sz w:val="24"/>
          <w:szCs w:val="24"/>
        </w:rPr>
      </w:pPr>
      <w:r w:rsidRPr="00180960">
        <w:rPr>
          <w:noProof/>
          <w:sz w:val="24"/>
          <w:szCs w:val="24"/>
          <w:lang w:eastAsia="ru-RU"/>
        </w:rPr>
        <w:lastRenderedPageBreak/>
        <w:drawing>
          <wp:inline distT="0" distB="0" distL="0" distR="0" wp14:anchorId="66991E96" wp14:editId="1B374499">
            <wp:extent cx="5267325" cy="1324292"/>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95608" cy="1331403"/>
                    </a:xfrm>
                    <a:prstGeom prst="rect">
                      <a:avLst/>
                    </a:prstGeom>
                  </pic:spPr>
                </pic:pic>
              </a:graphicData>
            </a:graphic>
          </wp:inline>
        </w:drawing>
      </w:r>
    </w:p>
    <w:p w14:paraId="378F6745" w14:textId="77777777" w:rsidR="001C1E6D" w:rsidRPr="00B3310A" w:rsidRDefault="001C1E6D" w:rsidP="001C1E6D">
      <w:pPr>
        <w:spacing w:after="120"/>
        <w:ind w:left="567"/>
        <w:jc w:val="both"/>
        <w:rPr>
          <w:rFonts w:ascii="Times New Roman" w:hAnsi="Times New Roman"/>
          <w:b/>
          <w:bCs/>
        </w:rPr>
      </w:pPr>
      <w:r w:rsidRPr="00B3310A">
        <w:rPr>
          <w:rFonts w:ascii="Times New Roman" w:hAnsi="Times New Roman"/>
          <w:bCs/>
        </w:rPr>
        <w:t>11:00 -</w:t>
      </w:r>
      <w:r w:rsidRPr="00B3310A">
        <w:rPr>
          <w:rFonts w:ascii="Times New Roman" w:hAnsi="Times New Roman"/>
        </w:rPr>
        <w:t xml:space="preserve"> исполнение участниками клиринга обязательств в </w:t>
      </w:r>
      <w:r w:rsidRPr="00B3310A">
        <w:rPr>
          <w:rFonts w:ascii="Times New Roman" w:hAnsi="Times New Roman"/>
          <w:b/>
          <w:bCs/>
        </w:rPr>
        <w:t>тенге</w:t>
      </w:r>
    </w:p>
    <w:p w14:paraId="13799889" w14:textId="77777777" w:rsidR="001C1E6D" w:rsidRPr="00B3310A" w:rsidRDefault="001C1E6D" w:rsidP="001C1E6D">
      <w:pPr>
        <w:spacing w:after="120"/>
        <w:ind w:left="567"/>
        <w:jc w:val="both"/>
        <w:rPr>
          <w:rFonts w:ascii="Times New Roman" w:hAnsi="Times New Roman"/>
          <w:b/>
          <w:bCs/>
        </w:rPr>
      </w:pPr>
      <w:r w:rsidRPr="00B3310A">
        <w:rPr>
          <w:rFonts w:ascii="Times New Roman" w:hAnsi="Times New Roman"/>
          <w:bCs/>
        </w:rPr>
        <w:t>12:00 -</w:t>
      </w:r>
      <w:r w:rsidRPr="00B3310A">
        <w:rPr>
          <w:rFonts w:ascii="Times New Roman" w:hAnsi="Times New Roman"/>
        </w:rPr>
        <w:t xml:space="preserve"> исполнение участниками клиринга обязательств в </w:t>
      </w:r>
      <w:r w:rsidRPr="00B3310A">
        <w:rPr>
          <w:rFonts w:ascii="Times New Roman" w:hAnsi="Times New Roman"/>
          <w:b/>
          <w:bCs/>
        </w:rPr>
        <w:t>юанях</w:t>
      </w:r>
      <w:r w:rsidRPr="00B3310A">
        <w:rPr>
          <w:rFonts w:ascii="Times New Roman" w:hAnsi="Times New Roman"/>
        </w:rPr>
        <w:t xml:space="preserve">, </w:t>
      </w:r>
      <w:r w:rsidRPr="00B3310A">
        <w:rPr>
          <w:rFonts w:ascii="Times New Roman" w:hAnsi="Times New Roman"/>
          <w:b/>
          <w:bCs/>
        </w:rPr>
        <w:t>белорусских</w:t>
      </w:r>
      <w:r w:rsidRPr="00B3310A">
        <w:rPr>
          <w:rFonts w:ascii="Times New Roman" w:hAnsi="Times New Roman"/>
        </w:rPr>
        <w:t xml:space="preserve"> </w:t>
      </w:r>
      <w:r w:rsidRPr="00B3310A">
        <w:rPr>
          <w:rFonts w:ascii="Times New Roman" w:hAnsi="Times New Roman"/>
          <w:b/>
          <w:bCs/>
        </w:rPr>
        <w:t>рублях, гонконгских долларах, швейцарских франках</w:t>
      </w:r>
    </w:p>
    <w:p w14:paraId="3ADD8AC6" w14:textId="77777777" w:rsidR="001C1E6D" w:rsidRPr="00B3310A" w:rsidRDefault="001C1E6D" w:rsidP="001C1E6D">
      <w:pPr>
        <w:spacing w:after="120"/>
        <w:ind w:left="567"/>
        <w:jc w:val="both"/>
        <w:rPr>
          <w:rFonts w:ascii="Times New Roman" w:hAnsi="Times New Roman"/>
          <w:b/>
          <w:bCs/>
        </w:rPr>
      </w:pPr>
      <w:r w:rsidRPr="00B3310A">
        <w:rPr>
          <w:rFonts w:ascii="Times New Roman" w:hAnsi="Times New Roman"/>
          <w:bCs/>
        </w:rPr>
        <w:t>14:00 -</w:t>
      </w:r>
      <w:r w:rsidRPr="00B3310A">
        <w:rPr>
          <w:rFonts w:ascii="Times New Roman" w:hAnsi="Times New Roman"/>
        </w:rPr>
        <w:t xml:space="preserve"> исполнение участниками клиринга обязательств в </w:t>
      </w:r>
      <w:r w:rsidRPr="00B3310A">
        <w:rPr>
          <w:rFonts w:ascii="Times New Roman" w:hAnsi="Times New Roman"/>
          <w:b/>
          <w:bCs/>
        </w:rPr>
        <w:t>турецких лирах</w:t>
      </w:r>
    </w:p>
    <w:p w14:paraId="6021A0F3" w14:textId="77777777" w:rsidR="001C1E6D" w:rsidRPr="00B3310A" w:rsidRDefault="001C1E6D" w:rsidP="001C1E6D">
      <w:pPr>
        <w:spacing w:after="120"/>
        <w:ind w:left="567"/>
        <w:jc w:val="both"/>
        <w:rPr>
          <w:rFonts w:ascii="Times New Roman" w:hAnsi="Times New Roman"/>
          <w:b/>
          <w:bCs/>
        </w:rPr>
      </w:pPr>
      <w:r w:rsidRPr="00B3310A">
        <w:rPr>
          <w:rFonts w:ascii="Times New Roman" w:hAnsi="Times New Roman"/>
          <w:bCs/>
        </w:rPr>
        <w:t>17:00 - и</w:t>
      </w:r>
      <w:r w:rsidRPr="00B3310A">
        <w:rPr>
          <w:rFonts w:ascii="Times New Roman" w:hAnsi="Times New Roman"/>
        </w:rPr>
        <w:t xml:space="preserve">сполнение обязательств в </w:t>
      </w:r>
      <w:r w:rsidRPr="00B3310A">
        <w:rPr>
          <w:rFonts w:ascii="Times New Roman" w:hAnsi="Times New Roman"/>
          <w:b/>
          <w:bCs/>
        </w:rPr>
        <w:t>евро и фунтах стерлингов;</w:t>
      </w:r>
    </w:p>
    <w:p w14:paraId="05286E03" w14:textId="77777777" w:rsidR="001C1E6D" w:rsidRPr="00B3310A" w:rsidRDefault="001C1E6D" w:rsidP="001C1E6D">
      <w:pPr>
        <w:spacing w:after="120"/>
        <w:ind w:left="567"/>
        <w:jc w:val="both"/>
        <w:rPr>
          <w:rFonts w:ascii="Times New Roman" w:hAnsi="Times New Roman"/>
        </w:rPr>
      </w:pPr>
      <w:r w:rsidRPr="00B3310A">
        <w:rPr>
          <w:rFonts w:ascii="Times New Roman" w:hAnsi="Times New Roman"/>
        </w:rPr>
        <w:t>исполнение обязательств по ценным бумагам по сделкам, заключенным до 16:00</w:t>
      </w:r>
    </w:p>
    <w:p w14:paraId="7B11137F" w14:textId="77777777" w:rsidR="001C1E6D" w:rsidRPr="00B3310A" w:rsidRDefault="001C1E6D" w:rsidP="001C1E6D">
      <w:pPr>
        <w:spacing w:after="120"/>
        <w:ind w:left="567"/>
        <w:jc w:val="both"/>
        <w:rPr>
          <w:rFonts w:ascii="Times New Roman" w:hAnsi="Times New Roman"/>
        </w:rPr>
      </w:pPr>
      <w:r w:rsidRPr="00B3310A">
        <w:rPr>
          <w:rFonts w:ascii="Times New Roman" w:hAnsi="Times New Roman"/>
          <w:bCs/>
        </w:rPr>
        <w:t>17:00-17:30 - з</w:t>
      </w:r>
      <w:r w:rsidRPr="00B3310A">
        <w:rPr>
          <w:rFonts w:ascii="Times New Roman" w:hAnsi="Times New Roman"/>
        </w:rPr>
        <w:t>аключение с участниками клиринга сделок РЕПО в случае недостаточности ценных бумаг</w:t>
      </w:r>
    </w:p>
    <w:p w14:paraId="5925E7FF" w14:textId="77777777" w:rsidR="001C1E6D" w:rsidRPr="00B3310A" w:rsidRDefault="001C1E6D" w:rsidP="001C1E6D">
      <w:pPr>
        <w:spacing w:after="120"/>
        <w:ind w:left="567"/>
        <w:jc w:val="both"/>
        <w:rPr>
          <w:rFonts w:ascii="Times New Roman" w:hAnsi="Times New Roman"/>
        </w:rPr>
      </w:pPr>
      <w:r w:rsidRPr="00B3310A">
        <w:rPr>
          <w:rFonts w:ascii="Times New Roman" w:hAnsi="Times New Roman"/>
          <w:bCs/>
        </w:rPr>
        <w:t>19:00 - и</w:t>
      </w:r>
      <w:r w:rsidRPr="00B3310A">
        <w:rPr>
          <w:rFonts w:ascii="Times New Roman" w:hAnsi="Times New Roman"/>
        </w:rPr>
        <w:t>сполнение обязательств по ценным бумагам по сделкам, заключенным с 16:00 до 19:00</w:t>
      </w:r>
    </w:p>
    <w:p w14:paraId="1E41FB07" w14:textId="77777777" w:rsidR="001C1E6D" w:rsidRPr="00B3310A" w:rsidRDefault="001C1E6D" w:rsidP="001C1E6D">
      <w:pPr>
        <w:spacing w:after="120"/>
        <w:ind w:left="567"/>
        <w:jc w:val="both"/>
        <w:rPr>
          <w:rFonts w:ascii="Times New Roman" w:hAnsi="Times New Roman"/>
        </w:rPr>
      </w:pPr>
      <w:r w:rsidRPr="00B3310A">
        <w:rPr>
          <w:rFonts w:ascii="Times New Roman" w:hAnsi="Times New Roman"/>
          <w:bCs/>
        </w:rPr>
        <w:t>19:00-19:30 - з</w:t>
      </w:r>
      <w:r w:rsidRPr="00B3310A">
        <w:rPr>
          <w:rFonts w:ascii="Times New Roman" w:hAnsi="Times New Roman"/>
        </w:rPr>
        <w:t>аключение с участниками клиринга сделок РЕПО в случае недостаточности ценных бумаг</w:t>
      </w:r>
    </w:p>
    <w:p w14:paraId="644809C4" w14:textId="77777777" w:rsidR="001C1E6D" w:rsidRPr="00B3310A" w:rsidRDefault="001C1E6D" w:rsidP="001C1E6D">
      <w:pPr>
        <w:spacing w:after="120"/>
        <w:ind w:left="567"/>
        <w:jc w:val="both"/>
        <w:rPr>
          <w:rFonts w:ascii="Times New Roman" w:hAnsi="Times New Roman"/>
        </w:rPr>
      </w:pPr>
      <w:r w:rsidRPr="00B3310A">
        <w:rPr>
          <w:rFonts w:ascii="Times New Roman" w:hAnsi="Times New Roman"/>
          <w:bCs/>
        </w:rPr>
        <w:t>20:00 - и</w:t>
      </w:r>
      <w:r w:rsidRPr="00B3310A">
        <w:rPr>
          <w:rFonts w:ascii="Times New Roman" w:hAnsi="Times New Roman"/>
        </w:rPr>
        <w:t xml:space="preserve">сполнение участниками клиринга обязательств в </w:t>
      </w:r>
      <w:r w:rsidRPr="00B3310A">
        <w:rPr>
          <w:rFonts w:ascii="Times New Roman" w:hAnsi="Times New Roman"/>
          <w:b/>
          <w:bCs/>
        </w:rPr>
        <w:t>долларах США, российских рублях и драг. металлах</w:t>
      </w:r>
      <w:r w:rsidRPr="00B3310A">
        <w:rPr>
          <w:rFonts w:ascii="Times New Roman" w:hAnsi="Times New Roman"/>
        </w:rPr>
        <w:t>, включая обязательства по уплате комиссионных вознаграждений, штрафов, пеней, неустоек</w:t>
      </w:r>
    </w:p>
    <w:p w14:paraId="54DBA716" w14:textId="17900300" w:rsidR="00805127" w:rsidRPr="00805127" w:rsidRDefault="001C1E6D" w:rsidP="00266F28">
      <w:pPr>
        <w:spacing w:after="120"/>
        <w:ind w:left="567"/>
        <w:jc w:val="both"/>
        <w:rPr>
          <w:rFonts w:ascii="Times New Roman" w:hAnsi="Times New Roman" w:cstheme="minorBidi"/>
          <w:sz w:val="24"/>
          <w:szCs w:val="24"/>
        </w:rPr>
      </w:pPr>
      <w:r w:rsidRPr="00B3310A">
        <w:rPr>
          <w:rFonts w:ascii="Times New Roman" w:hAnsi="Times New Roman"/>
          <w:bCs/>
        </w:rPr>
        <w:t>20:00-20:30 - з</w:t>
      </w:r>
      <w:r w:rsidRPr="00B3310A">
        <w:rPr>
          <w:rFonts w:ascii="Times New Roman" w:hAnsi="Times New Roman"/>
        </w:rPr>
        <w:t>аключение сделок своп / РЕПО в случае наличия обязательств по денежным средствам / драг. металлам, для исполнения которых недостаточно денежных средств / драг. металлов</w:t>
      </w:r>
    </w:p>
    <w:p w14:paraId="09A5CB84" w14:textId="77777777" w:rsidR="00805127" w:rsidRPr="00805127" w:rsidRDefault="00835E3E" w:rsidP="00805127">
      <w:pPr>
        <w:numPr>
          <w:ilvl w:val="0"/>
          <w:numId w:val="20"/>
        </w:numPr>
        <w:spacing w:after="200" w:line="276" w:lineRule="auto"/>
        <w:contextualSpacing/>
        <w:jc w:val="both"/>
        <w:rPr>
          <w:rFonts w:ascii="Times New Roman" w:eastAsia="Calibri" w:hAnsi="Times New Roman"/>
          <w:b/>
          <w:sz w:val="24"/>
          <w:szCs w:val="24"/>
        </w:rPr>
      </w:pPr>
      <w:r>
        <w:rPr>
          <w:rFonts w:ascii="Times New Roman" w:eastAsia="Calibri" w:hAnsi="Times New Roman"/>
          <w:b/>
          <w:sz w:val="24"/>
          <w:szCs w:val="24"/>
        </w:rPr>
        <w:t>Запущен</w:t>
      </w:r>
      <w:r w:rsidR="00805127" w:rsidRPr="00805127">
        <w:rPr>
          <w:rFonts w:ascii="Times New Roman" w:eastAsia="Calibri" w:hAnsi="Times New Roman"/>
          <w:b/>
          <w:sz w:val="24"/>
          <w:szCs w:val="24"/>
        </w:rPr>
        <w:t xml:space="preserve"> проект «Размещение депозитов с центральным контрагентом»</w:t>
      </w:r>
    </w:p>
    <w:p w14:paraId="387D363C" w14:textId="4450B6AD" w:rsidR="00805127" w:rsidRDefault="00EF299C" w:rsidP="00805127">
      <w:pPr>
        <w:spacing w:after="200"/>
        <w:ind w:left="567"/>
        <w:jc w:val="both"/>
        <w:rPr>
          <w:rFonts w:ascii="Times New Roman" w:hAnsi="Times New Roman" w:cstheme="minorBidi"/>
          <w:color w:val="000000" w:themeColor="text1"/>
          <w:sz w:val="24"/>
          <w:szCs w:val="24"/>
        </w:rPr>
      </w:pPr>
      <w:r>
        <w:rPr>
          <w:rFonts w:ascii="Times New Roman" w:hAnsi="Times New Roman" w:cstheme="minorBidi"/>
          <w:sz w:val="24"/>
          <w:szCs w:val="24"/>
        </w:rPr>
        <w:t xml:space="preserve">     </w:t>
      </w:r>
      <w:r w:rsidR="00805127" w:rsidRPr="00805127">
        <w:rPr>
          <w:rFonts w:ascii="Times New Roman" w:hAnsi="Times New Roman" w:cstheme="minorBidi"/>
          <w:sz w:val="24"/>
          <w:szCs w:val="24"/>
        </w:rPr>
        <w:t>НКО НКЦ (АО) в 2017 году начал выполнение функций ЦК</w:t>
      </w:r>
      <w:r w:rsidR="00400487">
        <w:rPr>
          <w:rFonts w:ascii="Times New Roman" w:hAnsi="Times New Roman" w:cstheme="minorBidi"/>
          <w:sz w:val="24"/>
          <w:szCs w:val="24"/>
        </w:rPr>
        <w:t xml:space="preserve"> </w:t>
      </w:r>
      <w:r w:rsidR="00805127" w:rsidRPr="00805127">
        <w:rPr>
          <w:rFonts w:ascii="Times New Roman" w:hAnsi="Times New Roman" w:cstheme="minorBidi"/>
          <w:sz w:val="24"/>
          <w:szCs w:val="24"/>
        </w:rPr>
        <w:t xml:space="preserve">по сделкам, которые заключаются в результате сведения заявок от корпоративных клиентов на размещение средств в депозиты с заявками РЕПО с КСУ на привлечение средств. В отчетном году корпорациям - юридическим лицам, не являющимся кредитными организациями или профессиональными участниками рынка ценных бумаг, - был предоставлен прямой доступ к денежному рынку. В результате они получили возможность размещать средства в депозиты с центральным контрагентом по рыночным ставкам биржевого РЕПО при гарантии со стороны НКЦ, как ЦК, исполнения обязательств по таким сделкам. Проект сопровождался </w:t>
      </w:r>
      <w:r w:rsidR="00805127" w:rsidRPr="00805127">
        <w:rPr>
          <w:rFonts w:ascii="Times New Roman" w:hAnsi="Times New Roman" w:cstheme="minorBidi"/>
          <w:color w:val="000000" w:themeColor="text1"/>
          <w:sz w:val="24"/>
          <w:szCs w:val="24"/>
        </w:rPr>
        <w:t>доработкой системы управления рисками в части критериев допуска к клиринговому обслуживанию таких участников.</w:t>
      </w:r>
    </w:p>
    <w:p w14:paraId="369666E0" w14:textId="77777777" w:rsidR="00835E3E" w:rsidRPr="00835E3E" w:rsidRDefault="00835E3E" w:rsidP="00835E3E">
      <w:pPr>
        <w:widowControl w:val="0"/>
        <w:overflowPunct w:val="0"/>
        <w:autoSpaceDE w:val="0"/>
        <w:autoSpaceDN w:val="0"/>
        <w:adjustRightInd w:val="0"/>
        <w:ind w:left="567"/>
        <w:jc w:val="both"/>
        <w:textAlignment w:val="baseline"/>
        <w:rPr>
          <w:rFonts w:ascii="Times New Roman" w:eastAsia="Times New Roman" w:hAnsi="Times New Roman"/>
          <w:sz w:val="24"/>
          <w:szCs w:val="24"/>
          <w:lang w:eastAsia="ru-RU"/>
        </w:rPr>
      </w:pPr>
      <w:r w:rsidRPr="00835E3E">
        <w:rPr>
          <w:rFonts w:ascii="Times New Roman" w:eastAsia="Times New Roman" w:hAnsi="Times New Roman"/>
          <w:sz w:val="24"/>
          <w:szCs w:val="24"/>
          <w:lang w:eastAsia="ru-RU"/>
        </w:rPr>
        <w:t>Рынок депозитов представлен следующими характеристиками:</w:t>
      </w:r>
    </w:p>
    <w:p w14:paraId="42F5795D" w14:textId="25F6D236" w:rsidR="00835E3E" w:rsidRPr="00835E3E" w:rsidRDefault="003C049C" w:rsidP="00835E3E">
      <w:pPr>
        <w:widowControl w:val="0"/>
        <w:numPr>
          <w:ilvl w:val="0"/>
          <w:numId w:val="21"/>
        </w:numPr>
        <w:overflowPunct w:val="0"/>
        <w:autoSpaceDE w:val="0"/>
        <w:autoSpaceDN w:val="0"/>
        <w:adjustRightInd w:val="0"/>
        <w:contextualSpacing/>
        <w:jc w:val="both"/>
        <w:textAlignment w:val="baseline"/>
        <w:rPr>
          <w:rFonts w:ascii="Times New Roman" w:eastAsia="Calibri" w:hAnsi="Times New Roman"/>
          <w:sz w:val="24"/>
          <w:szCs w:val="24"/>
        </w:rPr>
      </w:pPr>
      <w:r>
        <w:rPr>
          <w:rFonts w:ascii="Times New Roman" w:eastAsia="Calibri" w:hAnsi="Times New Roman"/>
          <w:sz w:val="24"/>
          <w:szCs w:val="24"/>
        </w:rPr>
        <w:t>в</w:t>
      </w:r>
      <w:r w:rsidR="00835E3E" w:rsidRPr="00835E3E">
        <w:rPr>
          <w:rFonts w:ascii="Times New Roman" w:eastAsia="Calibri" w:hAnsi="Times New Roman"/>
          <w:sz w:val="24"/>
          <w:szCs w:val="24"/>
        </w:rPr>
        <w:t>алюта депозита – рубли</w:t>
      </w:r>
      <w:r>
        <w:rPr>
          <w:rFonts w:ascii="Times New Roman" w:eastAsia="Calibri" w:hAnsi="Times New Roman"/>
          <w:sz w:val="24"/>
          <w:szCs w:val="24"/>
        </w:rPr>
        <w:t>;</w:t>
      </w:r>
    </w:p>
    <w:p w14:paraId="5E3DC464" w14:textId="713E18F0" w:rsidR="00835E3E" w:rsidRPr="00835E3E" w:rsidRDefault="003C049C" w:rsidP="00835E3E">
      <w:pPr>
        <w:widowControl w:val="0"/>
        <w:numPr>
          <w:ilvl w:val="0"/>
          <w:numId w:val="21"/>
        </w:numPr>
        <w:overflowPunct w:val="0"/>
        <w:autoSpaceDE w:val="0"/>
        <w:autoSpaceDN w:val="0"/>
        <w:adjustRightInd w:val="0"/>
        <w:contextualSpacing/>
        <w:jc w:val="both"/>
        <w:textAlignment w:val="baseline"/>
        <w:rPr>
          <w:rFonts w:ascii="Times New Roman" w:eastAsia="Calibri" w:hAnsi="Times New Roman"/>
          <w:sz w:val="24"/>
          <w:szCs w:val="24"/>
        </w:rPr>
      </w:pPr>
      <w:r>
        <w:rPr>
          <w:rFonts w:ascii="Times New Roman" w:eastAsia="Calibri" w:hAnsi="Times New Roman"/>
          <w:sz w:val="24"/>
          <w:szCs w:val="24"/>
        </w:rPr>
        <w:t>м</w:t>
      </w:r>
      <w:r w:rsidR="00835E3E" w:rsidRPr="00835E3E">
        <w:rPr>
          <w:rFonts w:ascii="Times New Roman" w:eastAsia="Calibri" w:hAnsi="Times New Roman"/>
          <w:sz w:val="24"/>
          <w:szCs w:val="24"/>
        </w:rPr>
        <w:t>инимальный допустимый размер депозитной заявки -1 000 рублей</w:t>
      </w:r>
      <w:r>
        <w:rPr>
          <w:rFonts w:ascii="Times New Roman" w:eastAsia="Calibri" w:hAnsi="Times New Roman"/>
          <w:sz w:val="24"/>
          <w:szCs w:val="24"/>
        </w:rPr>
        <w:t>;</w:t>
      </w:r>
    </w:p>
    <w:p w14:paraId="02A427D8" w14:textId="2F04CC9A" w:rsidR="00835E3E" w:rsidRPr="00835E3E" w:rsidRDefault="003C049C" w:rsidP="00835E3E">
      <w:pPr>
        <w:widowControl w:val="0"/>
        <w:numPr>
          <w:ilvl w:val="0"/>
          <w:numId w:val="21"/>
        </w:numPr>
        <w:overflowPunct w:val="0"/>
        <w:autoSpaceDE w:val="0"/>
        <w:autoSpaceDN w:val="0"/>
        <w:adjustRightInd w:val="0"/>
        <w:contextualSpacing/>
        <w:jc w:val="both"/>
        <w:textAlignment w:val="baseline"/>
        <w:rPr>
          <w:rFonts w:ascii="Times New Roman" w:eastAsia="Calibri" w:hAnsi="Times New Roman"/>
          <w:sz w:val="24"/>
          <w:szCs w:val="24"/>
        </w:rPr>
      </w:pPr>
      <w:r>
        <w:rPr>
          <w:rFonts w:ascii="Times New Roman" w:eastAsia="Calibri" w:hAnsi="Times New Roman"/>
          <w:sz w:val="24"/>
          <w:szCs w:val="24"/>
        </w:rPr>
        <w:t>с</w:t>
      </w:r>
      <w:r w:rsidR="00835E3E" w:rsidRPr="00835E3E">
        <w:rPr>
          <w:rFonts w:ascii="Times New Roman" w:eastAsia="Calibri" w:hAnsi="Times New Roman"/>
          <w:sz w:val="24"/>
          <w:szCs w:val="24"/>
        </w:rPr>
        <w:t>роки депозита – от 1 дня до 1 года</w:t>
      </w:r>
      <w:r>
        <w:rPr>
          <w:rFonts w:ascii="Times New Roman" w:eastAsia="Calibri" w:hAnsi="Times New Roman"/>
          <w:sz w:val="24"/>
          <w:szCs w:val="24"/>
        </w:rPr>
        <w:t>:</w:t>
      </w:r>
    </w:p>
    <w:p w14:paraId="6E993214" w14:textId="15B0CC0D" w:rsidR="00835E3E" w:rsidRPr="00835E3E" w:rsidRDefault="003C049C" w:rsidP="00835E3E">
      <w:pPr>
        <w:widowControl w:val="0"/>
        <w:numPr>
          <w:ilvl w:val="1"/>
          <w:numId w:val="21"/>
        </w:numPr>
        <w:overflowPunct w:val="0"/>
        <w:autoSpaceDE w:val="0"/>
        <w:autoSpaceDN w:val="0"/>
        <w:adjustRightInd w:val="0"/>
        <w:contextualSpacing/>
        <w:jc w:val="both"/>
        <w:textAlignment w:val="baseline"/>
        <w:rPr>
          <w:rFonts w:ascii="Times New Roman" w:eastAsia="Calibri" w:hAnsi="Times New Roman"/>
        </w:rPr>
      </w:pPr>
      <w:r>
        <w:rPr>
          <w:rFonts w:ascii="Times New Roman" w:eastAsia="Calibri" w:hAnsi="Times New Roman"/>
          <w:sz w:val="24"/>
          <w:szCs w:val="24"/>
        </w:rPr>
        <w:t>а</w:t>
      </w:r>
      <w:r w:rsidR="00835E3E" w:rsidRPr="00835E3E">
        <w:rPr>
          <w:rFonts w:ascii="Times New Roman" w:eastAsia="Calibri" w:hAnsi="Times New Roman"/>
          <w:sz w:val="24"/>
          <w:szCs w:val="24"/>
        </w:rPr>
        <w:t>дресный режим: доступны все сроки до 1 года</w:t>
      </w:r>
      <w:r>
        <w:rPr>
          <w:rFonts w:ascii="Times New Roman" w:eastAsia="Calibri" w:hAnsi="Times New Roman"/>
          <w:sz w:val="24"/>
          <w:szCs w:val="24"/>
        </w:rPr>
        <w:t>;</w:t>
      </w:r>
    </w:p>
    <w:p w14:paraId="06231458" w14:textId="2C49C0A5" w:rsidR="00835E3E" w:rsidRPr="00835E3E" w:rsidRDefault="003C049C" w:rsidP="00835E3E">
      <w:pPr>
        <w:widowControl w:val="0"/>
        <w:numPr>
          <w:ilvl w:val="1"/>
          <w:numId w:val="21"/>
        </w:numPr>
        <w:overflowPunct w:val="0"/>
        <w:autoSpaceDE w:val="0"/>
        <w:autoSpaceDN w:val="0"/>
        <w:adjustRightInd w:val="0"/>
        <w:contextualSpacing/>
        <w:jc w:val="both"/>
        <w:textAlignment w:val="baseline"/>
        <w:rPr>
          <w:rFonts w:ascii="Times New Roman" w:eastAsia="Calibri" w:hAnsi="Times New Roman"/>
          <w:sz w:val="24"/>
          <w:szCs w:val="24"/>
        </w:rPr>
      </w:pPr>
      <w:r>
        <w:rPr>
          <w:rFonts w:ascii="Times New Roman" w:eastAsia="Calibri" w:hAnsi="Times New Roman"/>
          <w:sz w:val="24"/>
          <w:szCs w:val="24"/>
        </w:rPr>
        <w:t>б</w:t>
      </w:r>
      <w:r w:rsidR="00835E3E" w:rsidRPr="00835E3E">
        <w:rPr>
          <w:rFonts w:ascii="Times New Roman" w:eastAsia="Calibri" w:hAnsi="Times New Roman"/>
          <w:sz w:val="24"/>
          <w:szCs w:val="24"/>
        </w:rPr>
        <w:t>езадресный режим: 1 день, 1 неделя, 2 недели, 1 месяц, 2 месяца, 3 месяца, 6 месяцев, 1 год</w:t>
      </w:r>
      <w:r>
        <w:rPr>
          <w:rFonts w:ascii="Times New Roman" w:eastAsia="Calibri" w:hAnsi="Times New Roman"/>
          <w:sz w:val="24"/>
          <w:szCs w:val="24"/>
        </w:rPr>
        <w:t>;</w:t>
      </w:r>
    </w:p>
    <w:p w14:paraId="0AD02DBE" w14:textId="30B0F6C0" w:rsidR="00835E3E" w:rsidRPr="00835E3E" w:rsidRDefault="003C049C" w:rsidP="00835E3E">
      <w:pPr>
        <w:widowControl w:val="0"/>
        <w:numPr>
          <w:ilvl w:val="0"/>
          <w:numId w:val="21"/>
        </w:numPr>
        <w:overflowPunct w:val="0"/>
        <w:autoSpaceDE w:val="0"/>
        <w:autoSpaceDN w:val="0"/>
        <w:adjustRightInd w:val="0"/>
        <w:contextualSpacing/>
        <w:jc w:val="both"/>
        <w:textAlignment w:val="baseline"/>
        <w:rPr>
          <w:rFonts w:ascii="Times New Roman" w:eastAsia="Calibri" w:hAnsi="Times New Roman"/>
          <w:sz w:val="24"/>
          <w:szCs w:val="24"/>
        </w:rPr>
      </w:pPr>
      <w:r>
        <w:rPr>
          <w:rFonts w:ascii="Times New Roman" w:eastAsia="Calibri" w:hAnsi="Times New Roman"/>
          <w:sz w:val="24"/>
          <w:szCs w:val="24"/>
        </w:rPr>
        <w:t>з</w:t>
      </w:r>
      <w:r w:rsidR="00835E3E" w:rsidRPr="00835E3E">
        <w:rPr>
          <w:rFonts w:ascii="Times New Roman" w:eastAsia="Calibri" w:hAnsi="Times New Roman"/>
          <w:sz w:val="24"/>
          <w:szCs w:val="24"/>
        </w:rPr>
        <w:t xml:space="preserve">аявки от </w:t>
      </w:r>
      <w:r w:rsidR="00835E3E">
        <w:rPr>
          <w:rFonts w:ascii="Times New Roman" w:eastAsia="Calibri" w:hAnsi="Times New Roman"/>
          <w:sz w:val="24"/>
          <w:szCs w:val="24"/>
        </w:rPr>
        <w:t>к</w:t>
      </w:r>
      <w:r w:rsidR="00835E3E" w:rsidRPr="00835E3E">
        <w:rPr>
          <w:rFonts w:ascii="Times New Roman" w:eastAsia="Calibri" w:hAnsi="Times New Roman"/>
          <w:sz w:val="24"/>
          <w:szCs w:val="24"/>
        </w:rPr>
        <w:t>орпораций на размещение средств в депозиты сводятся с заявками РЕПО с КСУ на привлечение средств</w:t>
      </w:r>
      <w:r>
        <w:rPr>
          <w:rFonts w:ascii="Times New Roman" w:eastAsia="Calibri" w:hAnsi="Times New Roman"/>
          <w:sz w:val="24"/>
          <w:szCs w:val="24"/>
        </w:rPr>
        <w:t>;</w:t>
      </w:r>
    </w:p>
    <w:p w14:paraId="6F778738" w14:textId="624F5347" w:rsidR="00835E3E" w:rsidRPr="00835E3E" w:rsidRDefault="003C049C" w:rsidP="00835E3E">
      <w:pPr>
        <w:widowControl w:val="0"/>
        <w:numPr>
          <w:ilvl w:val="0"/>
          <w:numId w:val="21"/>
        </w:numPr>
        <w:overflowPunct w:val="0"/>
        <w:autoSpaceDE w:val="0"/>
        <w:autoSpaceDN w:val="0"/>
        <w:adjustRightInd w:val="0"/>
        <w:contextualSpacing/>
        <w:jc w:val="both"/>
        <w:textAlignment w:val="baseline"/>
        <w:rPr>
          <w:rFonts w:ascii="Times New Roman" w:eastAsia="Calibri" w:hAnsi="Times New Roman"/>
          <w:sz w:val="24"/>
          <w:szCs w:val="24"/>
        </w:rPr>
      </w:pPr>
      <w:r>
        <w:rPr>
          <w:rFonts w:ascii="Times New Roman" w:eastAsia="Calibri" w:hAnsi="Times New Roman"/>
          <w:sz w:val="24"/>
          <w:szCs w:val="24"/>
        </w:rPr>
        <w:lastRenderedPageBreak/>
        <w:t>к</w:t>
      </w:r>
      <w:r w:rsidR="00835E3E" w:rsidRPr="00835E3E">
        <w:rPr>
          <w:rFonts w:ascii="Times New Roman" w:eastAsia="Calibri" w:hAnsi="Times New Roman"/>
          <w:sz w:val="24"/>
          <w:szCs w:val="24"/>
        </w:rPr>
        <w:t>орпорациям доступны адресный и безадресный режимы подачи заявок на заключение сделок депозита</w:t>
      </w:r>
      <w:r>
        <w:rPr>
          <w:rFonts w:ascii="Times New Roman" w:eastAsia="Calibri" w:hAnsi="Times New Roman"/>
          <w:sz w:val="24"/>
          <w:szCs w:val="24"/>
        </w:rPr>
        <w:t>;</w:t>
      </w:r>
    </w:p>
    <w:p w14:paraId="578B6E32" w14:textId="39B3BEC9" w:rsidR="00835E3E" w:rsidRPr="00835E3E" w:rsidRDefault="003C049C" w:rsidP="00835E3E">
      <w:pPr>
        <w:widowControl w:val="0"/>
        <w:numPr>
          <w:ilvl w:val="0"/>
          <w:numId w:val="21"/>
        </w:numPr>
        <w:overflowPunct w:val="0"/>
        <w:autoSpaceDE w:val="0"/>
        <w:autoSpaceDN w:val="0"/>
        <w:adjustRightInd w:val="0"/>
        <w:contextualSpacing/>
        <w:jc w:val="both"/>
        <w:textAlignment w:val="baseline"/>
        <w:rPr>
          <w:rFonts w:ascii="Times New Roman" w:eastAsia="Calibri" w:hAnsi="Times New Roman"/>
          <w:sz w:val="24"/>
          <w:szCs w:val="24"/>
        </w:rPr>
      </w:pPr>
      <w:r>
        <w:rPr>
          <w:rFonts w:ascii="Times New Roman" w:eastAsia="Calibri" w:hAnsi="Times New Roman"/>
          <w:sz w:val="24"/>
          <w:szCs w:val="24"/>
        </w:rPr>
        <w:t>в</w:t>
      </w:r>
      <w:r w:rsidR="00835E3E" w:rsidRPr="00835E3E">
        <w:rPr>
          <w:rFonts w:ascii="Times New Roman" w:eastAsia="Calibri" w:hAnsi="Times New Roman"/>
          <w:sz w:val="24"/>
          <w:szCs w:val="24"/>
        </w:rPr>
        <w:t xml:space="preserve"> безадресном режиме депозитные заявки корпораций попадают в общий стакан заявок/котировок для РЕПО с КСУ</w:t>
      </w:r>
      <w:r>
        <w:rPr>
          <w:rFonts w:ascii="Times New Roman" w:eastAsia="Calibri" w:hAnsi="Times New Roman"/>
          <w:sz w:val="24"/>
          <w:szCs w:val="24"/>
        </w:rPr>
        <w:t>;</w:t>
      </w:r>
    </w:p>
    <w:p w14:paraId="1B0F61F0" w14:textId="7CAD9DEE" w:rsidR="00835E3E" w:rsidRPr="00835E3E" w:rsidRDefault="003C049C" w:rsidP="00835E3E">
      <w:pPr>
        <w:widowControl w:val="0"/>
        <w:numPr>
          <w:ilvl w:val="0"/>
          <w:numId w:val="21"/>
        </w:numPr>
        <w:overflowPunct w:val="0"/>
        <w:autoSpaceDE w:val="0"/>
        <w:autoSpaceDN w:val="0"/>
        <w:adjustRightInd w:val="0"/>
        <w:contextualSpacing/>
        <w:jc w:val="both"/>
        <w:textAlignment w:val="baseline"/>
        <w:rPr>
          <w:rFonts w:ascii="Times New Roman" w:eastAsia="Calibri" w:hAnsi="Times New Roman"/>
          <w:sz w:val="24"/>
          <w:szCs w:val="24"/>
        </w:rPr>
      </w:pPr>
      <w:r>
        <w:rPr>
          <w:rFonts w:ascii="Times New Roman" w:eastAsia="Calibri" w:hAnsi="Times New Roman"/>
          <w:sz w:val="24"/>
          <w:szCs w:val="24"/>
        </w:rPr>
        <w:t>д</w:t>
      </w:r>
      <w:r w:rsidR="00835E3E" w:rsidRPr="00835E3E">
        <w:rPr>
          <w:rFonts w:ascii="Times New Roman" w:eastAsia="Calibri" w:hAnsi="Times New Roman"/>
          <w:sz w:val="24"/>
          <w:szCs w:val="24"/>
        </w:rPr>
        <w:t>осрочный возврат депозита не предусмотрен</w:t>
      </w:r>
      <w:r>
        <w:rPr>
          <w:rFonts w:ascii="Times New Roman" w:eastAsia="Calibri" w:hAnsi="Times New Roman"/>
          <w:sz w:val="24"/>
          <w:szCs w:val="24"/>
        </w:rPr>
        <w:t>.</w:t>
      </w:r>
    </w:p>
    <w:p w14:paraId="382CEBA3" w14:textId="77777777" w:rsidR="00835E3E" w:rsidRPr="00835E3E" w:rsidRDefault="00835E3E" w:rsidP="00835E3E">
      <w:pPr>
        <w:widowControl w:val="0"/>
        <w:overflowPunct w:val="0"/>
        <w:autoSpaceDE w:val="0"/>
        <w:autoSpaceDN w:val="0"/>
        <w:adjustRightInd w:val="0"/>
        <w:ind w:left="567"/>
        <w:jc w:val="both"/>
        <w:textAlignment w:val="baseline"/>
        <w:rPr>
          <w:rFonts w:ascii="Times New Roman" w:eastAsia="Times New Roman" w:hAnsi="Times New Roman"/>
          <w:sz w:val="24"/>
          <w:szCs w:val="24"/>
          <w:lang w:eastAsia="ru-RU"/>
        </w:rPr>
      </w:pPr>
    </w:p>
    <w:p w14:paraId="2E588F94" w14:textId="77777777" w:rsidR="00835E3E" w:rsidRPr="00835E3E" w:rsidRDefault="00835E3E" w:rsidP="00835E3E">
      <w:pPr>
        <w:widowControl w:val="0"/>
        <w:overflowPunct w:val="0"/>
        <w:autoSpaceDE w:val="0"/>
        <w:autoSpaceDN w:val="0"/>
        <w:adjustRightInd w:val="0"/>
        <w:ind w:left="567"/>
        <w:jc w:val="both"/>
        <w:textAlignment w:val="baseline"/>
        <w:rPr>
          <w:rFonts w:ascii="Times New Roman" w:eastAsia="Times New Roman" w:hAnsi="Times New Roman"/>
          <w:sz w:val="24"/>
          <w:szCs w:val="24"/>
          <w:lang w:eastAsia="ru-RU"/>
        </w:rPr>
      </w:pPr>
      <w:r w:rsidRPr="00835E3E">
        <w:rPr>
          <w:rFonts w:ascii="Times New Roman" w:eastAsia="Times New Roman" w:hAnsi="Times New Roman"/>
          <w:noProof/>
          <w:sz w:val="20"/>
          <w:szCs w:val="20"/>
          <w:lang w:eastAsia="ru-RU"/>
        </w:rPr>
        <w:drawing>
          <wp:inline distT="0" distB="0" distL="0" distR="0" wp14:anchorId="324F6ED6" wp14:editId="2C5BC5A2">
            <wp:extent cx="5940425" cy="1760220"/>
            <wp:effectExtent l="0" t="0" r="317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1760220"/>
                    </a:xfrm>
                    <a:prstGeom prst="rect">
                      <a:avLst/>
                    </a:prstGeom>
                  </pic:spPr>
                </pic:pic>
              </a:graphicData>
            </a:graphic>
          </wp:inline>
        </w:drawing>
      </w:r>
    </w:p>
    <w:p w14:paraId="1688DF8F" w14:textId="77777777" w:rsidR="00835E3E" w:rsidRPr="00835E3E" w:rsidRDefault="00835E3E" w:rsidP="00835E3E">
      <w:pPr>
        <w:autoSpaceDE w:val="0"/>
        <w:autoSpaceDN w:val="0"/>
        <w:adjustRightInd w:val="0"/>
        <w:jc w:val="both"/>
        <w:rPr>
          <w:rFonts w:ascii="Tahoma" w:eastAsia="Calibri" w:hAnsi="Tahoma" w:cs="Tahoma"/>
          <w:color w:val="000000"/>
          <w:sz w:val="23"/>
          <w:szCs w:val="23"/>
        </w:rPr>
      </w:pPr>
    </w:p>
    <w:p w14:paraId="1BF52CAB" w14:textId="77777777" w:rsidR="00835E3E" w:rsidRPr="00835E3E" w:rsidRDefault="00835E3E" w:rsidP="00835E3E">
      <w:pPr>
        <w:autoSpaceDE w:val="0"/>
        <w:autoSpaceDN w:val="0"/>
        <w:adjustRightInd w:val="0"/>
        <w:jc w:val="both"/>
        <w:rPr>
          <w:rFonts w:ascii="Tahoma" w:eastAsia="Calibri" w:hAnsi="Tahoma" w:cs="Tahoma"/>
          <w:color w:val="000000"/>
          <w:sz w:val="23"/>
          <w:szCs w:val="23"/>
        </w:rPr>
      </w:pPr>
      <w:r w:rsidRPr="00835E3E">
        <w:rPr>
          <w:rFonts w:ascii="Tahoma" w:eastAsia="Calibri" w:hAnsi="Tahoma" w:cs="Tahoma"/>
          <w:noProof/>
          <w:color w:val="000000"/>
          <w:sz w:val="23"/>
          <w:szCs w:val="23"/>
          <w:lang w:eastAsia="ru-RU"/>
        </w:rPr>
        <w:drawing>
          <wp:inline distT="0" distB="0" distL="0" distR="0" wp14:anchorId="57B9B30A" wp14:editId="0A1662A6">
            <wp:extent cx="5940425" cy="1957705"/>
            <wp:effectExtent l="0" t="0" r="3175" b="444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1957705"/>
                    </a:xfrm>
                    <a:prstGeom prst="rect">
                      <a:avLst/>
                    </a:prstGeom>
                  </pic:spPr>
                </pic:pic>
              </a:graphicData>
            </a:graphic>
          </wp:inline>
        </w:drawing>
      </w:r>
    </w:p>
    <w:p w14:paraId="27BF6D0C" w14:textId="77777777" w:rsidR="00835E3E" w:rsidRPr="00835E3E" w:rsidRDefault="00835E3E" w:rsidP="00835E3E">
      <w:pPr>
        <w:widowControl w:val="0"/>
        <w:overflowPunct w:val="0"/>
        <w:autoSpaceDE w:val="0"/>
        <w:autoSpaceDN w:val="0"/>
        <w:adjustRightInd w:val="0"/>
        <w:ind w:left="567"/>
        <w:jc w:val="both"/>
        <w:textAlignment w:val="baseline"/>
        <w:rPr>
          <w:rFonts w:ascii="Times New Roman" w:eastAsia="Times New Roman" w:hAnsi="Times New Roman"/>
          <w:sz w:val="24"/>
          <w:szCs w:val="24"/>
          <w:lang w:eastAsia="ru-RU"/>
        </w:rPr>
      </w:pPr>
      <w:r w:rsidRPr="00835E3E">
        <w:rPr>
          <w:rFonts w:ascii="Times New Roman" w:eastAsia="Times New Roman" w:hAnsi="Times New Roman"/>
          <w:sz w:val="24"/>
          <w:szCs w:val="24"/>
          <w:lang w:eastAsia="ru-RU"/>
        </w:rPr>
        <w:t xml:space="preserve">РК – расчетный код на клиринговом счете НКЦ для учета денежных средств </w:t>
      </w:r>
      <w:r>
        <w:rPr>
          <w:rFonts w:ascii="Times New Roman" w:eastAsia="Times New Roman" w:hAnsi="Times New Roman"/>
          <w:sz w:val="24"/>
          <w:szCs w:val="24"/>
          <w:lang w:eastAsia="ru-RU"/>
        </w:rPr>
        <w:t>у</w:t>
      </w:r>
      <w:r w:rsidRPr="00835E3E">
        <w:rPr>
          <w:rFonts w:ascii="Times New Roman" w:eastAsia="Times New Roman" w:hAnsi="Times New Roman"/>
          <w:sz w:val="24"/>
          <w:szCs w:val="24"/>
          <w:lang w:eastAsia="ru-RU"/>
        </w:rPr>
        <w:t>частника</w:t>
      </w:r>
    </w:p>
    <w:p w14:paraId="75C71F6D" w14:textId="77777777" w:rsidR="00835E3E" w:rsidRDefault="00835E3E" w:rsidP="00805127">
      <w:pPr>
        <w:spacing w:after="200"/>
        <w:ind w:left="567"/>
        <w:jc w:val="both"/>
        <w:rPr>
          <w:rFonts w:ascii="Times New Roman" w:hAnsi="Times New Roman" w:cstheme="minorBidi"/>
          <w:sz w:val="24"/>
          <w:szCs w:val="24"/>
        </w:rPr>
      </w:pPr>
    </w:p>
    <w:p w14:paraId="6A5B716C" w14:textId="77777777" w:rsidR="002E515B" w:rsidRPr="00224651" w:rsidRDefault="00805127" w:rsidP="00805127">
      <w:pPr>
        <w:numPr>
          <w:ilvl w:val="0"/>
          <w:numId w:val="20"/>
        </w:numPr>
        <w:spacing w:after="200" w:line="276" w:lineRule="auto"/>
        <w:contextualSpacing/>
        <w:jc w:val="both"/>
        <w:rPr>
          <w:rFonts w:ascii="Times New Roman" w:eastAsia="Calibri" w:hAnsi="Times New Roman"/>
          <w:b/>
          <w:sz w:val="24"/>
          <w:szCs w:val="24"/>
        </w:rPr>
      </w:pPr>
      <w:r w:rsidRPr="00805127">
        <w:rPr>
          <w:rFonts w:ascii="Times New Roman" w:eastAsia="Calibri" w:hAnsi="Times New Roman"/>
          <w:sz w:val="24"/>
          <w:szCs w:val="24"/>
        </w:rPr>
        <w:t xml:space="preserve"> </w:t>
      </w:r>
      <w:r w:rsidR="00224651" w:rsidRPr="00224651">
        <w:rPr>
          <w:rFonts w:ascii="Times New Roman" w:eastAsia="Calibri" w:hAnsi="Times New Roman"/>
          <w:b/>
          <w:sz w:val="24"/>
          <w:szCs w:val="24"/>
        </w:rPr>
        <w:t xml:space="preserve">Созданы дополнительные возможности для участников клиринга: </w:t>
      </w:r>
    </w:p>
    <w:p w14:paraId="511B3970" w14:textId="77777777" w:rsidR="00805127" w:rsidRPr="00224651" w:rsidRDefault="00697DC8" w:rsidP="00330568">
      <w:pPr>
        <w:pStyle w:val="a9"/>
        <w:numPr>
          <w:ilvl w:val="0"/>
          <w:numId w:val="58"/>
        </w:numPr>
        <w:ind w:left="567"/>
        <w:jc w:val="both"/>
        <w:rPr>
          <w:rFonts w:ascii="Times New Roman" w:hAnsi="Times New Roman" w:cstheme="minorBidi"/>
          <w:sz w:val="24"/>
          <w:szCs w:val="24"/>
        </w:rPr>
      </w:pPr>
      <w:r>
        <w:rPr>
          <w:rFonts w:ascii="Times New Roman" w:hAnsi="Times New Roman"/>
          <w:b/>
          <w:i/>
          <w:sz w:val="24"/>
          <w:szCs w:val="24"/>
        </w:rPr>
        <w:t xml:space="preserve">в результате </w:t>
      </w:r>
      <w:r w:rsidRPr="00224651">
        <w:rPr>
          <w:rFonts w:ascii="Times New Roman" w:hAnsi="Times New Roman"/>
          <w:b/>
          <w:i/>
          <w:sz w:val="24"/>
          <w:szCs w:val="24"/>
        </w:rPr>
        <w:t>внедрен</w:t>
      </w:r>
      <w:r>
        <w:rPr>
          <w:rFonts w:ascii="Times New Roman" w:hAnsi="Times New Roman"/>
          <w:b/>
          <w:i/>
          <w:sz w:val="24"/>
          <w:szCs w:val="24"/>
        </w:rPr>
        <w:t>ия</w:t>
      </w:r>
      <w:r w:rsidRPr="00224651">
        <w:rPr>
          <w:rFonts w:ascii="Times New Roman" w:hAnsi="Times New Roman"/>
          <w:b/>
          <w:i/>
          <w:sz w:val="24"/>
          <w:szCs w:val="24"/>
        </w:rPr>
        <w:t xml:space="preserve"> технологи</w:t>
      </w:r>
      <w:r>
        <w:rPr>
          <w:rFonts w:ascii="Times New Roman" w:hAnsi="Times New Roman"/>
          <w:b/>
          <w:i/>
          <w:sz w:val="24"/>
          <w:szCs w:val="24"/>
        </w:rPr>
        <w:t>и</w:t>
      </w:r>
      <w:r w:rsidRPr="00224651">
        <w:rPr>
          <w:rFonts w:ascii="Times New Roman" w:hAnsi="Times New Roman"/>
          <w:b/>
          <w:i/>
          <w:sz w:val="24"/>
          <w:szCs w:val="24"/>
        </w:rPr>
        <w:t xml:space="preserve"> TRAN</w:t>
      </w:r>
      <w:r w:rsidRPr="00224651">
        <w:rPr>
          <w:rFonts w:ascii="Times New Roman" w:hAnsi="Times New Roman"/>
          <w:sz w:val="24"/>
          <w:szCs w:val="24"/>
        </w:rPr>
        <w:t xml:space="preserve"> </w:t>
      </w:r>
      <w:r w:rsidR="00805127" w:rsidRPr="005610E8">
        <w:rPr>
          <w:rFonts w:ascii="Times New Roman" w:hAnsi="Times New Roman" w:cstheme="minorBidi"/>
          <w:b/>
          <w:i/>
          <w:sz w:val="24"/>
          <w:szCs w:val="24"/>
        </w:rPr>
        <w:t>получать и обрабатывать</w:t>
      </w:r>
      <w:r w:rsidR="00805127" w:rsidRPr="00224651">
        <w:rPr>
          <w:rFonts w:ascii="Times New Roman" w:hAnsi="Times New Roman" w:cstheme="minorBidi"/>
          <w:sz w:val="24"/>
          <w:szCs w:val="24"/>
        </w:rPr>
        <w:t xml:space="preserve"> в автоматическом режиме информацию по любым изменениям позиции по денежным средствам и ценным бумагам в торгово-клиринговой системе</w:t>
      </w:r>
      <w:r w:rsidR="00720884">
        <w:rPr>
          <w:rFonts w:ascii="Times New Roman" w:hAnsi="Times New Roman" w:cstheme="minorBidi"/>
          <w:sz w:val="24"/>
          <w:szCs w:val="24"/>
        </w:rPr>
        <w:t xml:space="preserve"> об</w:t>
      </w:r>
      <w:r w:rsidR="00805127" w:rsidRPr="00224651">
        <w:rPr>
          <w:rFonts w:ascii="Times New Roman" w:hAnsi="Times New Roman" w:cstheme="minorBidi"/>
          <w:sz w:val="24"/>
          <w:szCs w:val="24"/>
        </w:rPr>
        <w:t xml:space="preserve">: </w:t>
      </w:r>
    </w:p>
    <w:p w14:paraId="1C776B89" w14:textId="77777777" w:rsidR="00805127" w:rsidRPr="00D13CFB" w:rsidRDefault="00805127" w:rsidP="00D13CFB">
      <w:pPr>
        <w:pStyle w:val="a9"/>
        <w:numPr>
          <w:ilvl w:val="1"/>
          <w:numId w:val="27"/>
        </w:numPr>
        <w:jc w:val="both"/>
        <w:rPr>
          <w:rFonts w:ascii="Times New Roman" w:eastAsia="Times New Roman" w:hAnsi="Times New Roman" w:cs="Arial"/>
          <w:sz w:val="24"/>
          <w:szCs w:val="20"/>
        </w:rPr>
      </w:pPr>
      <w:r w:rsidRPr="00D13CFB">
        <w:rPr>
          <w:rFonts w:ascii="Times New Roman" w:eastAsia="Times New Roman" w:hAnsi="Times New Roman" w:cs="Arial"/>
          <w:sz w:val="24"/>
          <w:szCs w:val="20"/>
        </w:rPr>
        <w:t>обязательствах по передаче доходов по сделкам РЕПО;</w:t>
      </w:r>
    </w:p>
    <w:p w14:paraId="2C652530" w14:textId="77777777" w:rsidR="00805127" w:rsidRPr="00D13CFB" w:rsidRDefault="00805127" w:rsidP="00D13CFB">
      <w:pPr>
        <w:pStyle w:val="a9"/>
        <w:numPr>
          <w:ilvl w:val="1"/>
          <w:numId w:val="27"/>
        </w:numPr>
        <w:jc w:val="both"/>
        <w:rPr>
          <w:rFonts w:ascii="Times New Roman" w:eastAsia="Times New Roman" w:hAnsi="Times New Roman" w:cs="Arial"/>
          <w:sz w:val="24"/>
          <w:szCs w:val="20"/>
        </w:rPr>
      </w:pPr>
      <w:r w:rsidRPr="00D13CFB">
        <w:rPr>
          <w:rFonts w:ascii="Times New Roman" w:eastAsia="Times New Roman" w:hAnsi="Times New Roman" w:cs="Arial"/>
          <w:sz w:val="24"/>
          <w:szCs w:val="20"/>
        </w:rPr>
        <w:t>переводах денежных средств и ценных бумаг между счетами;</w:t>
      </w:r>
    </w:p>
    <w:p w14:paraId="3F5061AD" w14:textId="77777777" w:rsidR="00805127" w:rsidRPr="00D13CFB" w:rsidRDefault="00805127" w:rsidP="00D13CFB">
      <w:pPr>
        <w:pStyle w:val="a9"/>
        <w:numPr>
          <w:ilvl w:val="1"/>
          <w:numId w:val="27"/>
        </w:numPr>
        <w:jc w:val="both"/>
        <w:rPr>
          <w:rFonts w:ascii="Times New Roman" w:eastAsia="Times New Roman" w:hAnsi="Times New Roman" w:cs="Arial"/>
          <w:sz w:val="24"/>
          <w:szCs w:val="20"/>
        </w:rPr>
      </w:pPr>
      <w:r w:rsidRPr="00D13CFB">
        <w:rPr>
          <w:rFonts w:ascii="Times New Roman" w:eastAsia="Times New Roman" w:hAnsi="Times New Roman" w:cs="Arial"/>
          <w:sz w:val="24"/>
          <w:szCs w:val="20"/>
        </w:rPr>
        <w:t>зачислении, списании денежных средств и ценных бумаг;</w:t>
      </w:r>
    </w:p>
    <w:p w14:paraId="09C00F61" w14:textId="77777777" w:rsidR="00805127" w:rsidRPr="00D13CFB" w:rsidRDefault="00805127" w:rsidP="00D13CFB">
      <w:pPr>
        <w:pStyle w:val="a9"/>
        <w:numPr>
          <w:ilvl w:val="1"/>
          <w:numId w:val="27"/>
        </w:numPr>
        <w:jc w:val="both"/>
        <w:rPr>
          <w:rFonts w:ascii="Times New Roman" w:eastAsia="Times New Roman" w:hAnsi="Times New Roman" w:cs="Arial"/>
          <w:sz w:val="24"/>
          <w:szCs w:val="20"/>
        </w:rPr>
      </w:pPr>
      <w:r w:rsidRPr="00D13CFB">
        <w:rPr>
          <w:rFonts w:ascii="Times New Roman" w:eastAsia="Times New Roman" w:hAnsi="Times New Roman" w:cs="Arial"/>
          <w:sz w:val="24"/>
          <w:szCs w:val="20"/>
        </w:rPr>
        <w:t>обязательствах по уплате комиссии/штрафа/отступного;</w:t>
      </w:r>
    </w:p>
    <w:p w14:paraId="281AB470" w14:textId="77777777" w:rsidR="00805127" w:rsidRPr="00D13CFB" w:rsidRDefault="00805127" w:rsidP="00D13CFB">
      <w:pPr>
        <w:pStyle w:val="a9"/>
        <w:numPr>
          <w:ilvl w:val="1"/>
          <w:numId w:val="27"/>
        </w:numPr>
        <w:jc w:val="both"/>
        <w:rPr>
          <w:rFonts w:ascii="Times New Roman" w:eastAsia="Times New Roman" w:hAnsi="Times New Roman" w:cs="Arial"/>
          <w:sz w:val="24"/>
          <w:szCs w:val="20"/>
        </w:rPr>
      </w:pPr>
      <w:r w:rsidRPr="00D13CFB">
        <w:rPr>
          <w:rFonts w:ascii="Times New Roman" w:eastAsia="Times New Roman" w:hAnsi="Times New Roman" w:cs="Arial"/>
          <w:sz w:val="24"/>
          <w:szCs w:val="20"/>
        </w:rPr>
        <w:t>обязательствах/требованиях по уплате вариационной маржи на валютном рынке;</w:t>
      </w:r>
    </w:p>
    <w:p w14:paraId="2388E902" w14:textId="77777777" w:rsidR="00805127" w:rsidRPr="00D13CFB" w:rsidRDefault="00805127" w:rsidP="00D13CFB">
      <w:pPr>
        <w:pStyle w:val="a9"/>
        <w:numPr>
          <w:ilvl w:val="1"/>
          <w:numId w:val="27"/>
        </w:numPr>
        <w:jc w:val="both"/>
        <w:rPr>
          <w:rFonts w:ascii="Times New Roman" w:eastAsia="Times New Roman" w:hAnsi="Times New Roman" w:cs="Arial"/>
          <w:sz w:val="24"/>
          <w:szCs w:val="20"/>
        </w:rPr>
      </w:pPr>
      <w:r w:rsidRPr="00D13CFB">
        <w:rPr>
          <w:rFonts w:ascii="Times New Roman" w:eastAsia="Times New Roman" w:hAnsi="Times New Roman" w:cs="Arial"/>
          <w:sz w:val="24"/>
          <w:szCs w:val="20"/>
        </w:rPr>
        <w:t>прекращении обязательств и переводе активов по сделкам с наступившей датой исполнения.</w:t>
      </w:r>
    </w:p>
    <w:p w14:paraId="565FADAB" w14:textId="77777777" w:rsidR="00805127" w:rsidRDefault="00805127" w:rsidP="00D13CFB">
      <w:pPr>
        <w:pStyle w:val="a9"/>
        <w:numPr>
          <w:ilvl w:val="1"/>
          <w:numId w:val="27"/>
        </w:numPr>
        <w:jc w:val="both"/>
        <w:rPr>
          <w:rFonts w:ascii="Times New Roman" w:eastAsia="Times New Roman" w:hAnsi="Times New Roman" w:cs="Arial"/>
          <w:sz w:val="24"/>
          <w:szCs w:val="20"/>
        </w:rPr>
      </w:pPr>
      <w:r w:rsidRPr="00D13CFB">
        <w:rPr>
          <w:rFonts w:ascii="Times New Roman" w:eastAsia="Times New Roman" w:hAnsi="Times New Roman" w:cs="Arial"/>
          <w:sz w:val="24"/>
          <w:szCs w:val="20"/>
        </w:rPr>
        <w:t>обязательствах/требованиях по расчетным кодам единого пула с валютного и срочного рынков на фондовый рынок</w:t>
      </w:r>
      <w:r w:rsidR="005610E8">
        <w:rPr>
          <w:rFonts w:ascii="Times New Roman" w:eastAsia="Times New Roman" w:hAnsi="Times New Roman" w:cs="Arial"/>
          <w:sz w:val="24"/>
          <w:szCs w:val="20"/>
        </w:rPr>
        <w:t>;</w:t>
      </w:r>
    </w:p>
    <w:p w14:paraId="36C56459" w14:textId="2E786ECD" w:rsidR="009A73D6" w:rsidRDefault="005610E8" w:rsidP="00697DC8">
      <w:pPr>
        <w:pStyle w:val="a9"/>
        <w:keepNext/>
        <w:numPr>
          <w:ilvl w:val="0"/>
          <w:numId w:val="58"/>
        </w:numPr>
        <w:tabs>
          <w:tab w:val="left" w:pos="851"/>
        </w:tabs>
        <w:spacing w:before="240" w:line="240" w:lineRule="auto"/>
        <w:jc w:val="both"/>
        <w:rPr>
          <w:rFonts w:ascii="Times New Roman" w:hAnsi="Times New Roman"/>
          <w:sz w:val="24"/>
          <w:szCs w:val="24"/>
        </w:rPr>
      </w:pPr>
      <w:r w:rsidRPr="00621FA2">
        <w:rPr>
          <w:rFonts w:ascii="Times New Roman" w:eastAsia="Times New Roman" w:hAnsi="Times New Roman"/>
          <w:b/>
          <w:i/>
          <w:sz w:val="24"/>
          <w:szCs w:val="24"/>
          <w:lang w:eastAsia="ru-RU"/>
        </w:rPr>
        <w:t>вывод</w:t>
      </w:r>
      <w:r>
        <w:rPr>
          <w:rFonts w:ascii="Times New Roman" w:eastAsia="Times New Roman" w:hAnsi="Times New Roman"/>
          <w:b/>
          <w:i/>
          <w:sz w:val="24"/>
          <w:szCs w:val="24"/>
          <w:lang w:eastAsia="ru-RU"/>
        </w:rPr>
        <w:t>ить</w:t>
      </w:r>
      <w:r w:rsidR="009A73D6" w:rsidRPr="00621FA2">
        <w:rPr>
          <w:rFonts w:ascii="Times New Roman" w:hAnsi="Times New Roman"/>
          <w:b/>
          <w:i/>
          <w:sz w:val="24"/>
          <w:szCs w:val="24"/>
        </w:rPr>
        <w:t xml:space="preserve"> </w:t>
      </w:r>
      <w:r w:rsidR="003002B6">
        <w:rPr>
          <w:rFonts w:ascii="Times New Roman" w:hAnsi="Times New Roman"/>
          <w:b/>
          <w:i/>
          <w:sz w:val="24"/>
          <w:szCs w:val="24"/>
        </w:rPr>
        <w:t xml:space="preserve">на </w:t>
      </w:r>
      <w:r w:rsidR="009A73D6" w:rsidRPr="00621FA2">
        <w:rPr>
          <w:rFonts w:ascii="Times New Roman" w:hAnsi="Times New Roman"/>
          <w:b/>
          <w:i/>
          <w:sz w:val="24"/>
          <w:szCs w:val="24"/>
        </w:rPr>
        <w:t>фондово</w:t>
      </w:r>
      <w:r w:rsidR="003002B6">
        <w:rPr>
          <w:rFonts w:ascii="Times New Roman" w:hAnsi="Times New Roman"/>
          <w:b/>
          <w:i/>
          <w:sz w:val="24"/>
          <w:szCs w:val="24"/>
        </w:rPr>
        <w:t>м</w:t>
      </w:r>
      <w:r w:rsidR="009A73D6" w:rsidRPr="00621FA2">
        <w:rPr>
          <w:rFonts w:ascii="Times New Roman" w:hAnsi="Times New Roman"/>
          <w:b/>
          <w:i/>
          <w:sz w:val="24"/>
          <w:szCs w:val="24"/>
        </w:rPr>
        <w:t xml:space="preserve"> и денежно</w:t>
      </w:r>
      <w:r w:rsidR="003002B6">
        <w:rPr>
          <w:rFonts w:ascii="Times New Roman" w:hAnsi="Times New Roman"/>
          <w:b/>
          <w:i/>
          <w:sz w:val="24"/>
          <w:szCs w:val="24"/>
        </w:rPr>
        <w:t>м</w:t>
      </w:r>
      <w:r w:rsidR="009A73D6" w:rsidRPr="00621FA2">
        <w:rPr>
          <w:rFonts w:ascii="Times New Roman" w:hAnsi="Times New Roman"/>
          <w:b/>
          <w:i/>
          <w:sz w:val="24"/>
          <w:szCs w:val="24"/>
        </w:rPr>
        <w:t xml:space="preserve"> рынк</w:t>
      </w:r>
      <w:r w:rsidR="003002B6">
        <w:rPr>
          <w:rFonts w:ascii="Times New Roman" w:hAnsi="Times New Roman"/>
          <w:b/>
          <w:i/>
          <w:sz w:val="24"/>
          <w:szCs w:val="24"/>
        </w:rPr>
        <w:t>ах</w:t>
      </w:r>
      <w:r w:rsidR="009A73D6" w:rsidRPr="00621FA2">
        <w:rPr>
          <w:rFonts w:ascii="Times New Roman" w:hAnsi="Times New Roman"/>
          <w:b/>
          <w:i/>
          <w:sz w:val="24"/>
          <w:szCs w:val="24"/>
        </w:rPr>
        <w:t xml:space="preserve"> </w:t>
      </w:r>
      <w:r w:rsidR="009A73D6" w:rsidRPr="00621FA2">
        <w:rPr>
          <w:rFonts w:ascii="Times New Roman" w:eastAsia="Times New Roman" w:hAnsi="Times New Roman"/>
          <w:b/>
          <w:i/>
          <w:sz w:val="24"/>
          <w:szCs w:val="24"/>
          <w:lang w:eastAsia="ru-RU"/>
        </w:rPr>
        <w:t>обеспечени</w:t>
      </w:r>
      <w:r>
        <w:rPr>
          <w:rFonts w:ascii="Times New Roman" w:eastAsia="Times New Roman" w:hAnsi="Times New Roman"/>
          <w:b/>
          <w:i/>
          <w:sz w:val="24"/>
          <w:szCs w:val="24"/>
          <w:lang w:eastAsia="ru-RU"/>
        </w:rPr>
        <w:t>е</w:t>
      </w:r>
      <w:r w:rsidR="009A73D6" w:rsidRPr="00621FA2">
        <w:rPr>
          <w:rFonts w:ascii="Times New Roman" w:eastAsia="Times New Roman" w:hAnsi="Times New Roman"/>
          <w:b/>
          <w:i/>
          <w:sz w:val="24"/>
          <w:szCs w:val="24"/>
          <w:lang w:eastAsia="ru-RU"/>
        </w:rPr>
        <w:t xml:space="preserve"> в денежных средствах в размере нетто-требовани</w:t>
      </w:r>
      <w:r w:rsidR="007C64EF">
        <w:rPr>
          <w:rFonts w:ascii="Times New Roman" w:eastAsia="Times New Roman" w:hAnsi="Times New Roman"/>
          <w:b/>
          <w:i/>
          <w:sz w:val="24"/>
          <w:szCs w:val="24"/>
          <w:lang w:eastAsia="ru-RU"/>
        </w:rPr>
        <w:t>я</w:t>
      </w:r>
      <w:r>
        <w:rPr>
          <w:rFonts w:ascii="Times New Roman" w:eastAsia="Times New Roman" w:hAnsi="Times New Roman"/>
          <w:b/>
          <w:i/>
          <w:sz w:val="24"/>
          <w:szCs w:val="24"/>
          <w:lang w:eastAsia="ru-RU"/>
        </w:rPr>
        <w:t>,</w:t>
      </w:r>
      <w:r w:rsidR="0035690E">
        <w:rPr>
          <w:rFonts w:ascii="Times New Roman" w:eastAsia="Times New Roman" w:hAnsi="Times New Roman"/>
          <w:b/>
          <w:sz w:val="24"/>
          <w:szCs w:val="24"/>
          <w:lang w:eastAsia="ru-RU"/>
        </w:rPr>
        <w:t xml:space="preserve"> </w:t>
      </w:r>
      <w:r w:rsidR="009A73D6" w:rsidRPr="009A73D6">
        <w:rPr>
          <w:rFonts w:ascii="Times New Roman" w:hAnsi="Times New Roman"/>
          <w:sz w:val="24"/>
          <w:szCs w:val="24"/>
        </w:rPr>
        <w:t>определенного по обязательствам и требованиям по сделкам Т+ с наступившей да</w:t>
      </w:r>
      <w:r w:rsidR="009A73D6" w:rsidRPr="009A73D6">
        <w:rPr>
          <w:rFonts w:ascii="Times New Roman" w:hAnsi="Times New Roman"/>
          <w:sz w:val="24"/>
          <w:szCs w:val="24"/>
        </w:rPr>
        <w:lastRenderedPageBreak/>
        <w:t>той исполнения. Вывод в размере нетто-требования доступен в течение всей даты исполнения при соблюдении условий для возврата (при условии достаточности оставшегося обеспечения)</w:t>
      </w:r>
      <w:r>
        <w:rPr>
          <w:rFonts w:ascii="Times New Roman" w:hAnsi="Times New Roman"/>
          <w:sz w:val="24"/>
          <w:szCs w:val="24"/>
        </w:rPr>
        <w:t>;</w:t>
      </w:r>
    </w:p>
    <w:p w14:paraId="2D612AD9" w14:textId="1C9D34D1" w:rsidR="00531E78" w:rsidRPr="00531E78" w:rsidRDefault="0035690E" w:rsidP="00697DC8">
      <w:pPr>
        <w:pStyle w:val="a9"/>
        <w:keepNext/>
        <w:numPr>
          <w:ilvl w:val="0"/>
          <w:numId w:val="58"/>
        </w:numPr>
        <w:tabs>
          <w:tab w:val="left" w:pos="851"/>
        </w:tabs>
        <w:spacing w:before="240" w:line="240" w:lineRule="auto"/>
        <w:jc w:val="both"/>
        <w:rPr>
          <w:rFonts w:ascii="Times New Roman" w:hAnsi="Times New Roman"/>
          <w:b/>
          <w:i/>
          <w:sz w:val="24"/>
          <w:szCs w:val="24"/>
        </w:rPr>
      </w:pPr>
      <w:r>
        <w:rPr>
          <w:rFonts w:ascii="Times New Roman" w:hAnsi="Times New Roman"/>
          <w:b/>
          <w:i/>
          <w:sz w:val="24"/>
          <w:szCs w:val="24"/>
        </w:rPr>
        <w:t xml:space="preserve">осуществлять </w:t>
      </w:r>
      <w:r w:rsidR="00531E78" w:rsidRPr="00531E78">
        <w:rPr>
          <w:rFonts w:ascii="Times New Roman" w:hAnsi="Times New Roman"/>
          <w:b/>
          <w:i/>
          <w:sz w:val="24"/>
          <w:szCs w:val="24"/>
        </w:rPr>
        <w:t xml:space="preserve">возврат средств с фондового рынка на  основе </w:t>
      </w:r>
    </w:p>
    <w:p w14:paraId="03B59E94" w14:textId="77777777" w:rsidR="00531E78" w:rsidRDefault="00531E78" w:rsidP="00697DC8">
      <w:pPr>
        <w:pStyle w:val="a9"/>
        <w:keepNext/>
        <w:tabs>
          <w:tab w:val="left" w:pos="851"/>
        </w:tabs>
        <w:spacing w:before="240" w:line="240" w:lineRule="auto"/>
        <w:ind w:left="1211"/>
        <w:jc w:val="both"/>
        <w:rPr>
          <w:rFonts w:ascii="Times New Roman" w:hAnsi="Times New Roman"/>
          <w:sz w:val="24"/>
          <w:szCs w:val="24"/>
        </w:rPr>
      </w:pPr>
      <w:r w:rsidRPr="00531E78">
        <w:rPr>
          <w:rFonts w:ascii="Times New Roman" w:hAnsi="Times New Roman"/>
          <w:b/>
          <w:i/>
          <w:sz w:val="24"/>
          <w:szCs w:val="24"/>
        </w:rPr>
        <w:t>поданного постоянного поручения</w:t>
      </w:r>
      <w:r w:rsidRPr="00531E78">
        <w:rPr>
          <w:rFonts w:ascii="Times New Roman" w:hAnsi="Times New Roman"/>
          <w:sz w:val="24"/>
          <w:szCs w:val="24"/>
        </w:rPr>
        <w:t xml:space="preserve"> на возврат обеспечения в денежных средствах (ПВДС) в размере итогового нетто-требования (по аналогии с тем, как это реализовано на валютном рынке).</w:t>
      </w:r>
      <w:r>
        <w:rPr>
          <w:rFonts w:ascii="Times New Roman" w:hAnsi="Times New Roman"/>
          <w:sz w:val="24"/>
          <w:szCs w:val="24"/>
        </w:rPr>
        <w:t xml:space="preserve"> </w:t>
      </w:r>
      <w:r w:rsidRPr="00531E78">
        <w:rPr>
          <w:rFonts w:ascii="Times New Roman" w:hAnsi="Times New Roman"/>
          <w:sz w:val="24"/>
          <w:szCs w:val="24"/>
        </w:rPr>
        <w:t>Исполнение постоянного поручения на возврат обеспечения осуществляется после определения итоговых нетто-обязательств / итоговых нетто-требований в соответствующей валюте</w:t>
      </w:r>
      <w:r w:rsidR="005610E8">
        <w:rPr>
          <w:rFonts w:ascii="Times New Roman" w:hAnsi="Times New Roman"/>
          <w:sz w:val="24"/>
          <w:szCs w:val="24"/>
        </w:rPr>
        <w:t>;</w:t>
      </w:r>
    </w:p>
    <w:p w14:paraId="03AF1AFC" w14:textId="1A289F22" w:rsidR="00726BC7" w:rsidRPr="005610E8" w:rsidRDefault="005610E8" w:rsidP="00697DC8">
      <w:pPr>
        <w:pStyle w:val="a9"/>
        <w:keepNext/>
        <w:numPr>
          <w:ilvl w:val="0"/>
          <w:numId w:val="58"/>
        </w:numPr>
        <w:tabs>
          <w:tab w:val="left" w:pos="851"/>
        </w:tabs>
        <w:spacing w:before="240" w:line="240" w:lineRule="auto"/>
        <w:jc w:val="both"/>
        <w:rPr>
          <w:rFonts w:ascii="Times New Roman" w:hAnsi="Times New Roman"/>
          <w:sz w:val="24"/>
          <w:szCs w:val="24"/>
        </w:rPr>
      </w:pPr>
      <w:r w:rsidRPr="005610E8">
        <w:rPr>
          <w:rFonts w:ascii="Times New Roman" w:hAnsi="Times New Roman"/>
          <w:b/>
          <w:i/>
          <w:sz w:val="24"/>
          <w:szCs w:val="24"/>
        </w:rPr>
        <w:t>осуществлять</w:t>
      </w:r>
      <w:r w:rsidR="00726BC7" w:rsidRPr="005610E8">
        <w:rPr>
          <w:rFonts w:ascii="Times New Roman" w:hAnsi="Times New Roman"/>
          <w:b/>
          <w:i/>
          <w:sz w:val="24"/>
          <w:szCs w:val="24"/>
        </w:rPr>
        <w:t xml:space="preserve"> перевод индивидуального клирингового обеспечения в иное   обеспечение</w:t>
      </w:r>
      <w:r w:rsidRPr="005610E8">
        <w:rPr>
          <w:rFonts w:ascii="Times New Roman" w:hAnsi="Times New Roman"/>
          <w:b/>
          <w:sz w:val="24"/>
          <w:szCs w:val="24"/>
        </w:rPr>
        <w:t xml:space="preserve"> </w:t>
      </w:r>
      <w:r w:rsidRPr="005610E8">
        <w:rPr>
          <w:rFonts w:ascii="Times New Roman" w:hAnsi="Times New Roman"/>
          <w:sz w:val="24"/>
          <w:szCs w:val="24"/>
        </w:rPr>
        <w:t>н</w:t>
      </w:r>
      <w:r w:rsidR="00726BC7" w:rsidRPr="005610E8">
        <w:rPr>
          <w:rFonts w:ascii="Times New Roman" w:hAnsi="Times New Roman"/>
          <w:sz w:val="24"/>
          <w:szCs w:val="24"/>
        </w:rPr>
        <w:t>а фондовом и срочном рынках по заявлению участника клиринга</w:t>
      </w:r>
      <w:r w:rsidRPr="005610E8">
        <w:rPr>
          <w:rFonts w:ascii="Times New Roman" w:hAnsi="Times New Roman"/>
          <w:sz w:val="24"/>
          <w:szCs w:val="24"/>
        </w:rPr>
        <w:t xml:space="preserve">. </w:t>
      </w:r>
      <w:r w:rsidR="00726BC7" w:rsidRPr="005610E8">
        <w:rPr>
          <w:rFonts w:ascii="Times New Roman" w:hAnsi="Times New Roman"/>
          <w:sz w:val="24"/>
          <w:szCs w:val="24"/>
        </w:rPr>
        <w:t xml:space="preserve">В случае такого изменения статуса обеспечения </w:t>
      </w:r>
      <w:r w:rsidRPr="005610E8">
        <w:rPr>
          <w:rFonts w:ascii="Times New Roman" w:hAnsi="Times New Roman"/>
          <w:sz w:val="24"/>
          <w:szCs w:val="24"/>
        </w:rPr>
        <w:t>у</w:t>
      </w:r>
      <w:r w:rsidR="00726BC7" w:rsidRPr="005610E8">
        <w:rPr>
          <w:rFonts w:ascii="Times New Roman" w:hAnsi="Times New Roman"/>
          <w:sz w:val="24"/>
          <w:szCs w:val="24"/>
        </w:rPr>
        <w:t>частник клиринга сможет зачислять иностранную валюту в обеспечение напрямую на корреспондентские счета НКЦ, открытые в иностранных банках</w:t>
      </w:r>
      <w:r w:rsidRPr="005610E8">
        <w:rPr>
          <w:rFonts w:ascii="Times New Roman" w:hAnsi="Times New Roman"/>
          <w:sz w:val="24"/>
          <w:szCs w:val="24"/>
        </w:rPr>
        <w:t xml:space="preserve"> </w:t>
      </w:r>
      <w:r w:rsidR="00726BC7" w:rsidRPr="005610E8">
        <w:rPr>
          <w:rFonts w:ascii="Times New Roman" w:hAnsi="Times New Roman"/>
          <w:sz w:val="24"/>
          <w:szCs w:val="24"/>
        </w:rPr>
        <w:t>также, как и на валютном рынке, что сократит время на проведение этой операции.</w:t>
      </w:r>
    </w:p>
    <w:p w14:paraId="47E0E838" w14:textId="77777777" w:rsidR="00090649" w:rsidRDefault="00090649" w:rsidP="00805127">
      <w:pPr>
        <w:spacing w:after="200"/>
        <w:ind w:left="141"/>
        <w:jc w:val="both"/>
        <w:rPr>
          <w:rFonts w:ascii="Times New Roman" w:hAnsi="Times New Roman" w:cstheme="minorBidi"/>
          <w:b/>
          <w:sz w:val="24"/>
          <w:szCs w:val="24"/>
        </w:rPr>
      </w:pPr>
    </w:p>
    <w:p w14:paraId="4EFAEF8F" w14:textId="77777777" w:rsidR="00805127" w:rsidRPr="00805127" w:rsidRDefault="00805127" w:rsidP="00805127">
      <w:pPr>
        <w:spacing w:after="200"/>
        <w:ind w:left="141"/>
        <w:jc w:val="both"/>
        <w:rPr>
          <w:rFonts w:ascii="Times New Roman" w:hAnsi="Times New Roman" w:cstheme="minorBidi"/>
          <w:b/>
          <w:sz w:val="24"/>
          <w:szCs w:val="24"/>
        </w:rPr>
      </w:pPr>
      <w:r w:rsidRPr="00805127">
        <w:rPr>
          <w:rFonts w:ascii="Times New Roman" w:hAnsi="Times New Roman" w:cstheme="minorBidi"/>
          <w:b/>
          <w:sz w:val="24"/>
          <w:szCs w:val="24"/>
        </w:rPr>
        <w:t>4.Расширен спис</w:t>
      </w:r>
      <w:r w:rsidR="00B3310A">
        <w:rPr>
          <w:rFonts w:ascii="Times New Roman" w:hAnsi="Times New Roman" w:cstheme="minorBidi"/>
          <w:b/>
          <w:sz w:val="24"/>
          <w:szCs w:val="24"/>
        </w:rPr>
        <w:t>о</w:t>
      </w:r>
      <w:r w:rsidRPr="00805127">
        <w:rPr>
          <w:rFonts w:ascii="Times New Roman" w:hAnsi="Times New Roman" w:cstheme="minorBidi"/>
          <w:b/>
          <w:sz w:val="24"/>
          <w:szCs w:val="24"/>
        </w:rPr>
        <w:t xml:space="preserve">к активов, принимаемых в обеспечение на </w:t>
      </w:r>
      <w:r w:rsidR="00697DC8">
        <w:rPr>
          <w:rFonts w:ascii="Times New Roman" w:hAnsi="Times New Roman" w:cstheme="minorBidi"/>
          <w:b/>
          <w:sz w:val="24"/>
          <w:szCs w:val="24"/>
        </w:rPr>
        <w:t>ф</w:t>
      </w:r>
      <w:r w:rsidRPr="00805127">
        <w:rPr>
          <w:rFonts w:ascii="Times New Roman" w:hAnsi="Times New Roman" w:cstheme="minorBidi"/>
          <w:b/>
          <w:sz w:val="24"/>
          <w:szCs w:val="24"/>
        </w:rPr>
        <w:t>ондовом рынке</w:t>
      </w:r>
    </w:p>
    <w:p w14:paraId="0BC51E77" w14:textId="2C5AFD2C" w:rsidR="008F2250" w:rsidRDefault="00805127" w:rsidP="00697DC8">
      <w:pPr>
        <w:spacing w:after="200"/>
        <w:ind w:left="567"/>
        <w:jc w:val="both"/>
        <w:rPr>
          <w:rFonts w:ascii="Times New Roman" w:hAnsi="Times New Roman" w:cstheme="minorBidi"/>
          <w:sz w:val="24"/>
          <w:szCs w:val="24"/>
        </w:rPr>
      </w:pPr>
      <w:r w:rsidRPr="00805127">
        <w:rPr>
          <w:rFonts w:ascii="Times New Roman" w:hAnsi="Times New Roman" w:cstheme="minorBidi"/>
          <w:sz w:val="24"/>
          <w:szCs w:val="24"/>
        </w:rPr>
        <w:t xml:space="preserve">    В рамках реализации проекта «Единый пул обеспечения» в целях унификации перечня активов, принимаемых в качестве обеспечения на различных рынках, НКЦ</w:t>
      </w:r>
      <w:r w:rsidR="00400487">
        <w:rPr>
          <w:rFonts w:ascii="Times New Roman" w:hAnsi="Times New Roman" w:cstheme="minorBidi"/>
          <w:sz w:val="24"/>
          <w:szCs w:val="24"/>
        </w:rPr>
        <w:t xml:space="preserve"> </w:t>
      </w:r>
      <w:r w:rsidRPr="00805127">
        <w:rPr>
          <w:rFonts w:ascii="Times New Roman" w:hAnsi="Times New Roman" w:cstheme="minorBidi"/>
          <w:sz w:val="24"/>
          <w:szCs w:val="24"/>
        </w:rPr>
        <w:t xml:space="preserve">  в 2017 году начал принимать в  качестве обеспечения на фондовом рынке  иностранную валюту и драгоценные металлы (на первом этапе - по расчетным кодам единого пула) в соответствии с перечнем иностранных валют и драгоценных металлов, принимаемых в качестве обеспечения в НКЦ</w:t>
      </w:r>
      <w:r w:rsidR="008F2250">
        <w:rPr>
          <w:rFonts w:ascii="Times New Roman" w:hAnsi="Times New Roman" w:cstheme="minorBidi"/>
          <w:sz w:val="24"/>
          <w:szCs w:val="24"/>
        </w:rPr>
        <w:t>:</w:t>
      </w:r>
    </w:p>
    <w:p w14:paraId="242E62B8" w14:textId="215CF8CF" w:rsidR="008F2250" w:rsidRPr="002D5B85" w:rsidRDefault="008F2250" w:rsidP="008F2250">
      <w:pPr>
        <w:pStyle w:val="a9"/>
        <w:numPr>
          <w:ilvl w:val="0"/>
          <w:numId w:val="57"/>
        </w:numPr>
        <w:spacing w:after="0" w:line="240" w:lineRule="auto"/>
        <w:jc w:val="both"/>
        <w:rPr>
          <w:rFonts w:ascii="Times New Roman" w:hAnsi="Times New Roman"/>
          <w:sz w:val="24"/>
          <w:szCs w:val="24"/>
        </w:rPr>
      </w:pPr>
      <w:r w:rsidRPr="002D5B85">
        <w:rPr>
          <w:rFonts w:ascii="Times New Roman" w:hAnsi="Times New Roman"/>
          <w:sz w:val="24"/>
          <w:szCs w:val="24"/>
        </w:rPr>
        <w:t>USD (доллар США)</w:t>
      </w:r>
    </w:p>
    <w:p w14:paraId="228DFC1F" w14:textId="77777777" w:rsidR="008F2250" w:rsidRPr="002D5B85" w:rsidRDefault="008F2250" w:rsidP="008F2250">
      <w:pPr>
        <w:pStyle w:val="a9"/>
        <w:numPr>
          <w:ilvl w:val="0"/>
          <w:numId w:val="57"/>
        </w:numPr>
        <w:spacing w:after="0" w:line="240" w:lineRule="auto"/>
        <w:jc w:val="both"/>
        <w:rPr>
          <w:rFonts w:ascii="Times New Roman" w:hAnsi="Times New Roman"/>
          <w:sz w:val="24"/>
          <w:szCs w:val="24"/>
        </w:rPr>
      </w:pPr>
      <w:r w:rsidRPr="002D5B85">
        <w:rPr>
          <w:rFonts w:ascii="Times New Roman" w:hAnsi="Times New Roman"/>
          <w:sz w:val="24"/>
          <w:szCs w:val="24"/>
        </w:rPr>
        <w:t>EUR (евро)</w:t>
      </w:r>
    </w:p>
    <w:p w14:paraId="3C0DEB7B" w14:textId="77777777" w:rsidR="008F2250" w:rsidRPr="002D5B85" w:rsidRDefault="008F2250" w:rsidP="008F2250">
      <w:pPr>
        <w:pStyle w:val="a9"/>
        <w:numPr>
          <w:ilvl w:val="0"/>
          <w:numId w:val="57"/>
        </w:numPr>
        <w:spacing w:after="0" w:line="240" w:lineRule="auto"/>
        <w:jc w:val="both"/>
        <w:rPr>
          <w:rFonts w:ascii="Times New Roman" w:hAnsi="Times New Roman"/>
          <w:sz w:val="24"/>
          <w:szCs w:val="24"/>
        </w:rPr>
      </w:pPr>
      <w:r w:rsidRPr="002D5B85">
        <w:rPr>
          <w:rFonts w:ascii="Times New Roman" w:hAnsi="Times New Roman"/>
          <w:sz w:val="24"/>
          <w:szCs w:val="24"/>
        </w:rPr>
        <w:t>CNY (юань)</w:t>
      </w:r>
    </w:p>
    <w:p w14:paraId="7D0FACB0" w14:textId="116FEDCF" w:rsidR="008F2250" w:rsidRPr="002D5B85" w:rsidRDefault="008F2250" w:rsidP="008F2250">
      <w:pPr>
        <w:pStyle w:val="a9"/>
        <w:numPr>
          <w:ilvl w:val="0"/>
          <w:numId w:val="57"/>
        </w:numPr>
        <w:spacing w:after="0" w:line="240" w:lineRule="auto"/>
        <w:jc w:val="both"/>
        <w:rPr>
          <w:rFonts w:ascii="Times New Roman" w:hAnsi="Times New Roman"/>
          <w:sz w:val="24"/>
          <w:szCs w:val="24"/>
        </w:rPr>
      </w:pPr>
      <w:r w:rsidRPr="002D5B85">
        <w:rPr>
          <w:rFonts w:ascii="Times New Roman" w:hAnsi="Times New Roman"/>
          <w:sz w:val="24"/>
          <w:szCs w:val="24"/>
        </w:rPr>
        <w:t>GBP (фунт стерлингов)</w:t>
      </w:r>
    </w:p>
    <w:p w14:paraId="5D60E86D" w14:textId="77777777" w:rsidR="008F2250" w:rsidRPr="002D5B85" w:rsidRDefault="008F2250" w:rsidP="008F2250">
      <w:pPr>
        <w:pStyle w:val="a9"/>
        <w:numPr>
          <w:ilvl w:val="0"/>
          <w:numId w:val="57"/>
        </w:numPr>
        <w:spacing w:after="0" w:line="240" w:lineRule="auto"/>
        <w:jc w:val="both"/>
        <w:rPr>
          <w:rFonts w:ascii="Times New Roman" w:hAnsi="Times New Roman"/>
          <w:sz w:val="24"/>
          <w:szCs w:val="24"/>
        </w:rPr>
      </w:pPr>
      <w:r w:rsidRPr="002D5B85">
        <w:rPr>
          <w:rFonts w:ascii="Times New Roman" w:hAnsi="Times New Roman"/>
          <w:sz w:val="24"/>
          <w:szCs w:val="24"/>
        </w:rPr>
        <w:t>CHF (швейцарский франк)</w:t>
      </w:r>
    </w:p>
    <w:p w14:paraId="69C18D9D" w14:textId="77777777" w:rsidR="008F2250" w:rsidRPr="002D5B85" w:rsidRDefault="008F2250" w:rsidP="008F2250">
      <w:pPr>
        <w:pStyle w:val="a9"/>
        <w:numPr>
          <w:ilvl w:val="0"/>
          <w:numId w:val="57"/>
        </w:numPr>
        <w:spacing w:after="0" w:line="240" w:lineRule="auto"/>
        <w:jc w:val="both"/>
        <w:rPr>
          <w:rFonts w:ascii="Times New Roman" w:hAnsi="Times New Roman"/>
          <w:sz w:val="24"/>
          <w:szCs w:val="24"/>
        </w:rPr>
      </w:pPr>
      <w:r w:rsidRPr="002D5B85">
        <w:rPr>
          <w:rFonts w:ascii="Times New Roman" w:hAnsi="Times New Roman"/>
          <w:sz w:val="24"/>
          <w:szCs w:val="24"/>
        </w:rPr>
        <w:t>HKD (гонконгский доллар)</w:t>
      </w:r>
    </w:p>
    <w:p w14:paraId="4162AF14" w14:textId="77777777" w:rsidR="008F2250" w:rsidRPr="002D5B85" w:rsidRDefault="008F2250" w:rsidP="008F2250">
      <w:pPr>
        <w:pStyle w:val="a9"/>
        <w:numPr>
          <w:ilvl w:val="0"/>
          <w:numId w:val="57"/>
        </w:numPr>
        <w:spacing w:after="0" w:line="240" w:lineRule="auto"/>
        <w:jc w:val="both"/>
        <w:rPr>
          <w:rFonts w:ascii="Times New Roman" w:hAnsi="Times New Roman"/>
          <w:sz w:val="24"/>
          <w:szCs w:val="24"/>
        </w:rPr>
      </w:pPr>
      <w:r w:rsidRPr="002D5B85">
        <w:rPr>
          <w:rFonts w:ascii="Times New Roman" w:hAnsi="Times New Roman"/>
          <w:sz w:val="24"/>
          <w:szCs w:val="24"/>
        </w:rPr>
        <w:t>BYN (белорусский рубль)</w:t>
      </w:r>
    </w:p>
    <w:p w14:paraId="01E37374" w14:textId="77777777" w:rsidR="008F2250" w:rsidRPr="002D5B85" w:rsidRDefault="008F2250" w:rsidP="008F2250">
      <w:pPr>
        <w:pStyle w:val="a9"/>
        <w:numPr>
          <w:ilvl w:val="0"/>
          <w:numId w:val="57"/>
        </w:numPr>
        <w:spacing w:after="0" w:line="240" w:lineRule="auto"/>
        <w:jc w:val="both"/>
        <w:rPr>
          <w:rFonts w:ascii="Times New Roman" w:hAnsi="Times New Roman"/>
          <w:sz w:val="24"/>
          <w:szCs w:val="24"/>
        </w:rPr>
      </w:pPr>
      <w:r w:rsidRPr="002D5B85">
        <w:rPr>
          <w:rFonts w:ascii="Times New Roman" w:hAnsi="Times New Roman"/>
          <w:sz w:val="24"/>
          <w:szCs w:val="24"/>
        </w:rPr>
        <w:t>GLD (золото)</w:t>
      </w:r>
    </w:p>
    <w:p w14:paraId="0DD0CCCF" w14:textId="77777777" w:rsidR="008F2250" w:rsidRDefault="008F2250" w:rsidP="008F2250">
      <w:pPr>
        <w:pStyle w:val="a9"/>
        <w:numPr>
          <w:ilvl w:val="0"/>
          <w:numId w:val="57"/>
        </w:numPr>
        <w:spacing w:after="0" w:line="240" w:lineRule="auto"/>
        <w:jc w:val="both"/>
        <w:rPr>
          <w:rFonts w:ascii="Times New Roman" w:hAnsi="Times New Roman"/>
          <w:sz w:val="24"/>
          <w:szCs w:val="24"/>
        </w:rPr>
      </w:pPr>
      <w:r w:rsidRPr="002D5B85">
        <w:rPr>
          <w:rFonts w:ascii="Times New Roman" w:hAnsi="Times New Roman"/>
          <w:sz w:val="24"/>
          <w:szCs w:val="24"/>
        </w:rPr>
        <w:t>SLV (серебро)</w:t>
      </w:r>
    </w:p>
    <w:p w14:paraId="1E4DE65D" w14:textId="77777777" w:rsidR="00805127" w:rsidRPr="00805127" w:rsidRDefault="00805127" w:rsidP="00805127">
      <w:pPr>
        <w:spacing w:after="200"/>
        <w:ind w:left="567"/>
        <w:jc w:val="both"/>
        <w:rPr>
          <w:rFonts w:ascii="Times New Roman" w:hAnsi="Times New Roman" w:cstheme="minorBidi"/>
          <w:sz w:val="24"/>
          <w:szCs w:val="24"/>
        </w:rPr>
      </w:pPr>
      <w:r w:rsidRPr="00805127">
        <w:rPr>
          <w:rFonts w:ascii="Times New Roman" w:hAnsi="Times New Roman" w:cstheme="minorBidi"/>
          <w:sz w:val="24"/>
          <w:szCs w:val="24"/>
        </w:rPr>
        <w:t xml:space="preserve"> </w:t>
      </w:r>
    </w:p>
    <w:p w14:paraId="2D8B3B01" w14:textId="77777777" w:rsidR="00805127" w:rsidRPr="00805127" w:rsidRDefault="00805127" w:rsidP="00805127">
      <w:pPr>
        <w:jc w:val="both"/>
        <w:rPr>
          <w:rFonts w:ascii="Times New Roman" w:hAnsi="Times New Roman" w:cstheme="minorBidi"/>
          <w:sz w:val="24"/>
          <w:szCs w:val="24"/>
        </w:rPr>
      </w:pPr>
    </w:p>
    <w:p w14:paraId="51635833" w14:textId="77777777" w:rsidR="00805127" w:rsidRPr="00805127" w:rsidRDefault="00805127" w:rsidP="00805127">
      <w:pPr>
        <w:numPr>
          <w:ilvl w:val="0"/>
          <w:numId w:val="23"/>
        </w:numPr>
        <w:spacing w:after="200" w:line="276" w:lineRule="auto"/>
        <w:contextualSpacing/>
        <w:jc w:val="both"/>
        <w:rPr>
          <w:rFonts w:ascii="Times New Roman" w:eastAsia="Calibri" w:hAnsi="Times New Roman"/>
          <w:b/>
          <w:sz w:val="24"/>
          <w:szCs w:val="24"/>
        </w:rPr>
      </w:pPr>
      <w:r w:rsidRPr="00805127">
        <w:rPr>
          <w:rFonts w:ascii="Times New Roman" w:eastAsia="Calibri" w:hAnsi="Times New Roman"/>
          <w:b/>
          <w:sz w:val="24"/>
          <w:szCs w:val="24"/>
        </w:rPr>
        <w:t>В рамках развития системы управления рисками НКЦ:</w:t>
      </w:r>
    </w:p>
    <w:p w14:paraId="6B3B7743" w14:textId="77777777" w:rsidR="00805127" w:rsidRPr="00805127" w:rsidRDefault="00805127" w:rsidP="00805127">
      <w:pPr>
        <w:ind w:left="360"/>
        <w:contextualSpacing/>
        <w:jc w:val="both"/>
        <w:rPr>
          <w:rFonts w:ascii="Times New Roman" w:eastAsia="Calibri" w:hAnsi="Times New Roman"/>
          <w:sz w:val="24"/>
          <w:szCs w:val="24"/>
        </w:rPr>
      </w:pPr>
    </w:p>
    <w:p w14:paraId="635B4444" w14:textId="77777777" w:rsidR="00805127" w:rsidRPr="00805127" w:rsidRDefault="00805127" w:rsidP="00697DC8">
      <w:pPr>
        <w:numPr>
          <w:ilvl w:val="0"/>
          <w:numId w:val="22"/>
        </w:numPr>
        <w:spacing w:after="200"/>
        <w:contextualSpacing/>
        <w:jc w:val="both"/>
        <w:rPr>
          <w:rFonts w:ascii="Times New Roman" w:eastAsia="Calibri" w:hAnsi="Times New Roman"/>
          <w:sz w:val="24"/>
          <w:szCs w:val="24"/>
        </w:rPr>
      </w:pPr>
      <w:r w:rsidRPr="00805127">
        <w:rPr>
          <w:rFonts w:ascii="Times New Roman" w:eastAsia="Calibri" w:hAnsi="Times New Roman"/>
          <w:b/>
          <w:sz w:val="24"/>
          <w:szCs w:val="24"/>
        </w:rPr>
        <w:t>Внедрена обновленная методология стресс-тестирования и бэк-тестирования</w:t>
      </w:r>
      <w:r w:rsidRPr="00805127">
        <w:rPr>
          <w:rFonts w:ascii="Times New Roman" w:eastAsia="Calibri" w:hAnsi="Times New Roman"/>
          <w:sz w:val="24"/>
          <w:szCs w:val="24"/>
        </w:rPr>
        <w:t xml:space="preserve">, в результате чего деятельность НКЦ приведена в соответствие требованиям Банка России к НКО-ЦК. Применение обновленной методологии предполагает проведение ежедневного бэк-тестирования достаточности обеспечения и стресс-тестирования рисков НКЦ как ЦК.   </w:t>
      </w:r>
    </w:p>
    <w:p w14:paraId="3F56D984" w14:textId="77777777" w:rsidR="00805127" w:rsidRPr="00805127" w:rsidRDefault="00805127" w:rsidP="00697DC8">
      <w:pPr>
        <w:ind w:left="927"/>
        <w:contextualSpacing/>
        <w:jc w:val="both"/>
        <w:rPr>
          <w:rFonts w:ascii="Times New Roman" w:eastAsia="Calibri" w:hAnsi="Times New Roman"/>
          <w:sz w:val="24"/>
          <w:szCs w:val="24"/>
        </w:rPr>
      </w:pPr>
    </w:p>
    <w:p w14:paraId="01E37D9D" w14:textId="77777777" w:rsidR="00805127" w:rsidRPr="00805127" w:rsidRDefault="00805127" w:rsidP="00697DC8">
      <w:pPr>
        <w:numPr>
          <w:ilvl w:val="0"/>
          <w:numId w:val="22"/>
        </w:numPr>
        <w:spacing w:after="200"/>
        <w:contextualSpacing/>
        <w:jc w:val="both"/>
        <w:rPr>
          <w:rFonts w:ascii="Times New Roman" w:eastAsia="Calibri" w:hAnsi="Times New Roman"/>
          <w:sz w:val="24"/>
          <w:szCs w:val="24"/>
        </w:rPr>
      </w:pPr>
      <w:r w:rsidRPr="00805127">
        <w:rPr>
          <w:rFonts w:ascii="Times New Roman" w:eastAsia="Calibri" w:hAnsi="Times New Roman"/>
          <w:b/>
          <w:sz w:val="24"/>
          <w:szCs w:val="24"/>
        </w:rPr>
        <w:t>Укреплена структура уровней защиты ЦК за счет</w:t>
      </w:r>
      <w:r w:rsidRPr="00805127">
        <w:rPr>
          <w:rFonts w:ascii="Times New Roman" w:eastAsia="Calibri" w:hAnsi="Times New Roman"/>
          <w:sz w:val="24"/>
          <w:szCs w:val="24"/>
        </w:rPr>
        <w:t>:</w:t>
      </w:r>
    </w:p>
    <w:p w14:paraId="0F56AFA7" w14:textId="77777777" w:rsidR="00805127" w:rsidRPr="00805127" w:rsidRDefault="00805127" w:rsidP="00697DC8">
      <w:pPr>
        <w:numPr>
          <w:ilvl w:val="1"/>
          <w:numId w:val="25"/>
        </w:numPr>
        <w:spacing w:after="200"/>
        <w:contextualSpacing/>
        <w:jc w:val="both"/>
        <w:rPr>
          <w:rFonts w:ascii="Times New Roman" w:eastAsia="Calibri" w:hAnsi="Times New Roman"/>
          <w:sz w:val="24"/>
          <w:szCs w:val="24"/>
        </w:rPr>
      </w:pPr>
      <w:r w:rsidRPr="00805127">
        <w:rPr>
          <w:rFonts w:ascii="Times New Roman" w:eastAsia="Calibri" w:hAnsi="Times New Roman"/>
          <w:sz w:val="24"/>
          <w:szCs w:val="24"/>
        </w:rPr>
        <w:lastRenderedPageBreak/>
        <w:t>изменения механизма ограничения ответственности ЦК в части внедрения                      процедуры дисконтирования обязательств центрального контрагента;</w:t>
      </w:r>
    </w:p>
    <w:p w14:paraId="0B9D5551" w14:textId="4115CDAB" w:rsidR="00805127" w:rsidRPr="00805127" w:rsidRDefault="00805127" w:rsidP="00697DC8">
      <w:pPr>
        <w:numPr>
          <w:ilvl w:val="1"/>
          <w:numId w:val="25"/>
        </w:numPr>
        <w:spacing w:after="200"/>
        <w:contextualSpacing/>
        <w:jc w:val="both"/>
        <w:rPr>
          <w:rFonts w:ascii="Times New Roman" w:eastAsia="Calibri" w:hAnsi="Times New Roman"/>
          <w:sz w:val="24"/>
          <w:szCs w:val="24"/>
        </w:rPr>
      </w:pPr>
      <w:r w:rsidRPr="00805127">
        <w:rPr>
          <w:rFonts w:ascii="Times New Roman" w:eastAsia="Calibri" w:hAnsi="Times New Roman"/>
          <w:sz w:val="24"/>
          <w:szCs w:val="24"/>
        </w:rPr>
        <w:t>увеличения размера взносов участников клиринга в гарантийные фонды в целях унификации требований к размеру взноса на валю</w:t>
      </w:r>
      <w:r w:rsidR="0035690E">
        <w:rPr>
          <w:rFonts w:ascii="Times New Roman" w:eastAsia="Calibri" w:hAnsi="Times New Roman"/>
          <w:sz w:val="24"/>
          <w:szCs w:val="24"/>
        </w:rPr>
        <w:t xml:space="preserve">тном рынке и рынке драгоценных </w:t>
      </w:r>
      <w:r w:rsidRPr="00805127">
        <w:rPr>
          <w:rFonts w:ascii="Times New Roman" w:eastAsia="Calibri" w:hAnsi="Times New Roman"/>
          <w:sz w:val="24"/>
          <w:szCs w:val="24"/>
        </w:rPr>
        <w:t>металлов, фондовом рынке и срочном рынке до 10 миллионов рублей.</w:t>
      </w:r>
    </w:p>
    <w:p w14:paraId="2DDEBF05" w14:textId="77777777" w:rsidR="00805127" w:rsidRPr="00805127" w:rsidRDefault="00805127" w:rsidP="00805127">
      <w:pPr>
        <w:spacing w:after="200"/>
        <w:ind w:left="927"/>
        <w:contextualSpacing/>
        <w:jc w:val="both"/>
        <w:rPr>
          <w:rFonts w:ascii="Times New Roman" w:eastAsia="Calibri" w:hAnsi="Times New Roman"/>
          <w:sz w:val="24"/>
          <w:szCs w:val="24"/>
        </w:rPr>
      </w:pPr>
    </w:p>
    <w:p w14:paraId="5552FE4E" w14:textId="77777777" w:rsidR="00805127" w:rsidRPr="00805127" w:rsidRDefault="00805127" w:rsidP="00697DC8">
      <w:pPr>
        <w:numPr>
          <w:ilvl w:val="0"/>
          <w:numId w:val="22"/>
        </w:numPr>
        <w:spacing w:after="200"/>
        <w:ind w:left="924" w:hanging="357"/>
        <w:jc w:val="both"/>
        <w:rPr>
          <w:rFonts w:ascii="Times New Roman" w:eastAsia="Calibri" w:hAnsi="Times New Roman"/>
          <w:sz w:val="24"/>
          <w:szCs w:val="24"/>
        </w:rPr>
      </w:pPr>
      <w:r w:rsidRPr="00805127">
        <w:rPr>
          <w:rFonts w:ascii="Times New Roman" w:eastAsia="Calibri" w:hAnsi="Times New Roman"/>
          <w:b/>
          <w:sz w:val="24"/>
          <w:szCs w:val="24"/>
        </w:rPr>
        <w:t>На фондовом рынке внедрены межпродуктовые спрэды по ОФЗ и корпоративным облигациям</w:t>
      </w:r>
      <w:r w:rsidRPr="00805127">
        <w:rPr>
          <w:rFonts w:ascii="Times New Roman" w:eastAsia="Calibri" w:hAnsi="Times New Roman"/>
          <w:sz w:val="24"/>
          <w:szCs w:val="24"/>
        </w:rPr>
        <w:t>, что позволило НКЦ точнее маржировать открытые позиции участников в облигациях, а самим участникам да</w:t>
      </w:r>
      <w:r w:rsidR="006A5C68">
        <w:rPr>
          <w:rFonts w:ascii="Times New Roman" w:eastAsia="Calibri" w:hAnsi="Times New Roman"/>
          <w:sz w:val="24"/>
          <w:szCs w:val="24"/>
        </w:rPr>
        <w:t>ло</w:t>
      </w:r>
      <w:r w:rsidRPr="00805127">
        <w:rPr>
          <w:rFonts w:ascii="Times New Roman" w:eastAsia="Calibri" w:hAnsi="Times New Roman"/>
          <w:sz w:val="24"/>
          <w:szCs w:val="24"/>
        </w:rPr>
        <w:t xml:space="preserve"> возможность эффективнее управлять обеспечением.</w:t>
      </w:r>
    </w:p>
    <w:p w14:paraId="6BF2C7DB" w14:textId="77777777" w:rsidR="00805127" w:rsidRPr="00805127" w:rsidRDefault="00805127" w:rsidP="00805127">
      <w:pPr>
        <w:numPr>
          <w:ilvl w:val="0"/>
          <w:numId w:val="22"/>
        </w:numPr>
        <w:spacing w:after="200" w:line="276" w:lineRule="auto"/>
        <w:contextualSpacing/>
        <w:jc w:val="both"/>
        <w:rPr>
          <w:rFonts w:ascii="Times New Roman" w:eastAsia="Calibri" w:hAnsi="Times New Roman"/>
          <w:sz w:val="24"/>
          <w:szCs w:val="24"/>
        </w:rPr>
      </w:pPr>
      <w:r w:rsidRPr="00805127">
        <w:rPr>
          <w:rFonts w:ascii="Times New Roman" w:eastAsia="Calibri" w:hAnsi="Times New Roman"/>
          <w:b/>
          <w:sz w:val="24"/>
          <w:szCs w:val="24"/>
        </w:rPr>
        <w:t>Введена в эксплуатацию автоматизированная система управления риском потери деловой репутации</w:t>
      </w:r>
      <w:r w:rsidRPr="00805127">
        <w:rPr>
          <w:rFonts w:ascii="Times New Roman" w:eastAsia="Calibri" w:hAnsi="Times New Roman"/>
          <w:sz w:val="24"/>
          <w:szCs w:val="24"/>
        </w:rPr>
        <w:t xml:space="preserve"> (АСУ РПДР), которая позволяет в режиме реального времени осуществлять мониторинг, оценку и анализ событий, происходящих на различных направлениях деятельности организации и их связи с событиями РПДР с цель контроля динамики изменения уровня данного вида рисков.</w:t>
      </w:r>
    </w:p>
    <w:p w14:paraId="5BEA0E60" w14:textId="77777777" w:rsidR="00805127" w:rsidRPr="00805127" w:rsidRDefault="00805127" w:rsidP="00805127">
      <w:pPr>
        <w:spacing w:after="200"/>
        <w:ind w:left="567"/>
        <w:jc w:val="both"/>
        <w:rPr>
          <w:rFonts w:ascii="Times New Roman" w:hAnsi="Times New Roman" w:cstheme="minorBidi"/>
          <w:sz w:val="24"/>
          <w:szCs w:val="24"/>
        </w:rPr>
      </w:pPr>
    </w:p>
    <w:p w14:paraId="3D364F6B" w14:textId="77777777" w:rsidR="00805127" w:rsidRPr="00805127" w:rsidRDefault="00805127" w:rsidP="00697DC8">
      <w:pPr>
        <w:numPr>
          <w:ilvl w:val="0"/>
          <w:numId w:val="23"/>
        </w:numPr>
        <w:spacing w:after="120"/>
        <w:contextualSpacing/>
        <w:jc w:val="both"/>
        <w:rPr>
          <w:rFonts w:ascii="Times New Roman" w:eastAsia="Calibri" w:hAnsi="Times New Roman"/>
          <w:color w:val="000000"/>
          <w:sz w:val="24"/>
          <w:szCs w:val="24"/>
        </w:rPr>
      </w:pPr>
      <w:r w:rsidRPr="00805127">
        <w:rPr>
          <w:rFonts w:ascii="Times New Roman" w:eastAsia="Calibri" w:hAnsi="Times New Roman"/>
          <w:b/>
          <w:color w:val="000000"/>
          <w:sz w:val="24"/>
          <w:szCs w:val="24"/>
        </w:rPr>
        <w:t>Международное рейтинговое агентство Fitch Ratings подтвердило НКЦ долгосрочный рейтинг дефолта эмитента (РДЭ) в иностранной валюте</w:t>
      </w:r>
      <w:r w:rsidRPr="00805127">
        <w:rPr>
          <w:rFonts w:ascii="Times New Roman" w:eastAsia="Calibri" w:hAnsi="Times New Roman"/>
          <w:color w:val="000000"/>
          <w:sz w:val="24"/>
          <w:szCs w:val="24"/>
        </w:rPr>
        <w:t xml:space="preserve"> на уровне “BBB-”, прогноз “Позитивный”, в национальной валюте - на уровне "ВВВ"-  прогноз “Стабильный”</w:t>
      </w:r>
      <w:r w:rsidRPr="00805127">
        <w:rPr>
          <w:rFonts w:eastAsia="Calibri"/>
        </w:rPr>
        <w:t xml:space="preserve"> - </w:t>
      </w:r>
      <w:r w:rsidRPr="00805127">
        <w:rPr>
          <w:rFonts w:ascii="Times New Roman" w:eastAsia="Calibri" w:hAnsi="Times New Roman"/>
          <w:color w:val="000000"/>
          <w:sz w:val="24"/>
          <w:szCs w:val="24"/>
        </w:rPr>
        <w:t xml:space="preserve">на один пункт выше суверенного рейтинга Российской Федерации. </w:t>
      </w:r>
    </w:p>
    <w:p w14:paraId="67918DD7" w14:textId="77777777" w:rsidR="00805127" w:rsidRPr="00805127" w:rsidRDefault="00805127" w:rsidP="00697DC8">
      <w:pPr>
        <w:spacing w:after="120"/>
        <w:ind w:left="1080"/>
        <w:contextualSpacing/>
        <w:jc w:val="both"/>
        <w:rPr>
          <w:rFonts w:ascii="Times New Roman" w:eastAsia="Calibri" w:hAnsi="Times New Roman"/>
          <w:b/>
          <w:color w:val="000000"/>
          <w:sz w:val="24"/>
          <w:szCs w:val="24"/>
        </w:rPr>
      </w:pPr>
    </w:p>
    <w:p w14:paraId="55FB665E" w14:textId="77777777" w:rsidR="00805127" w:rsidRPr="00805127" w:rsidRDefault="00805127" w:rsidP="00697DC8">
      <w:pPr>
        <w:numPr>
          <w:ilvl w:val="0"/>
          <w:numId w:val="23"/>
        </w:numPr>
        <w:spacing w:after="120"/>
        <w:contextualSpacing/>
        <w:jc w:val="both"/>
        <w:rPr>
          <w:rFonts w:ascii="Times New Roman" w:eastAsia="Calibri" w:hAnsi="Times New Roman"/>
          <w:sz w:val="24"/>
          <w:szCs w:val="24"/>
        </w:rPr>
      </w:pPr>
      <w:r w:rsidRPr="00805127">
        <w:rPr>
          <w:rFonts w:ascii="Times New Roman" w:eastAsia="Calibri" w:hAnsi="Times New Roman"/>
          <w:b/>
          <w:color w:val="000000"/>
          <w:sz w:val="24"/>
          <w:szCs w:val="24"/>
        </w:rPr>
        <w:t xml:space="preserve">Аналитическое Кредитное Рейтинговое Агентство (далее – АКРА) подтвердило НКЦ кредитный рейтинг по национальной шкале на уровне AAA(RU), прогноз «Стабильный». </w:t>
      </w:r>
      <w:r w:rsidRPr="00805127">
        <w:rPr>
          <w:rFonts w:ascii="Times New Roman" w:eastAsia="Calibri" w:hAnsi="Times New Roman"/>
          <w:color w:val="000000"/>
          <w:sz w:val="24"/>
          <w:szCs w:val="24"/>
        </w:rPr>
        <w:t xml:space="preserve">По мнению экспертов АКРА, присвоенные НКЦ кредитный рейтинг и прогноз обусловлены сильным и устойчивым бизнес-профилем, исключительной позицией по ликвидности и запасу достаточности капитала, которая компенсирует риск-профиль кредитной организации, а также тем, что дополнительную поддержку рейтингу оказывает критическая системная значимость НКЦ на российском финансовом рынке. </w:t>
      </w:r>
    </w:p>
    <w:p w14:paraId="28930841" w14:textId="77777777" w:rsidR="00805127" w:rsidRPr="00805127" w:rsidRDefault="00805127" w:rsidP="00805127">
      <w:pPr>
        <w:spacing w:after="200" w:line="276" w:lineRule="auto"/>
        <w:ind w:left="720"/>
        <w:contextualSpacing/>
        <w:jc w:val="both"/>
        <w:rPr>
          <w:rFonts w:ascii="Times New Roman" w:eastAsia="Calibri" w:hAnsi="Times New Roman"/>
          <w:sz w:val="24"/>
          <w:szCs w:val="24"/>
        </w:rPr>
      </w:pPr>
    </w:p>
    <w:p w14:paraId="2BB072DE" w14:textId="5E19EC7B" w:rsidR="00805127" w:rsidRDefault="00805127" w:rsidP="00697DC8">
      <w:pPr>
        <w:numPr>
          <w:ilvl w:val="0"/>
          <w:numId w:val="23"/>
        </w:numPr>
        <w:spacing w:after="120"/>
        <w:contextualSpacing/>
        <w:jc w:val="both"/>
        <w:rPr>
          <w:rFonts w:ascii="Times New Roman" w:eastAsia="Calibri" w:hAnsi="Times New Roman"/>
          <w:sz w:val="24"/>
          <w:szCs w:val="24"/>
        </w:rPr>
      </w:pPr>
      <w:r w:rsidRPr="00805127">
        <w:rPr>
          <w:rFonts w:ascii="Times New Roman" w:eastAsia="Calibri" w:hAnsi="Times New Roman"/>
          <w:b/>
          <w:sz w:val="24"/>
          <w:szCs w:val="24"/>
        </w:rPr>
        <w:t>Подтверждено соответствие внедренной в НКЦ Системы менеджмента качества требованиям Стандарта ISO 9001:2015</w:t>
      </w:r>
      <w:r w:rsidRPr="00805127">
        <w:rPr>
          <w:rFonts w:ascii="Times New Roman" w:eastAsia="Calibri" w:hAnsi="Times New Roman"/>
          <w:sz w:val="24"/>
          <w:szCs w:val="24"/>
        </w:rPr>
        <w:t>, что является важным дополнительным элементом системы управления рисками, нацеленным на повышение зрелости и качества управления центрального контрагента.</w:t>
      </w:r>
    </w:p>
    <w:p w14:paraId="23921CBA" w14:textId="77777777" w:rsidR="00625984" w:rsidRPr="00805127" w:rsidRDefault="00625984" w:rsidP="00625984">
      <w:pPr>
        <w:spacing w:after="120"/>
        <w:ind w:left="1287"/>
        <w:contextualSpacing/>
        <w:jc w:val="both"/>
        <w:rPr>
          <w:rFonts w:ascii="Times New Roman" w:eastAsia="Calibri" w:hAnsi="Times New Roman"/>
          <w:sz w:val="24"/>
          <w:szCs w:val="24"/>
        </w:rPr>
      </w:pPr>
    </w:p>
    <w:p w14:paraId="52B4F80C" w14:textId="77777777" w:rsidR="00496FBA" w:rsidRDefault="00496FBA" w:rsidP="00496FBA">
      <w:pPr>
        <w:numPr>
          <w:ilvl w:val="0"/>
          <w:numId w:val="23"/>
        </w:numPr>
        <w:spacing w:after="120"/>
        <w:contextualSpacing/>
        <w:jc w:val="both"/>
        <w:rPr>
          <w:rFonts w:ascii="Times New Roman" w:hAnsi="Times New Roman"/>
          <w:sz w:val="24"/>
          <w:szCs w:val="24"/>
        </w:rPr>
      </w:pPr>
      <w:r>
        <w:rPr>
          <w:rFonts w:ascii="Times New Roman" w:hAnsi="Times New Roman"/>
          <w:b/>
          <w:bCs/>
          <w:sz w:val="24"/>
          <w:szCs w:val="24"/>
        </w:rPr>
        <w:t>Поддержание стабильности капитала НКЦ,</w:t>
      </w:r>
      <w:r>
        <w:t xml:space="preserve"> </w:t>
      </w:r>
      <w:r>
        <w:rPr>
          <w:rFonts w:ascii="Times New Roman" w:hAnsi="Times New Roman"/>
          <w:sz w:val="24"/>
          <w:szCs w:val="24"/>
        </w:rPr>
        <w:t xml:space="preserve">который на протяжении отчетного года увеличивался за счет роста чистых доходов организации.  Незначительное снижение собственных средств НКЦ по состоянию на отчетную дату </w:t>
      </w:r>
      <w:r w:rsidRPr="00496FBA">
        <w:rPr>
          <w:rFonts w:ascii="Times New Roman" w:hAnsi="Times New Roman"/>
          <w:sz w:val="24"/>
          <w:szCs w:val="24"/>
        </w:rPr>
        <w:t>(с   46,</w:t>
      </w:r>
      <w:r w:rsidRPr="00496FBA">
        <w:rPr>
          <w:rFonts w:ascii="Times New Roman" w:hAnsi="Times New Roman"/>
          <w:color w:val="1F497D"/>
          <w:sz w:val="24"/>
          <w:szCs w:val="24"/>
        </w:rPr>
        <w:t xml:space="preserve">52 </w:t>
      </w:r>
      <w:r w:rsidRPr="00496FBA">
        <w:rPr>
          <w:rFonts w:ascii="Times New Roman" w:hAnsi="Times New Roman"/>
          <w:sz w:val="24"/>
          <w:szCs w:val="24"/>
        </w:rPr>
        <w:t>млрд.</w:t>
      </w:r>
      <w:r w:rsidRPr="00496FBA">
        <w:rPr>
          <w:rFonts w:ascii="Times New Roman" w:hAnsi="Times New Roman"/>
          <w:color w:val="1F497D"/>
          <w:sz w:val="24"/>
          <w:szCs w:val="24"/>
        </w:rPr>
        <w:t xml:space="preserve"> </w:t>
      </w:r>
      <w:r w:rsidRPr="00496FBA">
        <w:rPr>
          <w:rFonts w:ascii="Times New Roman" w:hAnsi="Times New Roman"/>
          <w:sz w:val="24"/>
          <w:szCs w:val="24"/>
        </w:rPr>
        <w:t>рублей на 01.01.2017 до 45,9</w:t>
      </w:r>
      <w:r w:rsidRPr="00496FBA">
        <w:rPr>
          <w:rFonts w:ascii="Times New Roman" w:hAnsi="Times New Roman"/>
          <w:color w:val="1F497D"/>
          <w:sz w:val="24"/>
          <w:szCs w:val="24"/>
        </w:rPr>
        <w:t>6</w:t>
      </w:r>
      <w:r w:rsidRPr="00496FBA">
        <w:rPr>
          <w:rFonts w:ascii="Times New Roman" w:hAnsi="Times New Roman"/>
          <w:sz w:val="24"/>
          <w:szCs w:val="24"/>
        </w:rPr>
        <w:t xml:space="preserve"> –</w:t>
      </w:r>
      <w:r>
        <w:rPr>
          <w:rFonts w:ascii="Times New Roman" w:hAnsi="Times New Roman"/>
          <w:sz w:val="24"/>
          <w:szCs w:val="24"/>
        </w:rPr>
        <w:t xml:space="preserve"> на 01.01.2018) обусловлено необходимостью выполнения обязательств перед акционерами по выплате дивидендов. Без потери устойчивости и риска невыполнения регуляторных требований Банка России НКЦ в 2017 году выплатил дивиденды в </w:t>
      </w:r>
      <w:r>
        <w:rPr>
          <w:rFonts w:ascii="Times New Roman" w:hAnsi="Times New Roman"/>
          <w:sz w:val="24"/>
          <w:szCs w:val="24"/>
        </w:rPr>
        <w:lastRenderedPageBreak/>
        <w:t>размере 17,7 млрд. руб. за счет нераспределенной прибыли прошлых лет.</w:t>
      </w:r>
    </w:p>
    <w:p w14:paraId="039CC64B" w14:textId="77777777" w:rsidR="00496FBA" w:rsidRDefault="00496FBA" w:rsidP="00496FBA">
      <w:pPr>
        <w:spacing w:after="200"/>
        <w:ind w:left="720"/>
        <w:contextualSpacing/>
        <w:rPr>
          <w:rFonts w:ascii="Times New Roman" w:hAnsi="Times New Roman"/>
          <w:sz w:val="24"/>
          <w:szCs w:val="24"/>
        </w:rPr>
      </w:pPr>
    </w:p>
    <w:p w14:paraId="66B9B6CD" w14:textId="77777777" w:rsidR="00805127" w:rsidRPr="00805127" w:rsidRDefault="00805127" w:rsidP="00697DC8">
      <w:pPr>
        <w:spacing w:after="200"/>
        <w:ind w:left="720"/>
        <w:contextualSpacing/>
        <w:rPr>
          <w:rFonts w:ascii="Times New Roman" w:eastAsia="Calibri" w:hAnsi="Times New Roman"/>
          <w:sz w:val="24"/>
          <w:szCs w:val="24"/>
        </w:rPr>
      </w:pPr>
    </w:p>
    <w:p w14:paraId="7DA6B268" w14:textId="77777777" w:rsidR="00805127" w:rsidRPr="00805127" w:rsidRDefault="00805127" w:rsidP="00697DC8">
      <w:pPr>
        <w:numPr>
          <w:ilvl w:val="0"/>
          <w:numId w:val="23"/>
        </w:numPr>
        <w:autoSpaceDN w:val="0"/>
        <w:spacing w:after="200"/>
        <w:contextualSpacing/>
        <w:jc w:val="both"/>
        <w:rPr>
          <w:rFonts w:ascii="Times New Roman" w:eastAsia="Calibri" w:hAnsi="Times New Roman"/>
          <w:sz w:val="24"/>
          <w:szCs w:val="24"/>
        </w:rPr>
      </w:pPr>
      <w:r w:rsidRPr="00805127">
        <w:rPr>
          <w:rFonts w:ascii="Times New Roman" w:eastAsia="Calibri" w:hAnsi="Times New Roman"/>
          <w:b/>
          <w:sz w:val="24"/>
          <w:szCs w:val="24"/>
        </w:rPr>
        <w:t>Реализован первый этап проекта «Отчетность НКЦ»,</w:t>
      </w:r>
      <w:r w:rsidRPr="00805127">
        <w:rPr>
          <w:rFonts w:ascii="Times New Roman" w:eastAsia="Calibri" w:hAnsi="Times New Roman"/>
          <w:sz w:val="24"/>
          <w:szCs w:val="24"/>
        </w:rPr>
        <w:t xml:space="preserve"> направленного на уменьшение операционных рисков и автоматизацию процесса формирования регуляторной и налоговой</w:t>
      </w:r>
      <w:r w:rsidR="006A5C68">
        <w:rPr>
          <w:rFonts w:ascii="Times New Roman" w:eastAsia="Calibri" w:hAnsi="Times New Roman"/>
          <w:sz w:val="24"/>
          <w:szCs w:val="24"/>
        </w:rPr>
        <w:t xml:space="preserve"> </w:t>
      </w:r>
      <w:r w:rsidRPr="00805127">
        <w:rPr>
          <w:rFonts w:ascii="Times New Roman" w:eastAsia="Calibri" w:hAnsi="Times New Roman"/>
          <w:sz w:val="24"/>
          <w:szCs w:val="24"/>
        </w:rPr>
        <w:t xml:space="preserve">отчетности, а также отчетности для финмониторинга. В отчетный период установлен программно-аппаратный комплекс, который позволяет уже сегодня </w:t>
      </w:r>
      <w:r w:rsidR="006A5C68">
        <w:rPr>
          <w:rFonts w:ascii="Times New Roman" w:eastAsia="Calibri" w:hAnsi="Times New Roman"/>
          <w:sz w:val="24"/>
          <w:szCs w:val="24"/>
        </w:rPr>
        <w:t xml:space="preserve">формировать отдельные </w:t>
      </w:r>
      <w:r w:rsidRPr="00805127">
        <w:rPr>
          <w:rFonts w:ascii="Times New Roman" w:eastAsia="Calibri" w:hAnsi="Times New Roman"/>
          <w:sz w:val="24"/>
          <w:szCs w:val="24"/>
        </w:rPr>
        <w:t xml:space="preserve">формы отчетности для Банка России. </w:t>
      </w:r>
    </w:p>
    <w:p w14:paraId="7F173B1C" w14:textId="77777777" w:rsidR="00805127" w:rsidRPr="00805127" w:rsidRDefault="00805127" w:rsidP="00697DC8">
      <w:pPr>
        <w:spacing w:after="120"/>
        <w:ind w:left="1080"/>
        <w:contextualSpacing/>
        <w:jc w:val="both"/>
        <w:rPr>
          <w:rFonts w:ascii="Times New Roman" w:eastAsia="Calibri" w:hAnsi="Times New Roman"/>
          <w:sz w:val="24"/>
          <w:szCs w:val="24"/>
        </w:rPr>
      </w:pPr>
    </w:p>
    <w:p w14:paraId="3943A0C7" w14:textId="77777777" w:rsidR="00805127" w:rsidRPr="00805127" w:rsidRDefault="00805127" w:rsidP="00697DC8">
      <w:pPr>
        <w:spacing w:after="200"/>
        <w:ind w:left="720"/>
        <w:contextualSpacing/>
        <w:jc w:val="both"/>
        <w:rPr>
          <w:rFonts w:ascii="Times New Roman" w:eastAsia="Calibri" w:hAnsi="Times New Roman"/>
          <w:sz w:val="24"/>
          <w:szCs w:val="24"/>
        </w:rPr>
      </w:pPr>
    </w:p>
    <w:p w14:paraId="727BB2A7" w14:textId="77777777" w:rsidR="00805127" w:rsidRDefault="00805127" w:rsidP="00697DC8">
      <w:pPr>
        <w:numPr>
          <w:ilvl w:val="0"/>
          <w:numId w:val="23"/>
        </w:numPr>
        <w:spacing w:after="120"/>
        <w:jc w:val="both"/>
        <w:rPr>
          <w:rFonts w:ascii="Times New Roman" w:eastAsia="Calibri" w:hAnsi="Times New Roman"/>
          <w:sz w:val="24"/>
          <w:szCs w:val="24"/>
        </w:rPr>
      </w:pPr>
      <w:r w:rsidRPr="00805127">
        <w:rPr>
          <w:rFonts w:ascii="Times New Roman" w:eastAsia="Calibri" w:hAnsi="Times New Roman"/>
          <w:b/>
          <w:sz w:val="24"/>
          <w:szCs w:val="24"/>
        </w:rPr>
        <w:t>Утверждены Правила открытия и закрытия банковских счетов, счетов по вкладам (депозитам) в НКЦ</w:t>
      </w:r>
      <w:r w:rsidRPr="00805127">
        <w:rPr>
          <w:rFonts w:ascii="Times New Roman" w:eastAsia="Calibri" w:hAnsi="Times New Roman"/>
          <w:sz w:val="24"/>
          <w:szCs w:val="24"/>
        </w:rPr>
        <w:t xml:space="preserve"> </w:t>
      </w:r>
      <w:r w:rsidRPr="00805127">
        <w:rPr>
          <w:rFonts w:ascii="Times New Roman" w:eastAsia="Calibri" w:hAnsi="Times New Roman"/>
          <w:b/>
          <w:sz w:val="24"/>
          <w:szCs w:val="24"/>
        </w:rPr>
        <w:t>и Правила открытия, ведения и закрытия обезличенных металлических счетов в НКЦ в новой редакциях</w:t>
      </w:r>
      <w:r w:rsidRPr="00805127">
        <w:rPr>
          <w:rFonts w:ascii="Times New Roman" w:eastAsia="Calibri" w:hAnsi="Times New Roman"/>
          <w:sz w:val="24"/>
          <w:szCs w:val="24"/>
        </w:rPr>
        <w:t>, учитывающих изменения, внесенные в Инструкцию Банка России от 30.05.2014 № 153-И «Об открытии и закрытии банковских счетов, счетов по вкладам (депозитам), депозитных счетов».</w:t>
      </w:r>
    </w:p>
    <w:p w14:paraId="0E81B1FF" w14:textId="77777777" w:rsidR="00B51D58" w:rsidRDefault="00B51D58" w:rsidP="00B51D58">
      <w:pPr>
        <w:spacing w:after="120"/>
        <w:ind w:left="1287"/>
        <w:jc w:val="both"/>
        <w:rPr>
          <w:rFonts w:ascii="Times New Roman" w:eastAsia="Calibri" w:hAnsi="Times New Roman"/>
          <w:b/>
          <w:sz w:val="24"/>
          <w:szCs w:val="24"/>
        </w:rPr>
      </w:pPr>
    </w:p>
    <w:p w14:paraId="20964AE5" w14:textId="77777777" w:rsidR="0088709F" w:rsidRPr="0088709F" w:rsidRDefault="0088709F" w:rsidP="0088709F">
      <w:pPr>
        <w:spacing w:after="200" w:line="276" w:lineRule="auto"/>
        <w:ind w:left="708" w:firstLine="141"/>
        <w:contextualSpacing/>
        <w:jc w:val="both"/>
        <w:rPr>
          <w:rFonts w:eastAsia="Calibri"/>
          <w:b/>
          <w:i/>
        </w:rPr>
      </w:pPr>
      <w:r>
        <w:rPr>
          <w:rFonts w:ascii="Times New Roman" w:eastAsia="Calibri" w:hAnsi="Times New Roman"/>
          <w:b/>
          <w:i/>
          <w:sz w:val="24"/>
          <w:szCs w:val="24"/>
        </w:rPr>
        <w:t xml:space="preserve">   </w:t>
      </w:r>
      <w:r w:rsidRPr="0088709F">
        <w:rPr>
          <w:rFonts w:ascii="Times New Roman" w:eastAsia="Calibri" w:hAnsi="Times New Roman"/>
          <w:b/>
          <w:i/>
          <w:sz w:val="24"/>
          <w:szCs w:val="24"/>
        </w:rPr>
        <w:t>Надежное исполнение своих обязательств перед участниками клиринга и успешная реализация бизнес проектов по развитию клиентоориентированных клиринговых услуг позволили обеспечить существенное увеличение объемов</w:t>
      </w:r>
      <w:r w:rsidR="006A5C68">
        <w:rPr>
          <w:rFonts w:ascii="Times New Roman" w:eastAsia="Calibri" w:hAnsi="Times New Roman"/>
          <w:b/>
          <w:i/>
          <w:sz w:val="24"/>
          <w:szCs w:val="24"/>
        </w:rPr>
        <w:t xml:space="preserve"> </w:t>
      </w:r>
      <w:r w:rsidRPr="0088709F">
        <w:rPr>
          <w:rFonts w:ascii="Times New Roman" w:eastAsia="Calibri" w:hAnsi="Times New Roman"/>
          <w:b/>
          <w:i/>
          <w:sz w:val="24"/>
          <w:szCs w:val="24"/>
        </w:rPr>
        <w:t>оказанных участникам клиринга услуг.</w:t>
      </w:r>
      <w:r w:rsidRPr="0088709F">
        <w:rPr>
          <w:rFonts w:eastAsia="Calibri"/>
          <w:b/>
          <w:i/>
        </w:rPr>
        <w:t xml:space="preserve"> </w:t>
      </w:r>
    </w:p>
    <w:p w14:paraId="40C40311" w14:textId="77777777" w:rsidR="0088709F" w:rsidRPr="0088709F" w:rsidRDefault="0088709F" w:rsidP="0088709F">
      <w:pPr>
        <w:autoSpaceDE w:val="0"/>
        <w:autoSpaceDN w:val="0"/>
        <w:adjustRightInd w:val="0"/>
        <w:ind w:left="360"/>
        <w:jc w:val="both"/>
        <w:rPr>
          <w:rFonts w:ascii="Times New Roman" w:hAnsi="Times New Roman"/>
          <w:bCs/>
          <w:sz w:val="24"/>
          <w:szCs w:val="24"/>
        </w:rPr>
      </w:pPr>
    </w:p>
    <w:p w14:paraId="3AB66EC7" w14:textId="77777777" w:rsidR="0088709F" w:rsidRDefault="0088709F" w:rsidP="00B51D58">
      <w:pPr>
        <w:spacing w:after="120"/>
        <w:ind w:left="1287"/>
        <w:jc w:val="both"/>
        <w:rPr>
          <w:rFonts w:ascii="Times New Roman" w:eastAsia="Calibri" w:hAnsi="Times New Roman"/>
          <w:b/>
          <w:sz w:val="24"/>
          <w:szCs w:val="24"/>
        </w:rPr>
      </w:pPr>
    </w:p>
    <w:p w14:paraId="03C4ACB3" w14:textId="77777777" w:rsidR="00B51D58" w:rsidRDefault="00B51D58" w:rsidP="00B51D58">
      <w:pPr>
        <w:spacing w:after="120"/>
        <w:ind w:left="1287"/>
        <w:jc w:val="both"/>
        <w:rPr>
          <w:rFonts w:ascii="Times New Roman" w:eastAsia="Calibri" w:hAnsi="Times New Roman"/>
          <w:sz w:val="24"/>
          <w:szCs w:val="24"/>
        </w:rPr>
      </w:pPr>
    </w:p>
    <w:p w14:paraId="2B2211CA" w14:textId="77777777" w:rsidR="00B51D58" w:rsidRPr="00B51D58" w:rsidRDefault="00B51D58" w:rsidP="00B51D58">
      <w:pPr>
        <w:tabs>
          <w:tab w:val="right" w:pos="9356"/>
        </w:tabs>
        <w:spacing w:line="360" w:lineRule="auto"/>
        <w:ind w:firstLine="709"/>
        <w:jc w:val="center"/>
        <w:rPr>
          <w:rFonts w:ascii="Times New Roman" w:eastAsia="Calibri" w:hAnsi="Times New Roman"/>
          <w:b/>
          <w:i/>
          <w:noProof/>
          <w:sz w:val="24"/>
          <w:szCs w:val="24"/>
        </w:rPr>
      </w:pPr>
      <w:r w:rsidRPr="00B51D58">
        <w:rPr>
          <w:rFonts w:ascii="Times New Roman" w:eastAsia="Calibri" w:hAnsi="Times New Roman"/>
          <w:b/>
          <w:i/>
          <w:noProof/>
          <w:sz w:val="24"/>
          <w:szCs w:val="24"/>
        </w:rPr>
        <w:t>По состоянию на 31 декабря 2017 года:</w:t>
      </w:r>
    </w:p>
    <w:p w14:paraId="55114627" w14:textId="77777777" w:rsidR="00B51D58" w:rsidRPr="0088709F" w:rsidRDefault="00B51D58" w:rsidP="00D37B0E">
      <w:pPr>
        <w:widowControl w:val="0"/>
        <w:numPr>
          <w:ilvl w:val="0"/>
          <w:numId w:val="59"/>
        </w:numPr>
        <w:tabs>
          <w:tab w:val="right" w:pos="9356"/>
        </w:tabs>
        <w:overflowPunct w:val="0"/>
        <w:autoSpaceDE w:val="0"/>
        <w:autoSpaceDN w:val="0"/>
        <w:adjustRightInd w:val="0"/>
        <w:spacing w:line="360" w:lineRule="auto"/>
        <w:contextualSpacing/>
        <w:jc w:val="both"/>
        <w:textAlignment w:val="baseline"/>
        <w:rPr>
          <w:rFonts w:ascii="Times New Roman" w:eastAsia="Calibri" w:hAnsi="Times New Roman"/>
          <w:noProof/>
          <w:sz w:val="24"/>
          <w:szCs w:val="24"/>
        </w:rPr>
      </w:pPr>
      <w:r w:rsidRPr="0088709F">
        <w:rPr>
          <w:rFonts w:ascii="Times New Roman" w:eastAsia="Calibri" w:hAnsi="Times New Roman"/>
          <w:noProof/>
          <w:sz w:val="24"/>
          <w:szCs w:val="24"/>
        </w:rPr>
        <w:t>общее число участников клиринга составило 560 организаций;</w:t>
      </w:r>
    </w:p>
    <w:p w14:paraId="12BD22DB" w14:textId="77777777" w:rsidR="00B51D58" w:rsidRPr="0088709F" w:rsidRDefault="00B51D58" w:rsidP="00D37B0E">
      <w:pPr>
        <w:widowControl w:val="0"/>
        <w:numPr>
          <w:ilvl w:val="0"/>
          <w:numId w:val="59"/>
        </w:numPr>
        <w:tabs>
          <w:tab w:val="right" w:pos="9356"/>
        </w:tabs>
        <w:overflowPunct w:val="0"/>
        <w:autoSpaceDE w:val="0"/>
        <w:autoSpaceDN w:val="0"/>
        <w:adjustRightInd w:val="0"/>
        <w:contextualSpacing/>
        <w:jc w:val="both"/>
        <w:textAlignment w:val="baseline"/>
        <w:rPr>
          <w:rFonts w:ascii="Times New Roman" w:eastAsia="Calibri" w:hAnsi="Times New Roman"/>
          <w:noProof/>
          <w:sz w:val="24"/>
          <w:szCs w:val="24"/>
        </w:rPr>
      </w:pPr>
      <w:r w:rsidRPr="0088709F">
        <w:rPr>
          <w:rFonts w:ascii="Times New Roman" w:eastAsia="Calibri" w:hAnsi="Times New Roman"/>
          <w:noProof/>
          <w:sz w:val="24"/>
          <w:szCs w:val="24"/>
        </w:rPr>
        <w:t>объем определенных по итогам клиринга обязательств участников клиринга за 2017 год превысил 1 615 трлн руб., что в 1,05 раза больше аналогичного показателя за 2016 год (1 531 трлн руб.);</w:t>
      </w:r>
    </w:p>
    <w:p w14:paraId="7CEEF97B" w14:textId="77777777" w:rsidR="00B51D58" w:rsidRPr="0088709F" w:rsidRDefault="00B51D58" w:rsidP="00D37B0E">
      <w:pPr>
        <w:widowControl w:val="0"/>
        <w:numPr>
          <w:ilvl w:val="0"/>
          <w:numId w:val="59"/>
        </w:numPr>
        <w:tabs>
          <w:tab w:val="right" w:pos="9356"/>
        </w:tabs>
        <w:overflowPunct w:val="0"/>
        <w:autoSpaceDE w:val="0"/>
        <w:autoSpaceDN w:val="0"/>
        <w:adjustRightInd w:val="0"/>
        <w:contextualSpacing/>
        <w:jc w:val="both"/>
        <w:textAlignment w:val="baseline"/>
        <w:rPr>
          <w:rFonts w:ascii="Times New Roman" w:eastAsia="Calibri" w:hAnsi="Times New Roman"/>
          <w:noProof/>
          <w:sz w:val="24"/>
          <w:szCs w:val="24"/>
        </w:rPr>
      </w:pPr>
      <w:r w:rsidRPr="0088709F">
        <w:rPr>
          <w:rFonts w:ascii="Times New Roman" w:eastAsia="Calibri" w:hAnsi="Times New Roman"/>
          <w:noProof/>
          <w:sz w:val="24"/>
          <w:szCs w:val="24"/>
        </w:rPr>
        <w:t>размер полученного комиссионного вознаграждения составил 6 952 млн руб., что в 1,08 раза больше аналогичного показателя за 2016 год (6 435 млн руб.).</w:t>
      </w:r>
    </w:p>
    <w:p w14:paraId="76E5E049" w14:textId="77777777" w:rsidR="00B51D58" w:rsidRPr="0088709F" w:rsidRDefault="00B51D58" w:rsidP="00B51D58">
      <w:pPr>
        <w:tabs>
          <w:tab w:val="right" w:pos="9356"/>
        </w:tabs>
        <w:contextualSpacing/>
        <w:jc w:val="both"/>
        <w:rPr>
          <w:rFonts w:ascii="Times New Roman" w:eastAsia="Calibri" w:hAnsi="Times New Roman"/>
          <w:noProof/>
          <w:sz w:val="24"/>
          <w:szCs w:val="24"/>
        </w:rPr>
      </w:pPr>
    </w:p>
    <w:p w14:paraId="6BDA536B" w14:textId="77777777" w:rsidR="00B51D58" w:rsidRPr="00631204" w:rsidRDefault="00B51D58" w:rsidP="00B51D58">
      <w:pPr>
        <w:tabs>
          <w:tab w:val="right" w:pos="9356"/>
        </w:tabs>
        <w:contextualSpacing/>
        <w:jc w:val="both"/>
        <w:rPr>
          <w:rFonts w:eastAsia="Calibri"/>
          <w:noProof/>
          <w:sz w:val="24"/>
          <w:szCs w:val="24"/>
        </w:rPr>
      </w:pPr>
      <w:r>
        <w:rPr>
          <w:noProof/>
          <w:lang w:eastAsia="ru-RU"/>
        </w:rPr>
        <w:lastRenderedPageBreak/>
        <w:drawing>
          <wp:inline distT="0" distB="0" distL="0" distR="0" wp14:anchorId="17D32FE2" wp14:editId="1BE09FB6">
            <wp:extent cx="5542554" cy="2990228"/>
            <wp:effectExtent l="0" t="0" r="1270" b="63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BF164D" w14:textId="77777777" w:rsidR="00B51D58" w:rsidRPr="00631204" w:rsidRDefault="00B51D58" w:rsidP="00B51D58">
      <w:pPr>
        <w:tabs>
          <w:tab w:val="right" w:pos="9356"/>
        </w:tabs>
        <w:spacing w:line="360" w:lineRule="auto"/>
        <w:ind w:firstLine="709"/>
        <w:jc w:val="both"/>
        <w:rPr>
          <w:rFonts w:eastAsia="Calibri" w:cs="Arial"/>
          <w:noProof/>
          <w:sz w:val="24"/>
          <w:szCs w:val="24"/>
        </w:rPr>
      </w:pPr>
      <w:r w:rsidRPr="00631204">
        <w:rPr>
          <w:rFonts w:eastAsia="Calibri" w:cs="Arial"/>
          <w:noProof/>
          <w:sz w:val="24"/>
          <w:szCs w:val="24"/>
        </w:rPr>
        <w:t xml:space="preserve">  </w:t>
      </w:r>
    </w:p>
    <w:p w14:paraId="0AC74724" w14:textId="77777777" w:rsidR="00B51D58" w:rsidRPr="00631204" w:rsidRDefault="00B51D58" w:rsidP="00B51D58">
      <w:pPr>
        <w:tabs>
          <w:tab w:val="right" w:pos="9356"/>
        </w:tabs>
        <w:spacing w:line="360" w:lineRule="auto"/>
        <w:jc w:val="center"/>
        <w:rPr>
          <w:rFonts w:eastAsia="Calibri" w:cs="Arial"/>
          <w:b/>
          <w:bCs/>
          <w:noProof/>
          <w:sz w:val="32"/>
          <w:szCs w:val="24"/>
        </w:rPr>
      </w:pPr>
      <w:r>
        <w:rPr>
          <w:noProof/>
          <w:lang w:eastAsia="ru-RU"/>
        </w:rPr>
        <w:drawing>
          <wp:inline distT="0" distB="0" distL="0" distR="0" wp14:anchorId="135BBBD9" wp14:editId="4142262F">
            <wp:extent cx="4791075" cy="2771775"/>
            <wp:effectExtent l="0" t="0" r="9525"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00E847" w14:textId="77777777" w:rsidR="00B51D58" w:rsidRPr="00631204" w:rsidRDefault="00B51D58" w:rsidP="00B51D58">
      <w:pPr>
        <w:tabs>
          <w:tab w:val="right" w:pos="9356"/>
        </w:tabs>
        <w:spacing w:line="360" w:lineRule="auto"/>
        <w:jc w:val="center"/>
        <w:rPr>
          <w:rFonts w:eastAsia="Calibri" w:cs="Arial"/>
          <w:b/>
          <w:bCs/>
          <w:noProof/>
          <w:sz w:val="32"/>
          <w:szCs w:val="24"/>
        </w:rPr>
      </w:pPr>
      <w:r>
        <w:rPr>
          <w:noProof/>
          <w:lang w:eastAsia="ru-RU"/>
        </w:rPr>
        <w:drawing>
          <wp:inline distT="0" distB="0" distL="0" distR="0" wp14:anchorId="21BFB550" wp14:editId="529B888A">
            <wp:extent cx="4829175" cy="3543300"/>
            <wp:effectExtent l="0" t="0" r="9525"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DBA81D" w14:textId="77777777" w:rsidR="00B51D58" w:rsidRPr="00631204" w:rsidRDefault="00B51D58" w:rsidP="00B51D58">
      <w:pPr>
        <w:tabs>
          <w:tab w:val="right" w:pos="9356"/>
        </w:tabs>
        <w:spacing w:line="360" w:lineRule="auto"/>
        <w:jc w:val="both"/>
        <w:rPr>
          <w:rFonts w:eastAsia="Calibri" w:cs="Arial"/>
          <w:b/>
          <w:bCs/>
          <w:noProof/>
          <w:sz w:val="32"/>
          <w:szCs w:val="24"/>
        </w:rPr>
      </w:pPr>
    </w:p>
    <w:p w14:paraId="18CD1C7B" w14:textId="77777777" w:rsidR="00B51D58" w:rsidRPr="00631204" w:rsidRDefault="00B51D58" w:rsidP="00B51D58">
      <w:pPr>
        <w:tabs>
          <w:tab w:val="right" w:pos="9356"/>
        </w:tabs>
        <w:spacing w:line="360" w:lineRule="auto"/>
        <w:jc w:val="both"/>
        <w:rPr>
          <w:rFonts w:eastAsia="Calibri" w:cs="Arial"/>
          <w:b/>
          <w:bCs/>
          <w:noProof/>
          <w:sz w:val="32"/>
          <w:szCs w:val="24"/>
        </w:rPr>
      </w:pPr>
      <w:r>
        <w:rPr>
          <w:noProof/>
          <w:lang w:eastAsia="ru-RU"/>
        </w:rPr>
        <w:drawing>
          <wp:inline distT="0" distB="0" distL="0" distR="0" wp14:anchorId="33D2051A" wp14:editId="1B1A90A9">
            <wp:extent cx="5724525" cy="4543425"/>
            <wp:effectExtent l="0" t="0" r="9525" b="952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CA5A27" w14:textId="77777777" w:rsidR="00B51D58" w:rsidRPr="00631204" w:rsidRDefault="00B51D58" w:rsidP="00B51D58">
      <w:pPr>
        <w:tabs>
          <w:tab w:val="right" w:pos="9356"/>
        </w:tabs>
        <w:spacing w:line="360" w:lineRule="auto"/>
        <w:jc w:val="both"/>
        <w:rPr>
          <w:b/>
          <w:sz w:val="28"/>
          <w:szCs w:val="28"/>
        </w:rPr>
      </w:pPr>
      <w:r>
        <w:rPr>
          <w:noProof/>
          <w:lang w:eastAsia="ru-RU"/>
        </w:rPr>
        <w:drawing>
          <wp:inline distT="0" distB="0" distL="0" distR="0" wp14:anchorId="652C718B" wp14:editId="590B5308">
            <wp:extent cx="5724525" cy="4410075"/>
            <wp:effectExtent l="0" t="0" r="9525" b="952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631204">
        <w:rPr>
          <w:sz w:val="28"/>
          <w:szCs w:val="28"/>
        </w:rPr>
        <w:t xml:space="preserve"> </w:t>
      </w:r>
    </w:p>
    <w:p w14:paraId="60F137DF" w14:textId="77777777" w:rsidR="00B51D58" w:rsidRPr="00631204" w:rsidRDefault="00B51D58" w:rsidP="00B51D58">
      <w:pPr>
        <w:tabs>
          <w:tab w:val="left" w:pos="8820"/>
        </w:tabs>
        <w:ind w:right="76"/>
        <w:rPr>
          <w:sz w:val="28"/>
          <w:szCs w:val="28"/>
        </w:rPr>
      </w:pPr>
    </w:p>
    <w:p w14:paraId="20F95E93" w14:textId="77777777" w:rsidR="00096208" w:rsidRPr="007A0F11" w:rsidRDefault="00096208" w:rsidP="00EA71B4">
      <w:pPr>
        <w:widowControl w:val="0"/>
        <w:overflowPunct w:val="0"/>
        <w:autoSpaceDE w:val="0"/>
        <w:autoSpaceDN w:val="0"/>
        <w:adjustRightInd w:val="0"/>
        <w:ind w:firstLine="360"/>
        <w:jc w:val="center"/>
        <w:textAlignment w:val="baseline"/>
        <w:outlineLvl w:val="0"/>
        <w:rPr>
          <w:rFonts w:ascii="Times New Roman" w:hAnsi="Times New Roman"/>
          <w:b/>
          <w:color w:val="FF0000"/>
          <w:sz w:val="32"/>
          <w:szCs w:val="32"/>
        </w:rPr>
      </w:pPr>
      <w:bookmarkStart w:id="4" w:name="_Toc510776653"/>
      <w:r w:rsidRPr="007A0F11">
        <w:rPr>
          <w:rFonts w:ascii="Times New Roman" w:eastAsia="Times New Roman" w:hAnsi="Times New Roman" w:cs="Arial"/>
          <w:b/>
          <w:sz w:val="32"/>
          <w:szCs w:val="32"/>
          <w:lang w:eastAsia="ru-RU"/>
        </w:rPr>
        <w:t>4. Перспективы развития</w:t>
      </w:r>
      <w:bookmarkEnd w:id="4"/>
      <w:r w:rsidR="00C64D35" w:rsidRPr="007A0F11">
        <w:rPr>
          <w:rFonts w:ascii="Times New Roman" w:hAnsi="Times New Roman"/>
          <w:b/>
          <w:sz w:val="32"/>
          <w:szCs w:val="32"/>
        </w:rPr>
        <w:t xml:space="preserve"> </w:t>
      </w:r>
    </w:p>
    <w:p w14:paraId="19ADEAD9" w14:textId="77777777" w:rsidR="00096208" w:rsidRDefault="00096208" w:rsidP="00096208">
      <w:pPr>
        <w:spacing w:after="120"/>
        <w:ind w:left="360"/>
        <w:contextualSpacing/>
        <w:jc w:val="both"/>
        <w:rPr>
          <w:rFonts w:ascii="Times New Roman" w:eastAsia="Calibri" w:hAnsi="Times New Roman"/>
          <w:b/>
          <w:bCs/>
          <w:kern w:val="24"/>
          <w:sz w:val="24"/>
          <w:szCs w:val="24"/>
        </w:rPr>
      </w:pPr>
    </w:p>
    <w:p w14:paraId="40173836" w14:textId="77777777" w:rsidR="00096208" w:rsidRDefault="00096208" w:rsidP="00096208">
      <w:pPr>
        <w:spacing w:after="120"/>
        <w:ind w:left="360"/>
        <w:contextualSpacing/>
        <w:jc w:val="both"/>
        <w:rPr>
          <w:rFonts w:ascii="Times New Roman" w:eastAsia="Calibri" w:hAnsi="Times New Roman"/>
          <w:bCs/>
          <w:kern w:val="24"/>
          <w:sz w:val="24"/>
          <w:szCs w:val="24"/>
        </w:rPr>
      </w:pPr>
      <w:r w:rsidRPr="00715FA0">
        <w:rPr>
          <w:rFonts w:ascii="Times New Roman" w:eastAsia="Calibri" w:hAnsi="Times New Roman"/>
          <w:bCs/>
          <w:kern w:val="24"/>
          <w:sz w:val="24"/>
          <w:szCs w:val="24"/>
        </w:rPr>
        <w:lastRenderedPageBreak/>
        <w:t xml:space="preserve">      В 2018 году НКО НКЦ (АО) будет осуществлять свою деятельность в системе бизнес координат,</w:t>
      </w:r>
      <w:r>
        <w:rPr>
          <w:rFonts w:ascii="Times New Roman" w:eastAsia="Calibri" w:hAnsi="Times New Roman"/>
          <w:b/>
          <w:bCs/>
          <w:kern w:val="24"/>
          <w:sz w:val="24"/>
          <w:szCs w:val="24"/>
        </w:rPr>
        <w:t xml:space="preserve"> </w:t>
      </w:r>
      <w:r w:rsidRPr="00953CAF">
        <w:rPr>
          <w:rFonts w:ascii="Times New Roman" w:eastAsia="Calibri" w:hAnsi="Times New Roman"/>
          <w:bCs/>
          <w:kern w:val="24"/>
          <w:sz w:val="24"/>
          <w:szCs w:val="24"/>
        </w:rPr>
        <w:t>которая выстраивал</w:t>
      </w:r>
      <w:r>
        <w:rPr>
          <w:rFonts w:ascii="Times New Roman" w:eastAsia="Calibri" w:hAnsi="Times New Roman"/>
          <w:bCs/>
          <w:kern w:val="24"/>
          <w:sz w:val="24"/>
          <w:szCs w:val="24"/>
        </w:rPr>
        <w:t>ась на протяжении всего периода</w:t>
      </w:r>
      <w:r w:rsidRPr="00953CAF">
        <w:rPr>
          <w:rFonts w:ascii="Times New Roman" w:eastAsia="Calibri" w:hAnsi="Times New Roman"/>
          <w:bCs/>
          <w:kern w:val="24"/>
          <w:sz w:val="24"/>
          <w:szCs w:val="24"/>
        </w:rPr>
        <w:t xml:space="preserve"> существования</w:t>
      </w:r>
      <w:r>
        <w:rPr>
          <w:rFonts w:ascii="Times New Roman" w:eastAsia="Calibri" w:hAnsi="Times New Roman"/>
          <w:bCs/>
          <w:kern w:val="24"/>
          <w:sz w:val="24"/>
          <w:szCs w:val="24"/>
        </w:rPr>
        <w:t xml:space="preserve"> организации, и следовать в своем развитии векторам, которые заданы законодательством Российской Федерации и требованиями регулятора, Стратегией развития, реализуемыми и новыми проектами, международными стандартами и лучшим практиками деятельности клиринговых организаций-центральных контрагентов.  </w:t>
      </w:r>
    </w:p>
    <w:p w14:paraId="55D43DFE" w14:textId="77777777" w:rsidR="00096208" w:rsidRDefault="00096208" w:rsidP="00096208">
      <w:pPr>
        <w:spacing w:after="120"/>
        <w:ind w:left="360"/>
        <w:contextualSpacing/>
        <w:jc w:val="both"/>
        <w:rPr>
          <w:rFonts w:ascii="Times New Roman" w:eastAsia="Calibri" w:hAnsi="Times New Roman"/>
          <w:b/>
          <w:bCs/>
          <w:kern w:val="24"/>
          <w:sz w:val="24"/>
          <w:szCs w:val="24"/>
        </w:rPr>
      </w:pPr>
    </w:p>
    <w:p w14:paraId="4A5B12F6" w14:textId="77777777" w:rsidR="00096208" w:rsidRDefault="00096208" w:rsidP="00400487">
      <w:pPr>
        <w:spacing w:after="120"/>
        <w:ind w:left="360" w:firstLine="348"/>
        <w:contextualSpacing/>
        <w:jc w:val="both"/>
        <w:rPr>
          <w:rFonts w:ascii="Times New Roman" w:hAnsi="Times New Roman"/>
          <w:sz w:val="24"/>
          <w:szCs w:val="24"/>
        </w:rPr>
      </w:pPr>
      <w:r>
        <w:rPr>
          <w:rFonts w:ascii="Times New Roman" w:eastAsia="Calibri" w:hAnsi="Times New Roman"/>
          <w:bCs/>
          <w:kern w:val="24"/>
          <w:sz w:val="24"/>
          <w:szCs w:val="24"/>
        </w:rPr>
        <w:t xml:space="preserve">НКЦ, являясь </w:t>
      </w:r>
      <w:r w:rsidRPr="000075F0">
        <w:rPr>
          <w:rFonts w:ascii="Times New Roman" w:hAnsi="Times New Roman"/>
          <w:sz w:val="24"/>
          <w:szCs w:val="24"/>
        </w:rPr>
        <w:t>системно значим</w:t>
      </w:r>
      <w:r>
        <w:rPr>
          <w:rFonts w:ascii="Times New Roman" w:hAnsi="Times New Roman"/>
          <w:sz w:val="24"/>
          <w:szCs w:val="24"/>
        </w:rPr>
        <w:t>ой</w:t>
      </w:r>
      <w:r w:rsidRPr="000075F0">
        <w:rPr>
          <w:rFonts w:ascii="Times New Roman" w:hAnsi="Times New Roman"/>
          <w:sz w:val="24"/>
          <w:szCs w:val="24"/>
        </w:rPr>
        <w:t xml:space="preserve"> инфраструктурн</w:t>
      </w:r>
      <w:r>
        <w:rPr>
          <w:rFonts w:ascii="Times New Roman" w:hAnsi="Times New Roman"/>
          <w:sz w:val="24"/>
          <w:szCs w:val="24"/>
        </w:rPr>
        <w:t>ой</w:t>
      </w:r>
      <w:r w:rsidRPr="000075F0">
        <w:rPr>
          <w:rFonts w:ascii="Times New Roman" w:hAnsi="Times New Roman"/>
          <w:sz w:val="24"/>
          <w:szCs w:val="24"/>
        </w:rPr>
        <w:t xml:space="preserve"> организаци</w:t>
      </w:r>
      <w:r>
        <w:rPr>
          <w:rFonts w:ascii="Times New Roman" w:hAnsi="Times New Roman"/>
          <w:sz w:val="24"/>
          <w:szCs w:val="24"/>
        </w:rPr>
        <w:t xml:space="preserve">ей, продолжит выполнение роли ЦК как гаранта </w:t>
      </w:r>
      <w:r w:rsidRPr="000075F0">
        <w:rPr>
          <w:rFonts w:ascii="Times New Roman" w:hAnsi="Times New Roman"/>
          <w:sz w:val="24"/>
          <w:szCs w:val="24"/>
        </w:rPr>
        <w:t>завершения расчетов и контрагент</w:t>
      </w:r>
      <w:r>
        <w:rPr>
          <w:rFonts w:ascii="Times New Roman" w:hAnsi="Times New Roman"/>
          <w:sz w:val="24"/>
          <w:szCs w:val="24"/>
        </w:rPr>
        <w:t>а</w:t>
      </w:r>
      <w:r w:rsidRPr="000075F0">
        <w:rPr>
          <w:rFonts w:ascii="Times New Roman" w:hAnsi="Times New Roman"/>
          <w:sz w:val="24"/>
          <w:szCs w:val="24"/>
        </w:rPr>
        <w:t xml:space="preserve"> по сделкам для всех участников рынка</w:t>
      </w:r>
      <w:r>
        <w:rPr>
          <w:rFonts w:ascii="Times New Roman" w:hAnsi="Times New Roman"/>
          <w:sz w:val="24"/>
          <w:szCs w:val="24"/>
        </w:rPr>
        <w:t>.</w:t>
      </w:r>
      <w:r w:rsidRPr="000075F0">
        <w:rPr>
          <w:rFonts w:ascii="Times New Roman" w:hAnsi="Times New Roman"/>
          <w:sz w:val="24"/>
          <w:szCs w:val="24"/>
        </w:rPr>
        <w:t xml:space="preserve"> </w:t>
      </w:r>
    </w:p>
    <w:p w14:paraId="22F35178" w14:textId="77777777" w:rsidR="00096208" w:rsidRDefault="00096208" w:rsidP="00400487">
      <w:pPr>
        <w:spacing w:after="120"/>
        <w:ind w:left="360"/>
        <w:contextualSpacing/>
        <w:jc w:val="both"/>
        <w:rPr>
          <w:rFonts w:ascii="Times New Roman" w:hAnsi="Times New Roman"/>
          <w:sz w:val="24"/>
          <w:szCs w:val="24"/>
        </w:rPr>
      </w:pPr>
    </w:p>
    <w:p w14:paraId="6B8923DC" w14:textId="60013592" w:rsidR="00096208" w:rsidRPr="00DB216A" w:rsidRDefault="00400487" w:rsidP="00400487">
      <w:pPr>
        <w:spacing w:after="200"/>
        <w:ind w:left="360"/>
        <w:jc w:val="both"/>
        <w:rPr>
          <w:rFonts w:ascii="Times New Roman" w:hAnsi="Times New Roman"/>
          <w:bCs/>
          <w:sz w:val="24"/>
          <w:szCs w:val="24"/>
        </w:rPr>
      </w:pPr>
      <w:r>
        <w:rPr>
          <w:rFonts w:ascii="Times New Roman" w:hAnsi="Times New Roman"/>
          <w:bCs/>
          <w:sz w:val="24"/>
          <w:szCs w:val="24"/>
        </w:rPr>
        <w:t xml:space="preserve">     </w:t>
      </w:r>
      <w:r w:rsidR="00096208" w:rsidRPr="00DB216A">
        <w:rPr>
          <w:rFonts w:ascii="Times New Roman" w:hAnsi="Times New Roman"/>
          <w:bCs/>
          <w:sz w:val="24"/>
          <w:szCs w:val="24"/>
        </w:rPr>
        <w:t>Прогнозируя  усиление в 201</w:t>
      </w:r>
      <w:r w:rsidR="00096208">
        <w:rPr>
          <w:rFonts w:ascii="Times New Roman" w:hAnsi="Times New Roman"/>
          <w:bCs/>
          <w:sz w:val="24"/>
          <w:szCs w:val="24"/>
        </w:rPr>
        <w:t>8</w:t>
      </w:r>
      <w:r w:rsidR="00096208" w:rsidRPr="00DB216A">
        <w:rPr>
          <w:rFonts w:ascii="Times New Roman" w:hAnsi="Times New Roman"/>
          <w:bCs/>
          <w:sz w:val="24"/>
          <w:szCs w:val="24"/>
        </w:rPr>
        <w:t xml:space="preserve"> году негативного внешнего фона,  сохранение тенденции к оздоровлению банковского сектора регулятором</w:t>
      </w:r>
      <w:r w:rsidR="00096208">
        <w:rPr>
          <w:rFonts w:ascii="Times New Roman" w:hAnsi="Times New Roman"/>
          <w:bCs/>
          <w:sz w:val="24"/>
          <w:szCs w:val="24"/>
        </w:rPr>
        <w:t xml:space="preserve"> и влияние на условия деятельности других внешних и внутренних факторов</w:t>
      </w:r>
      <w:r w:rsidR="00463F90">
        <w:rPr>
          <w:rFonts w:ascii="Times New Roman" w:hAnsi="Times New Roman"/>
          <w:bCs/>
          <w:sz w:val="24"/>
          <w:szCs w:val="24"/>
        </w:rPr>
        <w:t>,</w:t>
      </w:r>
      <w:r w:rsidR="00096208" w:rsidRPr="00DB216A">
        <w:rPr>
          <w:rFonts w:ascii="Times New Roman" w:hAnsi="Times New Roman"/>
          <w:bCs/>
          <w:sz w:val="24"/>
          <w:szCs w:val="24"/>
        </w:rPr>
        <w:t xml:space="preserve"> </w:t>
      </w:r>
      <w:r w:rsidR="00096208">
        <w:rPr>
          <w:rFonts w:ascii="Times New Roman" w:hAnsi="Times New Roman"/>
          <w:bCs/>
          <w:sz w:val="24"/>
          <w:szCs w:val="24"/>
        </w:rPr>
        <w:t>НКЦ</w:t>
      </w:r>
      <w:r w:rsidR="00096208" w:rsidRPr="00DB216A">
        <w:rPr>
          <w:rFonts w:ascii="Times New Roman" w:hAnsi="Times New Roman"/>
          <w:bCs/>
          <w:sz w:val="24"/>
          <w:szCs w:val="24"/>
        </w:rPr>
        <w:t xml:space="preserve"> будет уделять самое серьезное внимание мониторингу ситуации на мировом и российском финансовых рынках, непосредственно участников клиринга, партнеров и контрагентов для своевременной реакции на вызовы, обеспечивая таким образом непрерывность критичных сервисов, осуществляемых </w:t>
      </w:r>
      <w:r w:rsidR="00096208">
        <w:rPr>
          <w:rFonts w:ascii="Times New Roman" w:hAnsi="Times New Roman"/>
          <w:bCs/>
          <w:sz w:val="24"/>
          <w:szCs w:val="24"/>
        </w:rPr>
        <w:t xml:space="preserve">организацией </w:t>
      </w:r>
      <w:r w:rsidR="00096208" w:rsidRPr="00DB216A">
        <w:rPr>
          <w:rFonts w:ascii="Times New Roman" w:hAnsi="Times New Roman"/>
          <w:bCs/>
          <w:sz w:val="24"/>
          <w:szCs w:val="24"/>
        </w:rPr>
        <w:t xml:space="preserve"> в области клиринга и при выполнении функции центрального контрагента. </w:t>
      </w:r>
    </w:p>
    <w:p w14:paraId="0731A2C4" w14:textId="31EB723C" w:rsidR="00096208" w:rsidRPr="0064260E" w:rsidRDefault="00400487" w:rsidP="00400487">
      <w:pPr>
        <w:spacing w:after="200"/>
        <w:ind w:left="360"/>
        <w:jc w:val="both"/>
        <w:rPr>
          <w:rFonts w:ascii="Times New Roman" w:eastAsia="Calibri" w:hAnsi="Times New Roman"/>
          <w:bCs/>
          <w:kern w:val="24"/>
          <w:sz w:val="24"/>
          <w:szCs w:val="24"/>
        </w:rPr>
      </w:pPr>
      <w:r>
        <w:rPr>
          <w:rFonts w:ascii="Times New Roman" w:eastAsia="Calibri" w:hAnsi="Times New Roman"/>
          <w:bCs/>
          <w:kern w:val="24"/>
          <w:sz w:val="24"/>
          <w:szCs w:val="24"/>
        </w:rPr>
        <w:t xml:space="preserve">     </w:t>
      </w:r>
      <w:r w:rsidR="00096208" w:rsidRPr="0064260E">
        <w:rPr>
          <w:rFonts w:ascii="Times New Roman" w:eastAsia="Calibri" w:hAnsi="Times New Roman"/>
          <w:bCs/>
          <w:kern w:val="24"/>
          <w:sz w:val="24"/>
          <w:szCs w:val="24"/>
        </w:rPr>
        <w:t xml:space="preserve">Перспективы развития НКЦ в 2018 году связаны, прежде всего, с реализацией </w:t>
      </w:r>
      <w:r>
        <w:rPr>
          <w:rFonts w:ascii="Times New Roman" w:eastAsia="Calibri" w:hAnsi="Times New Roman"/>
          <w:bCs/>
          <w:kern w:val="24"/>
          <w:sz w:val="24"/>
          <w:szCs w:val="24"/>
        </w:rPr>
        <w:t xml:space="preserve">  </w:t>
      </w:r>
      <w:r w:rsidR="0035690E">
        <w:rPr>
          <w:rFonts w:ascii="Times New Roman" w:eastAsia="Calibri" w:hAnsi="Times New Roman"/>
          <w:bCs/>
          <w:kern w:val="24"/>
          <w:sz w:val="24"/>
          <w:szCs w:val="24"/>
        </w:rPr>
        <w:t>значимых</w:t>
      </w:r>
      <w:r>
        <w:rPr>
          <w:rFonts w:ascii="Times New Roman" w:eastAsia="Calibri" w:hAnsi="Times New Roman"/>
          <w:bCs/>
          <w:kern w:val="24"/>
          <w:sz w:val="24"/>
          <w:szCs w:val="24"/>
        </w:rPr>
        <w:t xml:space="preserve"> </w:t>
      </w:r>
      <w:r w:rsidR="00096208" w:rsidRPr="0064260E">
        <w:rPr>
          <w:rFonts w:ascii="Times New Roman" w:eastAsia="Calibri" w:hAnsi="Times New Roman"/>
          <w:bCs/>
          <w:kern w:val="24"/>
          <w:sz w:val="24"/>
          <w:szCs w:val="24"/>
        </w:rPr>
        <w:t>бизнес проектов и приоритетных задач, к которым относятся:</w:t>
      </w:r>
    </w:p>
    <w:p w14:paraId="163DE5CA" w14:textId="77777777" w:rsidR="00096208" w:rsidRPr="00C04F0A" w:rsidRDefault="00096208" w:rsidP="00400487">
      <w:pPr>
        <w:ind w:left="720" w:right="-1"/>
        <w:contextualSpacing/>
        <w:jc w:val="center"/>
        <w:rPr>
          <w:rFonts w:ascii="Times New Roman" w:hAnsi="Times New Roman"/>
          <w:b/>
          <w:bCs/>
          <w:kern w:val="24"/>
          <w:sz w:val="28"/>
          <w:szCs w:val="28"/>
        </w:rPr>
      </w:pPr>
    </w:p>
    <w:p w14:paraId="5FA52CC7" w14:textId="77777777" w:rsidR="00096208" w:rsidRDefault="00096208" w:rsidP="00096208">
      <w:pPr>
        <w:keepNext/>
        <w:tabs>
          <w:tab w:val="num" w:pos="851"/>
        </w:tabs>
        <w:spacing w:before="360"/>
        <w:ind w:left="851" w:hanging="851"/>
        <w:jc w:val="center"/>
        <w:rPr>
          <w:rFonts w:ascii="Times New Roman" w:hAnsi="Times New Roman"/>
          <w:b/>
          <w:i/>
          <w:sz w:val="24"/>
          <w:szCs w:val="24"/>
        </w:rPr>
      </w:pPr>
      <w:r w:rsidRPr="00115E94">
        <w:rPr>
          <w:rFonts w:ascii="Times New Roman" w:hAnsi="Times New Roman"/>
          <w:b/>
          <w:i/>
          <w:sz w:val="28"/>
          <w:szCs w:val="28"/>
        </w:rPr>
        <w:t>А</w:t>
      </w:r>
      <w:r w:rsidRPr="00115E94">
        <w:rPr>
          <w:rFonts w:ascii="Times New Roman" w:hAnsi="Times New Roman"/>
          <w:b/>
          <w:i/>
          <w:sz w:val="24"/>
          <w:szCs w:val="24"/>
        </w:rPr>
        <w:t>.</w:t>
      </w:r>
      <w:r w:rsidRPr="0026144B">
        <w:rPr>
          <w:rFonts w:ascii="Times New Roman" w:hAnsi="Times New Roman"/>
          <w:b/>
          <w:i/>
          <w:sz w:val="24"/>
          <w:szCs w:val="24"/>
        </w:rPr>
        <w:t xml:space="preserve"> </w:t>
      </w:r>
      <w:r>
        <w:rPr>
          <w:rFonts w:ascii="Times New Roman" w:hAnsi="Times New Roman"/>
          <w:b/>
          <w:i/>
          <w:sz w:val="24"/>
          <w:szCs w:val="24"/>
        </w:rPr>
        <w:t>Проект «</w:t>
      </w:r>
      <w:r w:rsidRPr="0026144B">
        <w:rPr>
          <w:rFonts w:ascii="Times New Roman" w:hAnsi="Times New Roman"/>
          <w:b/>
          <w:i/>
          <w:sz w:val="24"/>
          <w:szCs w:val="24"/>
        </w:rPr>
        <w:t xml:space="preserve">Единый пул обеспечения. </w:t>
      </w:r>
      <w:r>
        <w:rPr>
          <w:rFonts w:ascii="Times New Roman" w:hAnsi="Times New Roman"/>
          <w:b/>
          <w:i/>
          <w:sz w:val="24"/>
          <w:szCs w:val="24"/>
        </w:rPr>
        <w:t>Этап</w:t>
      </w:r>
      <w:r w:rsidRPr="0026144B">
        <w:rPr>
          <w:rFonts w:ascii="Times New Roman" w:hAnsi="Times New Roman"/>
          <w:b/>
          <w:i/>
          <w:sz w:val="24"/>
          <w:szCs w:val="24"/>
        </w:rPr>
        <w:t xml:space="preserve"> </w:t>
      </w:r>
      <w:r w:rsidRPr="0026144B">
        <w:rPr>
          <w:rFonts w:ascii="Times New Roman" w:hAnsi="Times New Roman"/>
          <w:b/>
          <w:i/>
          <w:sz w:val="24"/>
          <w:szCs w:val="24"/>
          <w:lang w:val="en-US"/>
        </w:rPr>
        <w:t>II</w:t>
      </w:r>
      <w:r>
        <w:rPr>
          <w:rFonts w:ascii="Times New Roman" w:hAnsi="Times New Roman"/>
          <w:b/>
          <w:i/>
          <w:sz w:val="24"/>
          <w:szCs w:val="24"/>
        </w:rPr>
        <w:t>»</w:t>
      </w:r>
    </w:p>
    <w:p w14:paraId="5EB3C98C" w14:textId="77777777" w:rsidR="00096208" w:rsidRPr="000925E1" w:rsidRDefault="00096208" w:rsidP="00096208">
      <w:pPr>
        <w:spacing w:after="200" w:line="276" w:lineRule="auto"/>
        <w:contextualSpacing/>
        <w:jc w:val="both"/>
        <w:rPr>
          <w:rFonts w:eastAsia="Calibri"/>
          <w:sz w:val="24"/>
        </w:rPr>
      </w:pPr>
    </w:p>
    <w:p w14:paraId="3247F858" w14:textId="77777777" w:rsidR="00096208" w:rsidRPr="0032069A" w:rsidRDefault="00096208" w:rsidP="00096208">
      <w:pPr>
        <w:spacing w:after="200"/>
        <w:contextualSpacing/>
        <w:jc w:val="both"/>
        <w:rPr>
          <w:rFonts w:ascii="Times New Roman" w:eastAsia="Calibri" w:hAnsi="Times New Roman"/>
          <w:sz w:val="24"/>
          <w:szCs w:val="24"/>
        </w:rPr>
      </w:pPr>
      <w:r>
        <w:rPr>
          <w:rFonts w:ascii="Times New Roman" w:eastAsia="Calibri" w:hAnsi="Times New Roman"/>
          <w:sz w:val="24"/>
          <w:szCs w:val="24"/>
        </w:rPr>
        <w:t xml:space="preserve">     </w:t>
      </w:r>
      <w:r w:rsidRPr="000925E1">
        <w:rPr>
          <w:rFonts w:ascii="Times New Roman" w:eastAsia="Calibri" w:hAnsi="Times New Roman"/>
          <w:sz w:val="24"/>
          <w:szCs w:val="24"/>
        </w:rPr>
        <w:t>В 2018 году будет продолжена совместная работа подразделений клиринга, риск-менеджмента, представителей биржевых рынков и ИТ, направленная на ре</w:t>
      </w:r>
      <w:r w:rsidRPr="0032069A">
        <w:rPr>
          <w:rFonts w:ascii="Times New Roman" w:eastAsia="Calibri" w:hAnsi="Times New Roman"/>
          <w:sz w:val="24"/>
          <w:szCs w:val="24"/>
        </w:rPr>
        <w:t xml:space="preserve">шение задач второго этапа данного </w:t>
      </w:r>
      <w:r w:rsidRPr="000925E1">
        <w:rPr>
          <w:rFonts w:ascii="Times New Roman" w:eastAsia="Calibri" w:hAnsi="Times New Roman"/>
          <w:sz w:val="24"/>
          <w:szCs w:val="24"/>
        </w:rPr>
        <w:t>проекта</w:t>
      </w:r>
      <w:r w:rsidRPr="0032069A">
        <w:rPr>
          <w:rFonts w:ascii="Times New Roman" w:eastAsia="Calibri" w:hAnsi="Times New Roman"/>
          <w:sz w:val="24"/>
          <w:szCs w:val="24"/>
        </w:rPr>
        <w:t xml:space="preserve">, а именно: </w:t>
      </w:r>
      <w:r w:rsidRPr="000925E1">
        <w:rPr>
          <w:rFonts w:ascii="Times New Roman" w:eastAsia="Calibri" w:hAnsi="Times New Roman"/>
          <w:sz w:val="24"/>
          <w:szCs w:val="24"/>
        </w:rPr>
        <w:t xml:space="preserve"> </w:t>
      </w:r>
    </w:p>
    <w:p w14:paraId="0E0F24CF" w14:textId="77777777" w:rsidR="00096208" w:rsidRPr="0032069A" w:rsidRDefault="00096208" w:rsidP="00096208">
      <w:pPr>
        <w:spacing w:after="200"/>
        <w:ind w:left="720"/>
        <w:contextualSpacing/>
        <w:jc w:val="both"/>
        <w:rPr>
          <w:rFonts w:ascii="Times New Roman" w:eastAsia="Calibri" w:hAnsi="Times New Roman"/>
          <w:sz w:val="24"/>
          <w:szCs w:val="24"/>
        </w:rPr>
      </w:pPr>
    </w:p>
    <w:p w14:paraId="7603CEB2" w14:textId="77777777" w:rsidR="00096208" w:rsidRPr="0038598B" w:rsidRDefault="00096208" w:rsidP="00096208">
      <w:pPr>
        <w:pStyle w:val="a9"/>
        <w:numPr>
          <w:ilvl w:val="1"/>
          <w:numId w:val="60"/>
        </w:numPr>
        <w:spacing w:line="240" w:lineRule="auto"/>
        <w:jc w:val="both"/>
        <w:rPr>
          <w:rFonts w:ascii="Times New Roman" w:hAnsi="Times New Roman"/>
          <w:color w:val="000000"/>
          <w:sz w:val="24"/>
        </w:rPr>
      </w:pPr>
      <w:r w:rsidRPr="0038598B">
        <w:rPr>
          <w:rFonts w:ascii="Times New Roman" w:hAnsi="Times New Roman"/>
          <w:color w:val="000000"/>
          <w:sz w:val="24"/>
        </w:rPr>
        <w:t>создание возможностей для передачи профилей ценных бумаг между клиринговой системой фондового рынка и клиринговой системой срочного рынка;</w:t>
      </w:r>
    </w:p>
    <w:p w14:paraId="0B1D7708" w14:textId="77777777" w:rsidR="00096208" w:rsidRPr="002A5D02" w:rsidRDefault="00096208" w:rsidP="00096208">
      <w:pPr>
        <w:ind w:left="1418"/>
        <w:jc w:val="both"/>
        <w:rPr>
          <w:rFonts w:ascii="Times New Roman" w:hAnsi="Times New Roman"/>
          <w:color w:val="000000"/>
          <w:sz w:val="24"/>
        </w:rPr>
      </w:pPr>
    </w:p>
    <w:p w14:paraId="046C24D5" w14:textId="77777777" w:rsidR="00096208" w:rsidRDefault="00096208" w:rsidP="00096208">
      <w:pPr>
        <w:pStyle w:val="a9"/>
        <w:numPr>
          <w:ilvl w:val="1"/>
          <w:numId w:val="60"/>
        </w:numPr>
        <w:spacing w:line="240" w:lineRule="auto"/>
        <w:jc w:val="both"/>
        <w:rPr>
          <w:rFonts w:ascii="Times New Roman" w:hAnsi="Times New Roman"/>
          <w:color w:val="000000"/>
          <w:sz w:val="24"/>
        </w:rPr>
      </w:pPr>
      <w:r w:rsidRPr="0038598B">
        <w:rPr>
          <w:rFonts w:ascii="Times New Roman" w:hAnsi="Times New Roman"/>
          <w:color w:val="000000"/>
          <w:sz w:val="24"/>
        </w:rPr>
        <w:t>реализация функционала кросс-маржирования;</w:t>
      </w:r>
    </w:p>
    <w:p w14:paraId="43CDB853" w14:textId="32D7249B" w:rsidR="00096208" w:rsidRDefault="00463F90" w:rsidP="00096208">
      <w:pPr>
        <w:pStyle w:val="a9"/>
        <w:numPr>
          <w:ilvl w:val="2"/>
          <w:numId w:val="60"/>
        </w:numPr>
        <w:spacing w:line="240" w:lineRule="auto"/>
        <w:jc w:val="both"/>
        <w:rPr>
          <w:rFonts w:ascii="Times New Roman" w:hAnsi="Times New Roman"/>
          <w:color w:val="000000"/>
          <w:sz w:val="24"/>
        </w:rPr>
      </w:pPr>
      <w:r>
        <w:rPr>
          <w:rFonts w:ascii="Times New Roman" w:hAnsi="Times New Roman"/>
          <w:color w:val="000000"/>
          <w:sz w:val="24"/>
        </w:rPr>
        <w:t>в</w:t>
      </w:r>
      <w:r w:rsidR="00096208" w:rsidRPr="00715FA0">
        <w:rPr>
          <w:rFonts w:ascii="Times New Roman" w:hAnsi="Times New Roman"/>
          <w:color w:val="000000"/>
          <w:sz w:val="24"/>
        </w:rPr>
        <w:t xml:space="preserve"> 2018 году подразделения, вовлеченные в процесс управления рисками, продолжат совместную работу по внедрению технологии кросс-маржирования для основных биржевых рынков, в том числе в части внедрения межпродуктовых спредов по связанным инструментам. Внедряемые изменения позволят участникам более эффективно управлять обеспечением за счет совместного маржирования инструментов, цены которых зависят </w:t>
      </w:r>
      <w:r>
        <w:rPr>
          <w:rFonts w:ascii="Times New Roman" w:hAnsi="Times New Roman"/>
          <w:color w:val="000000"/>
          <w:sz w:val="24"/>
        </w:rPr>
        <w:t>от одних и тех же риск-факторов;</w:t>
      </w:r>
      <w:r w:rsidR="00096208" w:rsidRPr="00715FA0">
        <w:rPr>
          <w:rFonts w:ascii="Times New Roman" w:hAnsi="Times New Roman"/>
          <w:color w:val="000000"/>
          <w:sz w:val="24"/>
        </w:rPr>
        <w:t xml:space="preserve"> </w:t>
      </w:r>
    </w:p>
    <w:p w14:paraId="529F52D9" w14:textId="503354F2" w:rsidR="001F3145" w:rsidRPr="001F3145" w:rsidRDefault="001F3145" w:rsidP="001F3145">
      <w:pPr>
        <w:pStyle w:val="a9"/>
        <w:numPr>
          <w:ilvl w:val="2"/>
          <w:numId w:val="60"/>
        </w:numPr>
        <w:spacing w:line="240" w:lineRule="auto"/>
        <w:rPr>
          <w:rFonts w:ascii="Times New Roman" w:hAnsi="Times New Roman"/>
          <w:color w:val="000000"/>
          <w:sz w:val="24"/>
        </w:rPr>
      </w:pPr>
      <w:r w:rsidRPr="001F3145">
        <w:rPr>
          <w:rFonts w:ascii="Times New Roman" w:hAnsi="Times New Roman"/>
          <w:color w:val="000000"/>
          <w:sz w:val="24"/>
        </w:rPr>
        <w:t>кроме того, в 2018 году будут внедрены изменения в систему управления рисками на срочном рынке, предостав</w:t>
      </w:r>
      <w:r w:rsidR="0035690E">
        <w:rPr>
          <w:rFonts w:ascii="Times New Roman" w:hAnsi="Times New Roman"/>
          <w:color w:val="000000"/>
          <w:sz w:val="24"/>
        </w:rPr>
        <w:t xml:space="preserve">ляющие больше возможностей при </w:t>
      </w:r>
      <w:r w:rsidRPr="001F3145">
        <w:rPr>
          <w:rFonts w:ascii="Times New Roman" w:hAnsi="Times New Roman"/>
          <w:color w:val="000000"/>
          <w:sz w:val="24"/>
        </w:rPr>
        <w:t xml:space="preserve">неттировании рисков </w:t>
      </w:r>
      <w:r w:rsidRPr="001F3145">
        <w:rPr>
          <w:rFonts w:ascii="Times New Roman" w:hAnsi="Times New Roman"/>
          <w:color w:val="000000"/>
          <w:sz w:val="24"/>
        </w:rPr>
        <w:lastRenderedPageBreak/>
        <w:t>между инструментами в одном базовом активе, неттировании рисков между позициями разных клиентов участника клиринга; будут внедрены новые механизмы учета рисков концентрации (лимиты концентрации, аналогично валютному и фондовому рынкам). Для увеличения точности ценообразования будет доработана методология определения расчетных цен по фьючерсным контрактам.</w:t>
      </w:r>
    </w:p>
    <w:p w14:paraId="462523CA" w14:textId="58B5C8FE" w:rsidR="00096208" w:rsidRPr="00E563DC" w:rsidRDefault="00096208" w:rsidP="001F3145">
      <w:pPr>
        <w:pStyle w:val="a9"/>
        <w:spacing w:line="240" w:lineRule="auto"/>
        <w:ind w:left="2160"/>
        <w:jc w:val="both"/>
        <w:rPr>
          <w:rFonts w:ascii="Times New Roman" w:hAnsi="Times New Roman"/>
          <w:color w:val="000000"/>
          <w:sz w:val="24"/>
          <w:highlight w:val="yellow"/>
        </w:rPr>
      </w:pPr>
    </w:p>
    <w:p w14:paraId="19DADBD8" w14:textId="77777777" w:rsidR="00096208" w:rsidRDefault="00096208" w:rsidP="00096208">
      <w:pPr>
        <w:ind w:left="1080"/>
        <w:jc w:val="both"/>
        <w:rPr>
          <w:rFonts w:ascii="Times New Roman" w:hAnsi="Times New Roman"/>
          <w:color w:val="000000"/>
          <w:sz w:val="24"/>
        </w:rPr>
      </w:pPr>
    </w:p>
    <w:p w14:paraId="7C30B0AD" w14:textId="77777777" w:rsidR="00096208" w:rsidRPr="0038598B" w:rsidRDefault="00096208" w:rsidP="00096208">
      <w:pPr>
        <w:pStyle w:val="a9"/>
        <w:numPr>
          <w:ilvl w:val="1"/>
          <w:numId w:val="60"/>
        </w:numPr>
        <w:spacing w:line="240" w:lineRule="auto"/>
        <w:jc w:val="both"/>
        <w:rPr>
          <w:rFonts w:ascii="Times New Roman" w:hAnsi="Times New Roman"/>
          <w:color w:val="000000"/>
          <w:sz w:val="24"/>
        </w:rPr>
      </w:pPr>
      <w:r w:rsidRPr="0038598B">
        <w:rPr>
          <w:rFonts w:ascii="Times New Roman" w:hAnsi="Times New Roman"/>
          <w:color w:val="000000"/>
          <w:sz w:val="24"/>
        </w:rPr>
        <w:t>унификация регламента возврата денежных средств (сервис «ранние расчеты») на фондовом и валютном рынках;</w:t>
      </w:r>
    </w:p>
    <w:p w14:paraId="72F6DA6D" w14:textId="77777777" w:rsidR="00096208" w:rsidRDefault="00096208" w:rsidP="00096208">
      <w:pPr>
        <w:ind w:left="1080"/>
        <w:jc w:val="both"/>
        <w:rPr>
          <w:rFonts w:ascii="Times New Roman" w:hAnsi="Times New Roman"/>
          <w:color w:val="000000"/>
          <w:sz w:val="24"/>
        </w:rPr>
      </w:pPr>
    </w:p>
    <w:p w14:paraId="032671ED" w14:textId="76F04474" w:rsidR="00096208" w:rsidRPr="0032069A" w:rsidRDefault="00096208" w:rsidP="00096208">
      <w:pPr>
        <w:pStyle w:val="a9"/>
        <w:numPr>
          <w:ilvl w:val="1"/>
          <w:numId w:val="60"/>
        </w:numPr>
        <w:spacing w:line="240" w:lineRule="auto"/>
        <w:jc w:val="both"/>
        <w:rPr>
          <w:rFonts w:ascii="Times New Roman" w:hAnsi="Times New Roman"/>
          <w:color w:val="000000"/>
          <w:sz w:val="24"/>
        </w:rPr>
      </w:pPr>
      <w:r w:rsidRPr="0032069A">
        <w:rPr>
          <w:rFonts w:ascii="Times New Roman" w:hAnsi="Times New Roman"/>
          <w:color w:val="000000"/>
          <w:sz w:val="24"/>
        </w:rPr>
        <w:t>в целях огран</w:t>
      </w:r>
      <w:r w:rsidR="00E563DC">
        <w:rPr>
          <w:rFonts w:ascii="Times New Roman" w:hAnsi="Times New Roman"/>
          <w:color w:val="000000"/>
          <w:sz w:val="24"/>
        </w:rPr>
        <w:t>ичения размера ответственности к</w:t>
      </w:r>
      <w:r w:rsidRPr="0032069A">
        <w:rPr>
          <w:rFonts w:ascii="Times New Roman" w:hAnsi="Times New Roman"/>
          <w:color w:val="000000"/>
          <w:sz w:val="24"/>
        </w:rPr>
        <w:t>лирингового ц</w:t>
      </w:r>
      <w:r w:rsidR="00E563DC">
        <w:rPr>
          <w:rFonts w:ascii="Times New Roman" w:hAnsi="Times New Roman"/>
          <w:color w:val="000000"/>
          <w:sz w:val="24"/>
        </w:rPr>
        <w:t>ентра в отношении обязательств клирингового центра перед у</w:t>
      </w:r>
      <w:r w:rsidRPr="0032069A">
        <w:rPr>
          <w:rFonts w:ascii="Times New Roman" w:hAnsi="Times New Roman"/>
          <w:color w:val="000000"/>
          <w:sz w:val="24"/>
        </w:rPr>
        <w:t>частниками клиринга реализуется механизм распределения убытков через процедуру дисконтирования обя</w:t>
      </w:r>
      <w:r w:rsidR="00E563DC">
        <w:rPr>
          <w:rFonts w:ascii="Times New Roman" w:hAnsi="Times New Roman"/>
          <w:color w:val="000000"/>
          <w:sz w:val="24"/>
        </w:rPr>
        <w:t>зательств к</w:t>
      </w:r>
      <w:r w:rsidRPr="0032069A">
        <w:rPr>
          <w:rFonts w:ascii="Times New Roman" w:hAnsi="Times New Roman"/>
          <w:color w:val="000000"/>
          <w:sz w:val="24"/>
        </w:rPr>
        <w:t>лирингового центра.</w:t>
      </w:r>
    </w:p>
    <w:p w14:paraId="74ED3AFB" w14:textId="77777777" w:rsidR="00096208" w:rsidRPr="002A5D02" w:rsidRDefault="00096208" w:rsidP="00096208">
      <w:pPr>
        <w:ind w:firstLine="567"/>
        <w:jc w:val="both"/>
        <w:rPr>
          <w:rFonts w:ascii="Times New Roman" w:hAnsi="Times New Roman"/>
          <w:bCs/>
          <w:sz w:val="24"/>
          <w:szCs w:val="24"/>
        </w:rPr>
      </w:pPr>
      <w:r w:rsidRPr="002A5D02">
        <w:rPr>
          <w:rFonts w:ascii="Times New Roman" w:hAnsi="Times New Roman"/>
          <w:bCs/>
          <w:sz w:val="24"/>
          <w:szCs w:val="24"/>
        </w:rPr>
        <w:t xml:space="preserve">Проект «Единый пул обеспечения. Этап </w:t>
      </w:r>
      <w:r w:rsidRPr="002A5D02">
        <w:rPr>
          <w:rFonts w:ascii="Times New Roman" w:hAnsi="Times New Roman"/>
          <w:bCs/>
          <w:sz w:val="24"/>
          <w:szCs w:val="24"/>
          <w:lang w:val="en-US"/>
        </w:rPr>
        <w:t>II</w:t>
      </w:r>
      <w:r w:rsidRPr="002A5D02">
        <w:rPr>
          <w:rFonts w:ascii="Times New Roman" w:hAnsi="Times New Roman"/>
          <w:bCs/>
          <w:sz w:val="24"/>
          <w:szCs w:val="24"/>
        </w:rPr>
        <w:t>» планируется к запуску в 1-м полугодии 2018 года.</w:t>
      </w:r>
    </w:p>
    <w:p w14:paraId="4BFC9DA1" w14:textId="77777777" w:rsidR="00096208" w:rsidRPr="002A5D02" w:rsidRDefault="00096208" w:rsidP="00096208">
      <w:pPr>
        <w:ind w:left="1418"/>
        <w:jc w:val="both"/>
        <w:rPr>
          <w:rFonts w:ascii="Times New Roman" w:hAnsi="Times New Roman"/>
          <w:color w:val="000000"/>
          <w:sz w:val="24"/>
        </w:rPr>
      </w:pPr>
    </w:p>
    <w:p w14:paraId="19B426DF" w14:textId="77777777" w:rsidR="00590D65" w:rsidRDefault="00590D65" w:rsidP="00096208">
      <w:pPr>
        <w:keepNext/>
        <w:tabs>
          <w:tab w:val="num" w:pos="851"/>
        </w:tabs>
        <w:spacing w:before="360"/>
        <w:ind w:left="851" w:hanging="851"/>
        <w:jc w:val="center"/>
        <w:rPr>
          <w:rFonts w:ascii="Times New Roman" w:hAnsi="Times New Roman"/>
          <w:b/>
          <w:i/>
          <w:sz w:val="28"/>
          <w:szCs w:val="28"/>
        </w:rPr>
      </w:pPr>
    </w:p>
    <w:p w14:paraId="3538105E" w14:textId="77777777" w:rsidR="00096208" w:rsidRPr="000925E1" w:rsidRDefault="00096208" w:rsidP="00096208">
      <w:pPr>
        <w:keepNext/>
        <w:tabs>
          <w:tab w:val="num" w:pos="851"/>
        </w:tabs>
        <w:spacing w:before="360"/>
        <w:ind w:left="851" w:hanging="851"/>
        <w:jc w:val="center"/>
        <w:rPr>
          <w:rFonts w:ascii="Times New Roman" w:hAnsi="Times New Roman"/>
          <w:b/>
          <w:i/>
          <w:sz w:val="24"/>
          <w:szCs w:val="24"/>
        </w:rPr>
      </w:pPr>
      <w:r w:rsidRPr="00115E94">
        <w:rPr>
          <w:rFonts w:ascii="Times New Roman" w:hAnsi="Times New Roman"/>
          <w:b/>
          <w:i/>
          <w:sz w:val="28"/>
          <w:szCs w:val="28"/>
        </w:rPr>
        <w:t>Б</w:t>
      </w:r>
      <w:r w:rsidRPr="00115E94">
        <w:rPr>
          <w:rFonts w:ascii="Times New Roman" w:hAnsi="Times New Roman"/>
          <w:b/>
          <w:i/>
          <w:sz w:val="24"/>
          <w:szCs w:val="24"/>
        </w:rPr>
        <w:t>.</w:t>
      </w:r>
      <w:r w:rsidRPr="000925E1">
        <w:rPr>
          <w:rFonts w:ascii="Times New Roman" w:hAnsi="Times New Roman"/>
          <w:b/>
          <w:i/>
          <w:sz w:val="24"/>
          <w:szCs w:val="24"/>
        </w:rPr>
        <w:t xml:space="preserve"> Создание единой клиринговой инфраструктуры, необходимой для построения единой клиринговой платформы</w:t>
      </w:r>
    </w:p>
    <w:p w14:paraId="42D8A8AF" w14:textId="77777777" w:rsidR="00096208" w:rsidRPr="000925E1" w:rsidRDefault="00096208" w:rsidP="00096208">
      <w:pPr>
        <w:spacing w:after="240"/>
        <w:ind w:firstLine="567"/>
        <w:jc w:val="both"/>
        <w:rPr>
          <w:rFonts w:ascii="Times New Roman" w:hAnsi="Times New Roman"/>
          <w:sz w:val="24"/>
          <w:szCs w:val="24"/>
        </w:rPr>
      </w:pPr>
    </w:p>
    <w:p w14:paraId="0CCC26CE" w14:textId="33BA451D" w:rsidR="00096208" w:rsidRPr="000925E1" w:rsidRDefault="00096208" w:rsidP="00096208">
      <w:pPr>
        <w:ind w:firstLine="567"/>
        <w:jc w:val="both"/>
        <w:rPr>
          <w:rFonts w:ascii="Times New Roman" w:hAnsi="Times New Roman"/>
          <w:bCs/>
          <w:sz w:val="24"/>
          <w:szCs w:val="24"/>
        </w:rPr>
      </w:pPr>
      <w:r w:rsidRPr="000925E1">
        <w:rPr>
          <w:rFonts w:ascii="Times New Roman" w:hAnsi="Times New Roman"/>
          <w:bCs/>
          <w:sz w:val="24"/>
          <w:szCs w:val="24"/>
        </w:rPr>
        <w:t xml:space="preserve">Проект по разделению статусов участников клиринга и участников был успешно реализован на валютном рынке и рынке драгоценных металлов, а также на рынке СПФИ, в результате чего стало возможным привлечение 3-х международных участников клиринга (Bank of America, ICBC, OCIL), а также 15-ти SMA - клиентов, в том числе нерезидентов. Реализация </w:t>
      </w:r>
      <w:r>
        <w:rPr>
          <w:rFonts w:ascii="Times New Roman" w:hAnsi="Times New Roman"/>
          <w:bCs/>
          <w:sz w:val="24"/>
          <w:szCs w:val="24"/>
        </w:rPr>
        <w:t xml:space="preserve">данного проекта </w:t>
      </w:r>
      <w:r w:rsidRPr="000925E1">
        <w:rPr>
          <w:rFonts w:ascii="Times New Roman" w:hAnsi="Times New Roman"/>
          <w:bCs/>
          <w:sz w:val="24"/>
          <w:szCs w:val="24"/>
        </w:rPr>
        <w:t>на других рынках позволит унифицировать предоставляемые сервисы для всех биржевых рынков и привлечь большее количество участников клиринга - нерезидентов, а также организаций, не имеющих лицензию профессионального</w:t>
      </w:r>
      <w:r w:rsidR="00BB4302">
        <w:rPr>
          <w:rFonts w:ascii="Times New Roman" w:hAnsi="Times New Roman"/>
          <w:bCs/>
          <w:sz w:val="24"/>
          <w:szCs w:val="24"/>
        </w:rPr>
        <w:t xml:space="preserve"> участника рынка ценных бумаг. Это </w:t>
      </w:r>
      <w:r w:rsidRPr="000925E1">
        <w:rPr>
          <w:rFonts w:ascii="Times New Roman" w:hAnsi="Times New Roman"/>
          <w:bCs/>
          <w:sz w:val="24"/>
          <w:szCs w:val="24"/>
        </w:rPr>
        <w:t>также позволяет двигаться по направлению к созданию единой клиринговой платформы для всех биржевых рынков Группы «Московская Биржа».</w:t>
      </w:r>
    </w:p>
    <w:p w14:paraId="0EF96F87" w14:textId="77777777" w:rsidR="00096208" w:rsidRPr="000925E1" w:rsidRDefault="00096208" w:rsidP="00096208">
      <w:pPr>
        <w:ind w:firstLine="567"/>
        <w:jc w:val="both"/>
        <w:rPr>
          <w:rFonts w:ascii="Times New Roman" w:hAnsi="Times New Roman"/>
          <w:bCs/>
          <w:sz w:val="24"/>
          <w:szCs w:val="24"/>
        </w:rPr>
      </w:pPr>
      <w:r w:rsidRPr="000925E1">
        <w:rPr>
          <w:rFonts w:ascii="Times New Roman" w:hAnsi="Times New Roman"/>
          <w:bCs/>
          <w:sz w:val="24"/>
          <w:szCs w:val="24"/>
        </w:rPr>
        <w:t>В рамках проекта планируется реализовать следующие задачи:</w:t>
      </w:r>
    </w:p>
    <w:p w14:paraId="1238347C" w14:textId="77777777" w:rsidR="00096208" w:rsidRPr="000925E1" w:rsidRDefault="00096208" w:rsidP="00096208">
      <w:pPr>
        <w:numPr>
          <w:ilvl w:val="0"/>
          <w:numId w:val="48"/>
        </w:numPr>
        <w:spacing w:before="60"/>
        <w:contextualSpacing/>
        <w:jc w:val="both"/>
        <w:rPr>
          <w:rFonts w:ascii="Times New Roman" w:hAnsi="Times New Roman"/>
          <w:bCs/>
          <w:noProof/>
          <w:sz w:val="24"/>
          <w:szCs w:val="24"/>
        </w:rPr>
      </w:pPr>
      <w:r w:rsidRPr="000925E1">
        <w:rPr>
          <w:rFonts w:ascii="Times New Roman" w:hAnsi="Times New Roman"/>
          <w:bCs/>
          <w:noProof/>
          <w:sz w:val="24"/>
          <w:szCs w:val="24"/>
        </w:rPr>
        <w:t>унификация структуры счетов 1-го, 2-го и 3-го уровней участников клиринга и их клиентов на фондовом, валютном и срочном рынках + создание сервисов для участников клиринга по управлению счетами (для автоматизированной загрузки лимитов и установки риск-параметров и т.п.);</w:t>
      </w:r>
    </w:p>
    <w:p w14:paraId="1142337E" w14:textId="77777777" w:rsidR="00096208" w:rsidRPr="000925E1" w:rsidRDefault="00096208" w:rsidP="00096208">
      <w:pPr>
        <w:numPr>
          <w:ilvl w:val="0"/>
          <w:numId w:val="48"/>
        </w:numPr>
        <w:spacing w:before="60"/>
        <w:contextualSpacing/>
        <w:jc w:val="both"/>
        <w:rPr>
          <w:rFonts w:ascii="Times New Roman" w:hAnsi="Times New Roman"/>
          <w:bCs/>
          <w:noProof/>
          <w:sz w:val="24"/>
          <w:szCs w:val="24"/>
        </w:rPr>
      </w:pPr>
      <w:r w:rsidRPr="000925E1">
        <w:rPr>
          <w:rFonts w:ascii="Times New Roman" w:hAnsi="Times New Roman"/>
          <w:bCs/>
          <w:noProof/>
          <w:sz w:val="24"/>
          <w:szCs w:val="24"/>
        </w:rPr>
        <w:t>унификация структуры клирингового членства на фондовом, валютном и срочном рынках;</w:t>
      </w:r>
    </w:p>
    <w:p w14:paraId="33BE3653" w14:textId="77777777" w:rsidR="00096208" w:rsidRPr="000925E1" w:rsidRDefault="00096208" w:rsidP="00096208">
      <w:pPr>
        <w:numPr>
          <w:ilvl w:val="0"/>
          <w:numId w:val="48"/>
        </w:numPr>
        <w:spacing w:before="60"/>
        <w:contextualSpacing/>
        <w:jc w:val="both"/>
        <w:rPr>
          <w:rFonts w:ascii="Times New Roman" w:hAnsi="Times New Roman"/>
          <w:bCs/>
          <w:noProof/>
          <w:sz w:val="24"/>
          <w:szCs w:val="24"/>
        </w:rPr>
      </w:pPr>
      <w:r w:rsidRPr="000925E1">
        <w:rPr>
          <w:rFonts w:ascii="Times New Roman" w:hAnsi="Times New Roman"/>
          <w:bCs/>
          <w:noProof/>
          <w:sz w:val="24"/>
          <w:szCs w:val="24"/>
        </w:rPr>
        <w:t>унификация времени проведения клиринговых сессий mark-to-market на срочном, фондовом и валютном рынках.</w:t>
      </w:r>
    </w:p>
    <w:p w14:paraId="2336E7EB" w14:textId="77777777" w:rsidR="00096208" w:rsidRDefault="00096208" w:rsidP="00096208">
      <w:pPr>
        <w:keepNext/>
        <w:tabs>
          <w:tab w:val="num" w:pos="851"/>
        </w:tabs>
        <w:spacing w:before="360"/>
        <w:ind w:left="851" w:hanging="851"/>
        <w:jc w:val="center"/>
        <w:rPr>
          <w:rFonts w:ascii="Times New Roman" w:hAnsi="Times New Roman"/>
          <w:b/>
          <w:i/>
          <w:sz w:val="24"/>
          <w:szCs w:val="24"/>
        </w:rPr>
      </w:pPr>
    </w:p>
    <w:p w14:paraId="0C6BED14" w14:textId="77777777" w:rsidR="00096208" w:rsidRPr="000925E1" w:rsidRDefault="00096208" w:rsidP="00096208">
      <w:pPr>
        <w:keepNext/>
        <w:tabs>
          <w:tab w:val="num" w:pos="851"/>
        </w:tabs>
        <w:spacing w:before="360"/>
        <w:ind w:left="851" w:hanging="851"/>
        <w:jc w:val="center"/>
        <w:rPr>
          <w:rFonts w:ascii="Times New Roman" w:hAnsi="Times New Roman"/>
          <w:b/>
          <w:i/>
          <w:sz w:val="24"/>
          <w:szCs w:val="24"/>
        </w:rPr>
      </w:pPr>
      <w:r>
        <w:rPr>
          <w:rFonts w:ascii="Times New Roman" w:hAnsi="Times New Roman"/>
          <w:b/>
          <w:i/>
          <w:sz w:val="24"/>
          <w:szCs w:val="24"/>
        </w:rPr>
        <w:t>В.</w:t>
      </w:r>
      <w:r w:rsidRPr="000925E1">
        <w:rPr>
          <w:rFonts w:ascii="Times New Roman" w:hAnsi="Times New Roman"/>
          <w:b/>
          <w:i/>
          <w:sz w:val="24"/>
          <w:szCs w:val="24"/>
        </w:rPr>
        <w:t xml:space="preserve"> Проект «Линки с иностранными провайдерами ликвидности»</w:t>
      </w:r>
    </w:p>
    <w:p w14:paraId="2372CF6A" w14:textId="77777777" w:rsidR="00096208" w:rsidRPr="000925E1" w:rsidRDefault="00096208" w:rsidP="00096208">
      <w:pPr>
        <w:ind w:firstLine="567"/>
        <w:jc w:val="both"/>
        <w:rPr>
          <w:rFonts w:ascii="Times New Roman" w:hAnsi="Times New Roman"/>
          <w:bCs/>
          <w:sz w:val="24"/>
          <w:szCs w:val="24"/>
        </w:rPr>
      </w:pPr>
    </w:p>
    <w:p w14:paraId="068BE35D" w14:textId="2BC906B1" w:rsidR="00096208" w:rsidRPr="000925E1" w:rsidRDefault="003026D3" w:rsidP="003026D3">
      <w:pPr>
        <w:jc w:val="both"/>
        <w:rPr>
          <w:rFonts w:ascii="Times New Roman" w:hAnsi="Times New Roman"/>
          <w:bCs/>
          <w:noProof/>
          <w:sz w:val="24"/>
          <w:szCs w:val="24"/>
        </w:rPr>
      </w:pPr>
      <w:r>
        <w:rPr>
          <w:rFonts w:ascii="Times New Roman" w:hAnsi="Times New Roman"/>
          <w:bCs/>
          <w:sz w:val="24"/>
          <w:szCs w:val="24"/>
        </w:rPr>
        <w:t xml:space="preserve">     </w:t>
      </w:r>
      <w:r w:rsidR="00096208" w:rsidRPr="00715FA0">
        <w:rPr>
          <w:rFonts w:ascii="Times New Roman" w:hAnsi="Times New Roman"/>
          <w:bCs/>
          <w:sz w:val="24"/>
          <w:szCs w:val="24"/>
        </w:rPr>
        <w:t xml:space="preserve">НКЦ совместно с ПАО Московская Биржа разрабатывает проект, предполагающий предоставление участникам клиринга внебиржевого сервиса по заключению сделок купли </w:t>
      </w:r>
      <w:r w:rsidR="00096208">
        <w:rPr>
          <w:rFonts w:ascii="Times New Roman" w:hAnsi="Times New Roman"/>
          <w:bCs/>
          <w:sz w:val="24"/>
          <w:szCs w:val="24"/>
        </w:rPr>
        <w:t>-</w:t>
      </w:r>
      <w:r w:rsidR="00096208" w:rsidRPr="00715FA0">
        <w:rPr>
          <w:rFonts w:ascii="Times New Roman" w:hAnsi="Times New Roman"/>
          <w:bCs/>
          <w:sz w:val="24"/>
          <w:szCs w:val="24"/>
        </w:rPr>
        <w:t>продажи по валютной паре EUR/USD с крупнейшими международными банками (с возможностью последующего расширения списка валютных пар). Таким образом, реализация проекта позволит предоставить участникам российского финансового рынка доступ к зарубежной ликвидности с минимальными рисками и по лучшим ценам. Российские банки получат доступ к ранее недоступным источникам ликвидности с более выгодными спредами, что, в свою очередь, даст дополнительный стимул для дальнейшего роста внутрирыночной ликвидности на межбанковском рынке России.</w:t>
      </w:r>
      <w:r w:rsidR="00096208">
        <w:rPr>
          <w:rFonts w:ascii="Times New Roman" w:hAnsi="Times New Roman"/>
          <w:bCs/>
          <w:sz w:val="24"/>
          <w:szCs w:val="24"/>
        </w:rPr>
        <w:t xml:space="preserve"> </w:t>
      </w:r>
    </w:p>
    <w:p w14:paraId="722FAEE8" w14:textId="77777777" w:rsidR="008C16DC" w:rsidRDefault="008C16DC" w:rsidP="00096208">
      <w:pPr>
        <w:ind w:firstLine="567"/>
        <w:jc w:val="both"/>
        <w:rPr>
          <w:rFonts w:ascii="Times New Roman" w:hAnsi="Times New Roman"/>
          <w:bCs/>
          <w:sz w:val="24"/>
          <w:szCs w:val="24"/>
        </w:rPr>
      </w:pPr>
    </w:p>
    <w:p w14:paraId="2DCD0040" w14:textId="5A128C91" w:rsidR="00096208" w:rsidRPr="00F17E34" w:rsidRDefault="003026D3" w:rsidP="003026D3">
      <w:pPr>
        <w:jc w:val="both"/>
        <w:rPr>
          <w:bCs/>
          <w:sz w:val="24"/>
          <w:szCs w:val="24"/>
        </w:rPr>
      </w:pPr>
      <w:r>
        <w:rPr>
          <w:rFonts w:ascii="Times New Roman" w:hAnsi="Times New Roman"/>
          <w:bCs/>
          <w:sz w:val="24"/>
          <w:szCs w:val="24"/>
        </w:rPr>
        <w:t xml:space="preserve">     </w:t>
      </w:r>
      <w:r w:rsidR="00096208" w:rsidRPr="000925E1">
        <w:rPr>
          <w:rFonts w:ascii="Times New Roman" w:hAnsi="Times New Roman"/>
          <w:bCs/>
          <w:sz w:val="24"/>
          <w:szCs w:val="24"/>
        </w:rPr>
        <w:t xml:space="preserve">Предлагается в качестве </w:t>
      </w:r>
      <w:r w:rsidR="00096208">
        <w:rPr>
          <w:rFonts w:ascii="Times New Roman" w:hAnsi="Times New Roman"/>
          <w:bCs/>
          <w:sz w:val="24"/>
          <w:szCs w:val="24"/>
        </w:rPr>
        <w:t>«</w:t>
      </w:r>
      <w:r w:rsidR="00096208" w:rsidRPr="000925E1">
        <w:rPr>
          <w:rFonts w:ascii="Times New Roman" w:hAnsi="Times New Roman"/>
          <w:bCs/>
          <w:sz w:val="24"/>
          <w:szCs w:val="24"/>
        </w:rPr>
        <w:t>пилота</w:t>
      </w:r>
      <w:r w:rsidR="00096208">
        <w:rPr>
          <w:rFonts w:ascii="Times New Roman" w:hAnsi="Times New Roman"/>
          <w:bCs/>
          <w:sz w:val="24"/>
          <w:szCs w:val="24"/>
        </w:rPr>
        <w:t>»</w:t>
      </w:r>
      <w:r w:rsidR="00096208" w:rsidRPr="000925E1">
        <w:rPr>
          <w:rFonts w:ascii="Times New Roman" w:hAnsi="Times New Roman"/>
          <w:bCs/>
          <w:sz w:val="24"/>
          <w:szCs w:val="24"/>
        </w:rPr>
        <w:t xml:space="preserve"> в 2018 году предоставить участникам клиринга новый внебиржевой сервис по заключению сделок купли-продажи валют EUR/USD спот.</w:t>
      </w:r>
      <w:r w:rsidR="008C16DC">
        <w:rPr>
          <w:rFonts w:ascii="Times New Roman" w:hAnsi="Times New Roman"/>
          <w:bCs/>
          <w:sz w:val="24"/>
          <w:szCs w:val="24"/>
        </w:rPr>
        <w:t xml:space="preserve"> </w:t>
      </w:r>
      <w:r w:rsidR="00096208" w:rsidRPr="000925E1">
        <w:rPr>
          <w:rFonts w:ascii="Times New Roman" w:hAnsi="Times New Roman"/>
          <w:bCs/>
          <w:sz w:val="24"/>
          <w:szCs w:val="24"/>
        </w:rPr>
        <w:t>В перспективе 2019 – 2020 гг. – свопы, валютные пары G10 за доллары США, а также подключение к модели активов с других рынков (металлы, иностранные бумаги,</w:t>
      </w:r>
      <w:r w:rsidR="00096208" w:rsidRPr="00F17E34">
        <w:rPr>
          <w:bCs/>
          <w:sz w:val="24"/>
          <w:szCs w:val="24"/>
        </w:rPr>
        <w:t xml:space="preserve"> </w:t>
      </w:r>
      <w:r w:rsidR="00096208" w:rsidRPr="000925E1">
        <w:rPr>
          <w:rFonts w:ascii="Times New Roman" w:hAnsi="Times New Roman"/>
          <w:bCs/>
          <w:sz w:val="24"/>
          <w:szCs w:val="24"/>
        </w:rPr>
        <w:t>облигации, индексы).</w:t>
      </w:r>
    </w:p>
    <w:p w14:paraId="2C8F4FE6" w14:textId="77777777" w:rsidR="00096208" w:rsidRDefault="00096208" w:rsidP="00096208">
      <w:pPr>
        <w:ind w:firstLine="567"/>
        <w:jc w:val="both"/>
        <w:rPr>
          <w:bCs/>
          <w:sz w:val="24"/>
          <w:szCs w:val="24"/>
        </w:rPr>
      </w:pPr>
    </w:p>
    <w:p w14:paraId="10F8EA52" w14:textId="6043B5FF" w:rsidR="00096208" w:rsidRPr="00423A22" w:rsidRDefault="00096208" w:rsidP="00096208">
      <w:pPr>
        <w:spacing w:after="120" w:line="276" w:lineRule="auto"/>
        <w:ind w:firstLine="708"/>
        <w:jc w:val="both"/>
        <w:rPr>
          <w:sz w:val="24"/>
          <w:szCs w:val="24"/>
        </w:rPr>
      </w:pPr>
    </w:p>
    <w:p w14:paraId="2F440A16" w14:textId="77777777" w:rsidR="00590D65" w:rsidRDefault="00590D65" w:rsidP="00096208">
      <w:pPr>
        <w:keepNext/>
        <w:tabs>
          <w:tab w:val="num" w:pos="851"/>
        </w:tabs>
        <w:spacing w:before="360"/>
        <w:ind w:left="851" w:hanging="851"/>
        <w:jc w:val="center"/>
        <w:rPr>
          <w:rFonts w:ascii="Times New Roman" w:hAnsi="Times New Roman"/>
          <w:b/>
          <w:sz w:val="24"/>
          <w:szCs w:val="24"/>
        </w:rPr>
      </w:pPr>
    </w:p>
    <w:p w14:paraId="3842155F" w14:textId="136E836B" w:rsidR="00096208" w:rsidRPr="00AC22C6" w:rsidRDefault="00096208" w:rsidP="00096208">
      <w:pPr>
        <w:keepNext/>
        <w:tabs>
          <w:tab w:val="num" w:pos="851"/>
        </w:tabs>
        <w:spacing w:before="360"/>
        <w:ind w:left="851" w:hanging="851"/>
        <w:jc w:val="center"/>
        <w:rPr>
          <w:rFonts w:ascii="Times New Roman" w:hAnsi="Times New Roman"/>
          <w:b/>
          <w:i/>
          <w:sz w:val="24"/>
          <w:szCs w:val="24"/>
        </w:rPr>
      </w:pPr>
      <w:r w:rsidRPr="00AC22C6">
        <w:rPr>
          <w:rFonts w:ascii="Times New Roman" w:hAnsi="Times New Roman"/>
          <w:b/>
          <w:sz w:val="24"/>
          <w:szCs w:val="24"/>
        </w:rPr>
        <w:t xml:space="preserve">Г. </w:t>
      </w:r>
      <w:r w:rsidRPr="00AC22C6">
        <w:rPr>
          <w:rFonts w:ascii="Times New Roman" w:hAnsi="Times New Roman"/>
          <w:b/>
          <w:i/>
          <w:sz w:val="24"/>
          <w:szCs w:val="24"/>
        </w:rPr>
        <w:t>Повышение уровня прозрачности НКЦ для участников клиринга и раскрытие количественной информации о деятельности НКЦ, как центрального контрагента, с учетом требований Банка России к НКО</w:t>
      </w:r>
      <w:r w:rsidR="00115E94">
        <w:rPr>
          <w:rFonts w:ascii="Times New Roman" w:hAnsi="Times New Roman"/>
          <w:b/>
          <w:i/>
          <w:sz w:val="24"/>
          <w:szCs w:val="24"/>
        </w:rPr>
        <w:t>-</w:t>
      </w:r>
      <w:r w:rsidRPr="00AC22C6">
        <w:rPr>
          <w:rFonts w:ascii="Times New Roman" w:hAnsi="Times New Roman"/>
          <w:b/>
          <w:i/>
          <w:sz w:val="24"/>
          <w:szCs w:val="24"/>
        </w:rPr>
        <w:t>ЦК и лучших международных практик.</w:t>
      </w:r>
    </w:p>
    <w:p w14:paraId="5A3A9F39" w14:textId="5A01631E" w:rsidR="00096208" w:rsidRPr="00AC22C6" w:rsidRDefault="00096208" w:rsidP="00115E94">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     </w:t>
      </w:r>
      <w:r w:rsidRPr="00AC22C6">
        <w:rPr>
          <w:rFonts w:ascii="Times New Roman" w:hAnsi="Times New Roman"/>
          <w:sz w:val="24"/>
          <w:szCs w:val="24"/>
        </w:rPr>
        <w:t xml:space="preserve">С учетом смены статуса НКЦ с банка на НКО-ЦК для НКЦ в 2018 году станут применимы требования Банка России в части детального раскрытия информации о деятельности ЦК по аналогии с раскрытием, которое НКЦ осуществляет в соответствии с международными стандартами </w:t>
      </w:r>
      <w:r w:rsidRPr="00AC22C6">
        <w:rPr>
          <w:rFonts w:ascii="Times New Roman" w:hAnsi="Times New Roman"/>
          <w:sz w:val="24"/>
          <w:szCs w:val="24"/>
          <w:lang w:val="en-US"/>
        </w:rPr>
        <w:t>CPMI</w:t>
      </w:r>
      <w:r w:rsidRPr="00AC22C6">
        <w:rPr>
          <w:rFonts w:ascii="Times New Roman" w:hAnsi="Times New Roman"/>
          <w:sz w:val="24"/>
          <w:szCs w:val="24"/>
        </w:rPr>
        <w:t>-</w:t>
      </w:r>
      <w:r w:rsidRPr="00AC22C6">
        <w:rPr>
          <w:rFonts w:ascii="Times New Roman" w:hAnsi="Times New Roman"/>
          <w:sz w:val="24"/>
          <w:szCs w:val="24"/>
          <w:lang w:val="en-US"/>
        </w:rPr>
        <w:t>IOSCO</w:t>
      </w:r>
      <w:r w:rsidRPr="00AC22C6">
        <w:rPr>
          <w:rFonts w:ascii="Times New Roman" w:hAnsi="Times New Roman"/>
          <w:sz w:val="24"/>
          <w:szCs w:val="24"/>
        </w:rPr>
        <w:t>. Требования Банка России во многом идентичны международным стандартам, однако содержат расширенный набор раскрываемых полей и предполагают раскрытие информации на русском языке. В рамках количественного раскрытия планируется также раскрывать значения отдельных нормативов ЦК и их компонентов.</w:t>
      </w:r>
    </w:p>
    <w:p w14:paraId="15FB3303" w14:textId="77777777" w:rsidR="00096208" w:rsidRDefault="00096208" w:rsidP="00096208">
      <w:pPr>
        <w:spacing w:after="120"/>
        <w:ind w:firstLine="708"/>
        <w:jc w:val="both"/>
        <w:rPr>
          <w:sz w:val="24"/>
          <w:szCs w:val="24"/>
        </w:rPr>
      </w:pPr>
    </w:p>
    <w:p w14:paraId="60E0C3BE" w14:textId="77777777" w:rsidR="00096208" w:rsidRPr="00EB1429" w:rsidRDefault="00096208" w:rsidP="00096208">
      <w:pPr>
        <w:spacing w:after="120"/>
        <w:ind w:firstLine="708"/>
        <w:jc w:val="both"/>
        <w:rPr>
          <w:sz w:val="24"/>
          <w:szCs w:val="24"/>
        </w:rPr>
      </w:pPr>
    </w:p>
    <w:p w14:paraId="29C23F12" w14:textId="25616B16" w:rsidR="00096208" w:rsidRPr="00115E94" w:rsidRDefault="00096208" w:rsidP="00096208">
      <w:pPr>
        <w:spacing w:after="120"/>
        <w:ind w:firstLine="708"/>
        <w:jc w:val="both"/>
        <w:rPr>
          <w:rFonts w:ascii="Times New Roman" w:hAnsi="Times New Roman"/>
          <w:b/>
          <w:i/>
          <w:sz w:val="24"/>
          <w:szCs w:val="24"/>
        </w:rPr>
      </w:pPr>
      <w:r w:rsidRPr="00115E94">
        <w:rPr>
          <w:rFonts w:ascii="Times New Roman" w:hAnsi="Times New Roman"/>
          <w:b/>
          <w:i/>
          <w:sz w:val="24"/>
          <w:szCs w:val="24"/>
        </w:rPr>
        <w:t>Д. Осуществление собственных</w:t>
      </w:r>
      <w:r w:rsidR="00115E94" w:rsidRPr="00115E94">
        <w:rPr>
          <w:rFonts w:ascii="Times New Roman" w:hAnsi="Times New Roman"/>
          <w:b/>
          <w:i/>
          <w:sz w:val="24"/>
          <w:szCs w:val="24"/>
        </w:rPr>
        <w:t xml:space="preserve"> </w:t>
      </w:r>
      <w:r w:rsidRPr="00115E94">
        <w:rPr>
          <w:rFonts w:ascii="Times New Roman" w:hAnsi="Times New Roman"/>
          <w:b/>
          <w:i/>
          <w:sz w:val="24"/>
          <w:szCs w:val="24"/>
        </w:rPr>
        <w:t>операции на финансовых рынках</w:t>
      </w:r>
    </w:p>
    <w:p w14:paraId="7AEBFE45" w14:textId="77777777" w:rsidR="00115E94" w:rsidRDefault="00115E94" w:rsidP="00115E94">
      <w:pPr>
        <w:spacing w:after="200"/>
        <w:jc w:val="both"/>
        <w:rPr>
          <w:rFonts w:ascii="Times New Roman" w:hAnsi="Times New Roman"/>
          <w:b/>
          <w:sz w:val="24"/>
          <w:szCs w:val="24"/>
        </w:rPr>
      </w:pPr>
      <w:r>
        <w:rPr>
          <w:rFonts w:ascii="Times New Roman" w:hAnsi="Times New Roman"/>
          <w:b/>
          <w:sz w:val="24"/>
          <w:szCs w:val="24"/>
        </w:rPr>
        <w:t xml:space="preserve">     </w:t>
      </w:r>
    </w:p>
    <w:p w14:paraId="56F357BD" w14:textId="2A82A3D9" w:rsidR="00115E94" w:rsidRDefault="00115E94" w:rsidP="00115E94">
      <w:pPr>
        <w:spacing w:after="200"/>
        <w:jc w:val="both"/>
        <w:rPr>
          <w:rFonts w:ascii="Times New Roman" w:eastAsia="Times New Roman" w:hAnsi="Times New Roman"/>
          <w:sz w:val="24"/>
          <w:szCs w:val="24"/>
          <w:lang w:eastAsia="ru-RU"/>
        </w:rPr>
      </w:pPr>
      <w:r>
        <w:rPr>
          <w:rFonts w:ascii="Times New Roman" w:hAnsi="Times New Roman"/>
          <w:b/>
          <w:sz w:val="24"/>
          <w:szCs w:val="24"/>
        </w:rPr>
        <w:t xml:space="preserve">     </w:t>
      </w:r>
      <w:r w:rsidR="00096208" w:rsidRPr="000009F0">
        <w:rPr>
          <w:rFonts w:ascii="Times New Roman" w:hAnsi="Times New Roman"/>
          <w:bCs/>
          <w:sz w:val="24"/>
          <w:szCs w:val="24"/>
        </w:rPr>
        <w:t>В 201</w:t>
      </w:r>
      <w:r w:rsidR="00096208">
        <w:rPr>
          <w:rFonts w:ascii="Times New Roman" w:hAnsi="Times New Roman"/>
          <w:bCs/>
          <w:sz w:val="24"/>
          <w:szCs w:val="24"/>
        </w:rPr>
        <w:t>8</w:t>
      </w:r>
      <w:r w:rsidR="00096208" w:rsidRPr="000009F0">
        <w:rPr>
          <w:rFonts w:ascii="Times New Roman" w:hAnsi="Times New Roman"/>
          <w:bCs/>
          <w:sz w:val="24"/>
          <w:szCs w:val="24"/>
        </w:rPr>
        <w:t xml:space="preserve"> году деятельность НКЦ на финансовых рынках будут осуществляться с целью управления ликвидностью с учетом клиринговой деятельности центрального контрагента и собственных операций на рынках; выполнения процедур дефолт-менеджмента; управления портфелем активов для получения дохода в соответствии с плановым заданием акционера.</w:t>
      </w:r>
      <w:r w:rsidR="00096208" w:rsidRPr="000009F0">
        <w:rPr>
          <w:rFonts w:ascii="Times New Roman" w:eastAsia="Times New Roman" w:hAnsi="Times New Roman"/>
          <w:sz w:val="24"/>
          <w:szCs w:val="24"/>
          <w:lang w:eastAsia="ru-RU"/>
        </w:rPr>
        <w:t xml:space="preserve"> </w:t>
      </w:r>
    </w:p>
    <w:p w14:paraId="5A305E4C" w14:textId="6DCA09EF" w:rsidR="00096208" w:rsidRPr="00115E94" w:rsidRDefault="00115E94" w:rsidP="00115E94">
      <w:pPr>
        <w:spacing w:after="20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096208" w:rsidRPr="001E3E8C">
        <w:rPr>
          <w:rFonts w:ascii="Times New Roman" w:hAnsi="Times New Roman"/>
          <w:sz w:val="24"/>
          <w:szCs w:val="24"/>
        </w:rPr>
        <w:t>Как ожидается, основные</w:t>
      </w:r>
      <w:r w:rsidR="00096208" w:rsidRPr="000009F0">
        <w:rPr>
          <w:rFonts w:ascii="Times New Roman" w:hAnsi="Times New Roman"/>
          <w:sz w:val="24"/>
          <w:szCs w:val="24"/>
        </w:rPr>
        <w:t xml:space="preserve"> изменения казначейских операций в 2018 году </w:t>
      </w:r>
      <w:r w:rsidR="00096208">
        <w:rPr>
          <w:rFonts w:ascii="Times New Roman" w:hAnsi="Times New Roman"/>
          <w:sz w:val="24"/>
          <w:szCs w:val="24"/>
        </w:rPr>
        <w:t>произойдут</w:t>
      </w:r>
      <w:r w:rsidR="00096208" w:rsidRPr="000009F0">
        <w:rPr>
          <w:rFonts w:ascii="Times New Roman" w:hAnsi="Times New Roman"/>
          <w:sz w:val="24"/>
          <w:szCs w:val="24"/>
        </w:rPr>
        <w:t xml:space="preserve"> в области управления ликвидностью. Частично это </w:t>
      </w:r>
      <w:r w:rsidR="00096208">
        <w:rPr>
          <w:rFonts w:ascii="Times New Roman" w:hAnsi="Times New Roman"/>
          <w:sz w:val="24"/>
          <w:szCs w:val="24"/>
        </w:rPr>
        <w:t>будет</w:t>
      </w:r>
      <w:r w:rsidR="00096208" w:rsidRPr="000009F0">
        <w:rPr>
          <w:rFonts w:ascii="Times New Roman" w:hAnsi="Times New Roman"/>
          <w:sz w:val="24"/>
          <w:szCs w:val="24"/>
        </w:rPr>
        <w:t xml:space="preserve"> связано с изменением продуктовой линейки Московской Биржи</w:t>
      </w:r>
      <w:r w:rsidR="00096208">
        <w:rPr>
          <w:rFonts w:ascii="Times New Roman" w:hAnsi="Times New Roman"/>
          <w:sz w:val="24"/>
          <w:szCs w:val="24"/>
        </w:rPr>
        <w:t>,</w:t>
      </w:r>
      <w:r w:rsidR="00096208" w:rsidRPr="000009F0">
        <w:rPr>
          <w:rFonts w:ascii="Times New Roman" w:hAnsi="Times New Roman"/>
          <w:sz w:val="24"/>
          <w:szCs w:val="24"/>
        </w:rPr>
        <w:t xml:space="preserve"> таким как начало торгов турецкой лирой и японской йеной, </w:t>
      </w:r>
      <w:r w:rsidR="00096208">
        <w:rPr>
          <w:rFonts w:ascii="Times New Roman" w:hAnsi="Times New Roman"/>
          <w:sz w:val="24"/>
          <w:szCs w:val="24"/>
        </w:rPr>
        <w:t xml:space="preserve">а также с </w:t>
      </w:r>
      <w:r w:rsidR="00096208" w:rsidRPr="000009F0">
        <w:rPr>
          <w:rFonts w:ascii="Times New Roman" w:hAnsi="Times New Roman"/>
          <w:sz w:val="24"/>
          <w:szCs w:val="24"/>
        </w:rPr>
        <w:t>введение</w:t>
      </w:r>
      <w:r w:rsidR="00096208">
        <w:rPr>
          <w:rFonts w:ascii="Times New Roman" w:hAnsi="Times New Roman"/>
          <w:sz w:val="24"/>
          <w:szCs w:val="24"/>
        </w:rPr>
        <w:t>м</w:t>
      </w:r>
      <w:r w:rsidR="00096208" w:rsidRPr="000009F0">
        <w:rPr>
          <w:rFonts w:ascii="Times New Roman" w:hAnsi="Times New Roman"/>
          <w:sz w:val="24"/>
          <w:szCs w:val="24"/>
        </w:rPr>
        <w:t xml:space="preserve"> </w:t>
      </w:r>
      <w:r w:rsidR="00096208">
        <w:rPr>
          <w:rFonts w:ascii="Times New Roman" w:hAnsi="Times New Roman"/>
          <w:sz w:val="24"/>
          <w:szCs w:val="24"/>
        </w:rPr>
        <w:t>е</w:t>
      </w:r>
      <w:r w:rsidR="00096208" w:rsidRPr="000009F0">
        <w:rPr>
          <w:rFonts w:ascii="Times New Roman" w:hAnsi="Times New Roman"/>
          <w:sz w:val="24"/>
          <w:szCs w:val="24"/>
        </w:rPr>
        <w:t>диного лимита для участников клиринга. Еще более существенное влияние на казначейские операции может оказать переход банковской системы России на перспективную платежную систему, изменяющую временные интервалы для проведения платежей, и, как следствие, условия расчетов по клирингу. Изменение границ операционного дня центрального контрагента может отразиться и на временных периодах межбанковских операций, что может повлиять на эффективность размещения денежных средств и, в конечном итоге, на размер процентного дохода.</w:t>
      </w:r>
      <w:r w:rsidR="00096208">
        <w:rPr>
          <w:rFonts w:ascii="Times New Roman" w:hAnsi="Times New Roman"/>
          <w:sz w:val="24"/>
          <w:szCs w:val="24"/>
        </w:rPr>
        <w:t xml:space="preserve"> </w:t>
      </w:r>
      <w:r w:rsidR="00096208" w:rsidRPr="000009F0">
        <w:rPr>
          <w:rFonts w:ascii="Times New Roman" w:hAnsi="Times New Roman"/>
          <w:sz w:val="24"/>
          <w:szCs w:val="24"/>
        </w:rPr>
        <w:t xml:space="preserve">Таким образом, потребуется изменение стратегии управления активами для достижения оптимального соотношения денежных потоков по казначейским и клиринговым операциям. </w:t>
      </w:r>
    </w:p>
    <w:p w14:paraId="371FD8FF" w14:textId="507DC885" w:rsidR="00096208" w:rsidRPr="000009F0" w:rsidRDefault="00115E94" w:rsidP="00115E94">
      <w:pPr>
        <w:jc w:val="both"/>
        <w:rPr>
          <w:rFonts w:ascii="Times New Roman" w:hAnsi="Times New Roman"/>
          <w:sz w:val="24"/>
          <w:szCs w:val="24"/>
        </w:rPr>
      </w:pPr>
      <w:r>
        <w:rPr>
          <w:rFonts w:ascii="Times New Roman" w:hAnsi="Times New Roman"/>
          <w:sz w:val="24"/>
          <w:szCs w:val="24"/>
        </w:rPr>
        <w:t xml:space="preserve">     </w:t>
      </w:r>
      <w:r w:rsidR="00096208" w:rsidRPr="000009F0">
        <w:rPr>
          <w:rFonts w:ascii="Times New Roman" w:hAnsi="Times New Roman"/>
          <w:sz w:val="24"/>
          <w:szCs w:val="24"/>
        </w:rPr>
        <w:t xml:space="preserve"> С точки зрения структуры портфелей ценных бумаг основные изменения могут быть связаны с существенным уменьшением ключевой ставки по российским рублям при одновременном увеличении учетной ставки по долларам США. Такие изменения могут привести к смене ориентиров участников рынка, в частности, по операциям </w:t>
      </w:r>
      <w:r w:rsidR="00096208" w:rsidRPr="000009F0">
        <w:rPr>
          <w:rFonts w:ascii="Times New Roman" w:hAnsi="Times New Roman"/>
          <w:sz w:val="24"/>
          <w:szCs w:val="24"/>
          <w:lang w:val="en-US"/>
        </w:rPr>
        <w:t>carry</w:t>
      </w:r>
      <w:r w:rsidR="00096208" w:rsidRPr="000009F0">
        <w:rPr>
          <w:rFonts w:ascii="Times New Roman" w:hAnsi="Times New Roman"/>
          <w:sz w:val="24"/>
          <w:szCs w:val="24"/>
        </w:rPr>
        <w:t xml:space="preserve"> </w:t>
      </w:r>
      <w:r w:rsidR="00096208" w:rsidRPr="000009F0">
        <w:rPr>
          <w:rFonts w:ascii="Times New Roman" w:hAnsi="Times New Roman"/>
          <w:sz w:val="24"/>
          <w:szCs w:val="24"/>
          <w:lang w:val="en-US"/>
        </w:rPr>
        <w:t>trade</w:t>
      </w:r>
      <w:r w:rsidR="00096208" w:rsidRPr="000009F0">
        <w:rPr>
          <w:rFonts w:ascii="Times New Roman" w:hAnsi="Times New Roman"/>
          <w:sz w:val="24"/>
          <w:szCs w:val="24"/>
        </w:rPr>
        <w:t>. В такой ситуации возможно смещение активности казначейских операций из области ценных бумаг в область денежного рынка.</w:t>
      </w:r>
    </w:p>
    <w:p w14:paraId="5BD4846E" w14:textId="77777777" w:rsidR="00B51D58" w:rsidRPr="00805127" w:rsidRDefault="00B51D58" w:rsidP="00B51D58">
      <w:pPr>
        <w:spacing w:after="120"/>
        <w:ind w:left="1287"/>
        <w:jc w:val="both"/>
        <w:rPr>
          <w:rFonts w:ascii="Times New Roman" w:eastAsia="Calibri" w:hAnsi="Times New Roman"/>
          <w:sz w:val="24"/>
          <w:szCs w:val="24"/>
        </w:rPr>
      </w:pPr>
    </w:p>
    <w:p w14:paraId="02E948FB" w14:textId="77777777" w:rsidR="00805127" w:rsidRPr="00DF5FDC" w:rsidRDefault="00805127" w:rsidP="00DF5FDC">
      <w:pPr>
        <w:widowControl w:val="0"/>
        <w:overflowPunct w:val="0"/>
        <w:autoSpaceDE w:val="0"/>
        <w:autoSpaceDN w:val="0"/>
        <w:adjustRightInd w:val="0"/>
        <w:ind w:firstLine="567"/>
        <w:jc w:val="both"/>
        <w:textAlignment w:val="baseline"/>
        <w:rPr>
          <w:rFonts w:ascii="Times New Roman" w:eastAsia="Times New Roman" w:hAnsi="Times New Roman"/>
          <w:sz w:val="24"/>
          <w:szCs w:val="24"/>
          <w:lang w:eastAsia="ru-RU"/>
        </w:rPr>
      </w:pPr>
    </w:p>
    <w:p w14:paraId="4AA17091" w14:textId="77777777" w:rsidR="00C91EF4" w:rsidRDefault="00C91EF4" w:rsidP="00C91EF4">
      <w:pPr>
        <w:tabs>
          <w:tab w:val="left" w:pos="8820"/>
        </w:tabs>
        <w:ind w:right="76"/>
        <w:jc w:val="both"/>
        <w:rPr>
          <w:rFonts w:ascii="Arial" w:hAnsi="Arial" w:cs="Arial"/>
          <w:b/>
          <w:sz w:val="28"/>
          <w:szCs w:val="28"/>
        </w:rPr>
      </w:pPr>
    </w:p>
    <w:p w14:paraId="20A9E6D5" w14:textId="77777777" w:rsidR="00590D65" w:rsidRDefault="00590D65" w:rsidP="00EA71B4">
      <w:pPr>
        <w:widowControl w:val="0"/>
        <w:overflowPunct w:val="0"/>
        <w:autoSpaceDE w:val="0"/>
        <w:autoSpaceDN w:val="0"/>
        <w:adjustRightInd w:val="0"/>
        <w:ind w:firstLine="360"/>
        <w:jc w:val="center"/>
        <w:textAlignment w:val="baseline"/>
        <w:outlineLvl w:val="0"/>
        <w:rPr>
          <w:rFonts w:ascii="Times New Roman" w:eastAsia="Times New Roman" w:hAnsi="Times New Roman" w:cs="Arial"/>
          <w:b/>
          <w:sz w:val="28"/>
          <w:szCs w:val="28"/>
          <w:lang w:eastAsia="ru-RU"/>
        </w:rPr>
      </w:pPr>
    </w:p>
    <w:p w14:paraId="31094223" w14:textId="77777777" w:rsidR="00590D65" w:rsidRDefault="00590D65" w:rsidP="00EA71B4">
      <w:pPr>
        <w:widowControl w:val="0"/>
        <w:overflowPunct w:val="0"/>
        <w:autoSpaceDE w:val="0"/>
        <w:autoSpaceDN w:val="0"/>
        <w:adjustRightInd w:val="0"/>
        <w:ind w:firstLine="360"/>
        <w:jc w:val="center"/>
        <w:textAlignment w:val="baseline"/>
        <w:outlineLvl w:val="0"/>
        <w:rPr>
          <w:rFonts w:ascii="Times New Roman" w:eastAsia="Times New Roman" w:hAnsi="Times New Roman" w:cs="Arial"/>
          <w:b/>
          <w:sz w:val="28"/>
          <w:szCs w:val="28"/>
          <w:lang w:eastAsia="ru-RU"/>
        </w:rPr>
      </w:pPr>
    </w:p>
    <w:p w14:paraId="2E684B0A" w14:textId="77777777" w:rsidR="00D249C7" w:rsidRPr="007A0F11" w:rsidRDefault="00D249C7" w:rsidP="00EA71B4">
      <w:pPr>
        <w:widowControl w:val="0"/>
        <w:overflowPunct w:val="0"/>
        <w:autoSpaceDE w:val="0"/>
        <w:autoSpaceDN w:val="0"/>
        <w:adjustRightInd w:val="0"/>
        <w:ind w:firstLine="360"/>
        <w:jc w:val="center"/>
        <w:textAlignment w:val="baseline"/>
        <w:outlineLvl w:val="0"/>
        <w:rPr>
          <w:rFonts w:ascii="Times New Roman" w:hAnsi="Times New Roman"/>
          <w:b/>
          <w:sz w:val="32"/>
          <w:szCs w:val="32"/>
        </w:rPr>
      </w:pPr>
      <w:bookmarkStart w:id="5" w:name="_Toc510776654"/>
      <w:r w:rsidRPr="007A0F11">
        <w:rPr>
          <w:rFonts w:ascii="Times New Roman" w:eastAsia="Times New Roman" w:hAnsi="Times New Roman" w:cs="Arial"/>
          <w:b/>
          <w:sz w:val="32"/>
          <w:szCs w:val="32"/>
          <w:lang w:eastAsia="ru-RU"/>
        </w:rPr>
        <w:t>5.Результаты развития по основным (приоритетным) направлениям деятельности</w:t>
      </w:r>
      <w:bookmarkEnd w:id="5"/>
      <w:r w:rsidR="00EB1CB7" w:rsidRPr="007A0F11">
        <w:rPr>
          <w:rFonts w:ascii="Times New Roman" w:hAnsi="Times New Roman"/>
          <w:b/>
          <w:sz w:val="32"/>
          <w:szCs w:val="32"/>
        </w:rPr>
        <w:t xml:space="preserve"> </w:t>
      </w:r>
    </w:p>
    <w:p w14:paraId="72137960" w14:textId="77777777" w:rsidR="00D249C7" w:rsidRPr="007A0F11" w:rsidRDefault="00D249C7" w:rsidP="00D249C7">
      <w:pPr>
        <w:tabs>
          <w:tab w:val="left" w:pos="8820"/>
        </w:tabs>
        <w:ind w:right="76"/>
        <w:jc w:val="center"/>
        <w:rPr>
          <w:rFonts w:ascii="Times New Roman" w:hAnsi="Times New Roman"/>
          <w:b/>
          <w:sz w:val="32"/>
          <w:szCs w:val="32"/>
        </w:rPr>
      </w:pPr>
    </w:p>
    <w:p w14:paraId="7024414C" w14:textId="2F759AE0" w:rsidR="00D249C7" w:rsidRPr="00EA71B4" w:rsidRDefault="00D249C7" w:rsidP="00447135">
      <w:pPr>
        <w:pStyle w:val="2"/>
        <w:jc w:val="center"/>
        <w:rPr>
          <w:rFonts w:ascii="Times New Roman" w:hAnsi="Times New Roman" w:cs="Times New Roman"/>
          <w:b/>
          <w:color w:val="000000" w:themeColor="text1"/>
          <w:sz w:val="28"/>
          <w:szCs w:val="28"/>
        </w:rPr>
      </w:pPr>
      <w:bookmarkStart w:id="6" w:name="_Toc510776655"/>
      <w:r w:rsidRPr="00EA71B4">
        <w:rPr>
          <w:rFonts w:ascii="Times New Roman" w:hAnsi="Times New Roman" w:cs="Times New Roman"/>
          <w:b/>
          <w:color w:val="000000" w:themeColor="text1"/>
          <w:sz w:val="28"/>
          <w:szCs w:val="28"/>
        </w:rPr>
        <w:t>5.1 Клиринговая деятельность на валютном рынке и рынке драгоценных металлов</w:t>
      </w:r>
      <w:bookmarkEnd w:id="6"/>
    </w:p>
    <w:p w14:paraId="4DC34B28" w14:textId="77777777" w:rsidR="00EA71B4" w:rsidRPr="00EA71B4" w:rsidRDefault="00EA71B4" w:rsidP="00EA71B4"/>
    <w:p w14:paraId="39E9F054" w14:textId="5B06A144" w:rsidR="00D249C7" w:rsidRPr="000F4CBD" w:rsidRDefault="00446742" w:rsidP="00446742">
      <w:pPr>
        <w:jc w:val="both"/>
        <w:rPr>
          <w:rFonts w:ascii="Times New Roman" w:eastAsia="Calibri" w:hAnsi="Times New Roman"/>
          <w:noProof/>
          <w:sz w:val="24"/>
          <w:szCs w:val="24"/>
        </w:rPr>
      </w:pPr>
      <w:r>
        <w:rPr>
          <w:rFonts w:ascii="Times New Roman" w:eastAsia="Calibri" w:hAnsi="Times New Roman"/>
          <w:noProof/>
          <w:sz w:val="24"/>
          <w:szCs w:val="24"/>
        </w:rPr>
        <w:t xml:space="preserve">     </w:t>
      </w:r>
      <w:r w:rsidR="00D249C7" w:rsidRPr="000F4CBD">
        <w:rPr>
          <w:rFonts w:ascii="Times New Roman" w:hAnsi="Times New Roman"/>
          <w:bCs/>
          <w:sz w:val="24"/>
          <w:szCs w:val="24"/>
        </w:rPr>
        <w:t>Валютный рынок Московской Биржи является старейшим в России организованным биржевым рынком, на котором с 1992 г. проводятся торги иностранной валютой, а с 2013 года развивается торговля и клиринг по операциям с драгоценными металлами. Биржевой валютный рынок является центром ликвидности по денежным операциям и важнейшим сегментом национальной финансовой системы. Банк России использует биржевой валютный рынок для реализации своей денежно-кредитной политики и определяет официальные курсы доллара США и других иностранных валют по отношению к рублю, используя результаты биржевых торгов. На основе фиксинга Московской Биржи также рассчитывается цены исполнения фьючерсных контрактов на курс иностранной валюты.</w:t>
      </w:r>
    </w:p>
    <w:p w14:paraId="3893C2F5" w14:textId="77777777" w:rsidR="00446742" w:rsidRDefault="00446742" w:rsidP="00446742">
      <w:pPr>
        <w:jc w:val="both"/>
        <w:rPr>
          <w:rFonts w:ascii="Times New Roman" w:hAnsi="Times New Roman"/>
          <w:bCs/>
          <w:sz w:val="24"/>
          <w:szCs w:val="24"/>
        </w:rPr>
      </w:pPr>
    </w:p>
    <w:p w14:paraId="5EB599C2" w14:textId="5DE534F1" w:rsidR="00D249C7" w:rsidRPr="000F4CBD" w:rsidRDefault="00446742" w:rsidP="00446742">
      <w:pPr>
        <w:jc w:val="both"/>
        <w:rPr>
          <w:rFonts w:ascii="Times New Roman" w:hAnsi="Times New Roman"/>
          <w:bCs/>
          <w:sz w:val="24"/>
          <w:szCs w:val="24"/>
        </w:rPr>
      </w:pPr>
      <w:r>
        <w:rPr>
          <w:rFonts w:ascii="Times New Roman" w:hAnsi="Times New Roman"/>
          <w:bCs/>
          <w:sz w:val="24"/>
          <w:szCs w:val="24"/>
        </w:rPr>
        <w:t xml:space="preserve">     </w:t>
      </w:r>
      <w:r w:rsidR="00D249C7" w:rsidRPr="000F4CBD">
        <w:rPr>
          <w:rFonts w:ascii="Times New Roman" w:hAnsi="Times New Roman"/>
          <w:bCs/>
          <w:sz w:val="24"/>
          <w:szCs w:val="24"/>
        </w:rPr>
        <w:t>Сегодня валютный рынок и рынок драгоценных металлов Московской Биржи – это современный, отвечающий всем необходимым регулятивным и новейшим технологическим требованиям биржевой рынок, на котором проводятся организованные торги основными мировыми валютами и осуществляется основной объем валютных операций. Удобство и уникальность биржевого ва</w:t>
      </w:r>
      <w:r w:rsidR="00D249C7" w:rsidRPr="000F4CBD">
        <w:rPr>
          <w:rFonts w:ascii="Times New Roman" w:hAnsi="Times New Roman"/>
          <w:bCs/>
          <w:sz w:val="24"/>
          <w:szCs w:val="24"/>
        </w:rPr>
        <w:lastRenderedPageBreak/>
        <w:t>лютного рынка обеспечиваются единой трейдинговой и посттрейдинговой инфраструктурой Группы «Московская Биржа», предоставляющей своим клиентам полный спектр торговых, клиринговых, расчетных и информационных сервисов. Сделки заключаются в соответствии с п</w:t>
      </w:r>
      <w:hyperlink r:id="rId18" w:history="1">
        <w:r w:rsidR="00D249C7" w:rsidRPr="000F4CBD">
          <w:rPr>
            <w:rFonts w:ascii="Times New Roman" w:hAnsi="Times New Roman"/>
            <w:bCs/>
            <w:sz w:val="24"/>
            <w:szCs w:val="24"/>
          </w:rPr>
          <w:t>равилами организованных торгов ПАО Московская Биржа на валютном рынке и рынке драгоценных металлов</w:t>
        </w:r>
      </w:hyperlink>
      <w:r w:rsidR="00D249C7" w:rsidRPr="000F4CBD">
        <w:rPr>
          <w:rFonts w:ascii="Times New Roman" w:hAnsi="Times New Roman"/>
          <w:bCs/>
          <w:sz w:val="24"/>
          <w:szCs w:val="24"/>
        </w:rPr>
        <w:t xml:space="preserve"> в режиме двойного встречного аукциона. Заключение сделок происходит автоматически по мере ввода в систему заявок противоположного направления с удовлетворяющими друг друга ценами. Также предусмотрен отдельный режим для заключения внесистемных (адресных) сделок. Функции организатора торгов и технического центра выполняет ПАО Московская Биржа, функции клиринговой организации и центрального контрагента – НКЦ.</w:t>
      </w:r>
    </w:p>
    <w:p w14:paraId="7FB23CEC" w14:textId="77777777" w:rsidR="00446742" w:rsidRDefault="00D249C7" w:rsidP="00D249C7">
      <w:pPr>
        <w:tabs>
          <w:tab w:val="right" w:pos="9356"/>
        </w:tabs>
        <w:jc w:val="both"/>
        <w:rPr>
          <w:rFonts w:ascii="Times New Roman" w:eastAsia="Calibri" w:hAnsi="Times New Roman"/>
          <w:noProof/>
          <w:sz w:val="24"/>
          <w:szCs w:val="24"/>
        </w:rPr>
      </w:pPr>
      <w:r w:rsidRPr="000F4CBD">
        <w:rPr>
          <w:rFonts w:ascii="Times New Roman" w:eastAsia="Calibri" w:hAnsi="Times New Roman"/>
          <w:noProof/>
          <w:sz w:val="24"/>
          <w:szCs w:val="24"/>
        </w:rPr>
        <w:t xml:space="preserve">          </w:t>
      </w:r>
    </w:p>
    <w:p w14:paraId="77D8A01C" w14:textId="70169568" w:rsidR="00D249C7" w:rsidRPr="000F4CBD" w:rsidRDefault="00446742" w:rsidP="00D249C7">
      <w:pPr>
        <w:tabs>
          <w:tab w:val="right" w:pos="9356"/>
        </w:tabs>
        <w:jc w:val="both"/>
        <w:rPr>
          <w:rFonts w:ascii="Times New Roman" w:hAnsi="Times New Roman"/>
          <w:bCs/>
          <w:sz w:val="24"/>
          <w:szCs w:val="24"/>
        </w:rPr>
      </w:pPr>
      <w:r>
        <w:rPr>
          <w:rFonts w:ascii="Times New Roman" w:eastAsia="Calibri" w:hAnsi="Times New Roman"/>
          <w:noProof/>
          <w:sz w:val="24"/>
          <w:szCs w:val="24"/>
        </w:rPr>
        <w:t xml:space="preserve">     </w:t>
      </w:r>
      <w:r w:rsidR="00C64D35">
        <w:rPr>
          <w:rFonts w:ascii="Times New Roman" w:hAnsi="Times New Roman"/>
          <w:bCs/>
          <w:sz w:val="24"/>
          <w:szCs w:val="24"/>
        </w:rPr>
        <w:t xml:space="preserve">НКЦ </w:t>
      </w:r>
      <w:r w:rsidR="00D249C7" w:rsidRPr="000F4CBD">
        <w:rPr>
          <w:rFonts w:ascii="Times New Roman" w:hAnsi="Times New Roman"/>
          <w:bCs/>
          <w:sz w:val="24"/>
          <w:szCs w:val="24"/>
        </w:rPr>
        <w:t>осуществляет клиринг на валютном рынке с 10 декабря 2007 года. Клиринг и расчеты по сделкам, заключаемым на этом рынке, происходят с участием НКЦ, как центрального ко</w:t>
      </w:r>
      <w:r w:rsidR="00C64D35">
        <w:rPr>
          <w:rFonts w:ascii="Times New Roman" w:hAnsi="Times New Roman"/>
          <w:bCs/>
          <w:sz w:val="24"/>
          <w:szCs w:val="24"/>
        </w:rPr>
        <w:t>нтрагента. НКЦ</w:t>
      </w:r>
      <w:r w:rsidR="00D249C7" w:rsidRPr="000F4CBD">
        <w:rPr>
          <w:rFonts w:ascii="Times New Roman" w:hAnsi="Times New Roman"/>
          <w:bCs/>
          <w:sz w:val="24"/>
          <w:szCs w:val="24"/>
        </w:rPr>
        <w:t xml:space="preserve"> выполняет функции ЦК по всем заключаемым сделкам, гарантируя исполнение обязательств перед добросовестными участниками клиринга, что значительно снижает риски участников клиринга и избавляет их от необходимости определения лимитов друг на друга. Торги на валютном рынке проводятся с частичным обеспечением с использованием высокоэффективной и надежной с</w:t>
      </w:r>
      <w:hyperlink r:id="rId19" w:history="1">
        <w:r w:rsidR="00D249C7" w:rsidRPr="000F4CBD">
          <w:rPr>
            <w:rFonts w:ascii="Times New Roman" w:hAnsi="Times New Roman"/>
            <w:bCs/>
            <w:sz w:val="24"/>
            <w:szCs w:val="24"/>
          </w:rPr>
          <w:t>истемы управления рисками</w:t>
        </w:r>
      </w:hyperlink>
      <w:r w:rsidR="00D249C7" w:rsidRPr="000F4CBD">
        <w:rPr>
          <w:rFonts w:ascii="Times New Roman" w:hAnsi="Times New Roman"/>
          <w:bCs/>
          <w:sz w:val="24"/>
          <w:szCs w:val="24"/>
        </w:rPr>
        <w:t>.</w:t>
      </w:r>
    </w:p>
    <w:p w14:paraId="4C833CF2" w14:textId="77777777" w:rsidR="00D249C7" w:rsidRPr="000F4CBD" w:rsidRDefault="00D249C7" w:rsidP="00D249C7">
      <w:pPr>
        <w:tabs>
          <w:tab w:val="right" w:pos="9356"/>
        </w:tabs>
        <w:ind w:firstLine="709"/>
        <w:jc w:val="both"/>
        <w:rPr>
          <w:rFonts w:ascii="Times New Roman" w:eastAsia="Calibri" w:hAnsi="Times New Roman"/>
          <w:noProof/>
          <w:sz w:val="24"/>
          <w:szCs w:val="24"/>
        </w:rPr>
      </w:pPr>
    </w:p>
    <w:p w14:paraId="61C5E39B" w14:textId="485A3954" w:rsidR="00D249C7" w:rsidRPr="000F4CBD" w:rsidRDefault="00446742" w:rsidP="00446742">
      <w:pPr>
        <w:jc w:val="both"/>
        <w:rPr>
          <w:rFonts w:ascii="Times New Roman" w:hAnsi="Times New Roman"/>
          <w:bCs/>
          <w:sz w:val="24"/>
          <w:szCs w:val="24"/>
        </w:rPr>
      </w:pPr>
      <w:r>
        <w:rPr>
          <w:rFonts w:ascii="Times New Roman" w:eastAsia="Calibri" w:hAnsi="Times New Roman"/>
          <w:noProof/>
          <w:sz w:val="24"/>
          <w:szCs w:val="24"/>
        </w:rPr>
        <w:t xml:space="preserve">     </w:t>
      </w:r>
      <w:r w:rsidR="00D249C7" w:rsidRPr="000F4CBD">
        <w:rPr>
          <w:rFonts w:ascii="Times New Roman" w:hAnsi="Times New Roman"/>
          <w:bCs/>
          <w:sz w:val="24"/>
          <w:szCs w:val="24"/>
        </w:rPr>
        <w:t>Клиринг осуществляется НКЦ в соответствии с П</w:t>
      </w:r>
      <w:hyperlink r:id="rId20" w:history="1">
        <w:r w:rsidR="00D249C7" w:rsidRPr="000F4CBD">
          <w:rPr>
            <w:rFonts w:ascii="Times New Roman" w:hAnsi="Times New Roman"/>
            <w:bCs/>
            <w:sz w:val="24"/>
            <w:szCs w:val="24"/>
          </w:rPr>
          <w:t>равилами клиринга.</w:t>
        </w:r>
      </w:hyperlink>
      <w:r w:rsidR="00D249C7" w:rsidRPr="000F4CBD">
        <w:rPr>
          <w:rFonts w:ascii="Times New Roman" w:hAnsi="Times New Roman"/>
          <w:bCs/>
          <w:sz w:val="24"/>
          <w:szCs w:val="24"/>
        </w:rPr>
        <w:t xml:space="preserve"> На валютном рынке торгуются доллары США (USD), евро (EUR), британский фунт (GBP), гонконгский доллар (HKD), китайский юань (CNY), казахстанский тенге (KZT) белорусский рубль (BYR), швейцарский франк (CHF) и турецкая лира (TRY), а также заключаются сделки своп различной срочности. По валютным парам USD/RUB, EUR/RUB, CNY/RUB участники могут заключать сделки «длинный своп» сроками 1W, 2W, 1М, 2М, 3М, 6М, 9М (только для USD/RUB и EUR/RUB), 1Y и </w:t>
      </w:r>
      <w:r w:rsidR="00D249C7" w:rsidRPr="000F4CBD">
        <w:rPr>
          <w:rFonts w:ascii="Times New Roman" w:hAnsi="Times New Roman"/>
          <w:bCs/>
          <w:sz w:val="24"/>
          <w:szCs w:val="24"/>
          <w:lang w:val="en-US"/>
        </w:rPr>
        <w:t>FIX</w:t>
      </w:r>
      <w:r w:rsidR="00D249C7" w:rsidRPr="000F4CBD">
        <w:rPr>
          <w:rFonts w:ascii="Times New Roman" w:hAnsi="Times New Roman"/>
          <w:bCs/>
          <w:sz w:val="24"/>
          <w:szCs w:val="24"/>
        </w:rPr>
        <w:t xml:space="preserve"> (только для USD/RUB и EUR/RUB), для GLD/RUB и SLV/RUB - 1W, 1М, 6М. Основными валютными парами являются USD/RUB и EUR/RUB. Время проведения торгов - с 10:00 до 23:50 мск.</w:t>
      </w:r>
    </w:p>
    <w:p w14:paraId="2BB307EE" w14:textId="77777777" w:rsidR="00446742" w:rsidRDefault="00D249C7" w:rsidP="00C64D35">
      <w:pPr>
        <w:ind w:firstLine="567"/>
        <w:jc w:val="both"/>
        <w:rPr>
          <w:rFonts w:ascii="Times New Roman" w:eastAsia="Calibri" w:hAnsi="Times New Roman"/>
          <w:noProof/>
          <w:sz w:val="24"/>
          <w:szCs w:val="24"/>
        </w:rPr>
      </w:pPr>
      <w:r w:rsidRPr="000F4CBD">
        <w:rPr>
          <w:rFonts w:ascii="Times New Roman" w:eastAsia="Calibri" w:hAnsi="Times New Roman"/>
          <w:noProof/>
          <w:sz w:val="24"/>
          <w:szCs w:val="24"/>
        </w:rPr>
        <w:t xml:space="preserve">     </w:t>
      </w:r>
    </w:p>
    <w:p w14:paraId="113DA761" w14:textId="7BB9A9B4" w:rsidR="00D249C7" w:rsidRPr="000F4CBD" w:rsidRDefault="00446742" w:rsidP="00446742">
      <w:pPr>
        <w:jc w:val="both"/>
        <w:rPr>
          <w:rFonts w:ascii="Times New Roman" w:eastAsia="Calibri" w:hAnsi="Times New Roman"/>
          <w:noProof/>
          <w:sz w:val="24"/>
          <w:szCs w:val="24"/>
        </w:rPr>
      </w:pPr>
      <w:r>
        <w:rPr>
          <w:rFonts w:ascii="Times New Roman" w:hAnsi="Times New Roman"/>
          <w:bCs/>
          <w:sz w:val="24"/>
          <w:szCs w:val="24"/>
        </w:rPr>
        <w:t xml:space="preserve">     </w:t>
      </w:r>
      <w:r w:rsidR="00D249C7" w:rsidRPr="000F4CBD">
        <w:rPr>
          <w:rFonts w:ascii="Times New Roman" w:hAnsi="Times New Roman"/>
          <w:bCs/>
          <w:sz w:val="24"/>
          <w:szCs w:val="24"/>
        </w:rPr>
        <w:t>НКЦ осуществляет на валютном рынке и рынке драгоценных металлов клиринг по спот сделкам и сделкам своп, а с 2014 года – по производным финансовым инструментам (свопам и фьючерсам), заключенным с полным обеспечением или с частичным обеспечением. В качестве обеспечения принимаются денежные средства в российских рублях, долларах США, евро, китайских юанях, гонконгских   долларах, фунтах стерлингов и швейцарских франках, а также драгоценные металлы (золото и серебро). Сделки на валютном рынке и рынке драгоценных металлов могут заключаться на основании безадресных (в «стакане») или адресных заявок. На основании безадресных заявок сделки могут заключаться только на условиях полного или частичного обеспечения.</w:t>
      </w:r>
    </w:p>
    <w:p w14:paraId="71345DB3" w14:textId="77777777" w:rsidR="00446742" w:rsidRDefault="00446742" w:rsidP="00446742">
      <w:pPr>
        <w:jc w:val="both"/>
        <w:rPr>
          <w:rFonts w:ascii="Times New Roman" w:eastAsia="Calibri" w:hAnsi="Times New Roman"/>
          <w:noProof/>
          <w:sz w:val="24"/>
          <w:szCs w:val="24"/>
        </w:rPr>
      </w:pPr>
    </w:p>
    <w:p w14:paraId="2512AFE1" w14:textId="1014A3D6" w:rsidR="00D249C7" w:rsidRPr="000F4CBD" w:rsidRDefault="00446742" w:rsidP="00446742">
      <w:pPr>
        <w:jc w:val="both"/>
        <w:rPr>
          <w:rFonts w:ascii="Times New Roman" w:eastAsia="Calibri" w:hAnsi="Times New Roman"/>
          <w:noProof/>
          <w:sz w:val="24"/>
          <w:szCs w:val="24"/>
        </w:rPr>
      </w:pPr>
      <w:r>
        <w:rPr>
          <w:rFonts w:ascii="Times New Roman" w:eastAsia="Calibri" w:hAnsi="Times New Roman"/>
          <w:noProof/>
          <w:sz w:val="24"/>
          <w:szCs w:val="24"/>
        </w:rPr>
        <w:t xml:space="preserve">     </w:t>
      </w:r>
      <w:r w:rsidR="00D249C7" w:rsidRPr="000F4CBD">
        <w:rPr>
          <w:rFonts w:ascii="Times New Roman" w:eastAsia="Calibri" w:hAnsi="Times New Roman"/>
          <w:noProof/>
          <w:sz w:val="24"/>
          <w:szCs w:val="24"/>
        </w:rPr>
        <w:t xml:space="preserve">  </w:t>
      </w:r>
      <w:r w:rsidR="00D249C7" w:rsidRPr="000F4CBD">
        <w:rPr>
          <w:rFonts w:ascii="Times New Roman" w:hAnsi="Times New Roman"/>
          <w:bCs/>
          <w:sz w:val="24"/>
          <w:szCs w:val="24"/>
        </w:rPr>
        <w:t>С 2013 года НКЦ осуществляет централизованный клиринг по сделкам с драгоценными металлами за российские рубли.</w:t>
      </w:r>
    </w:p>
    <w:p w14:paraId="58F2143E" w14:textId="77777777" w:rsidR="00D249C7" w:rsidRPr="000F4CBD" w:rsidRDefault="00D249C7" w:rsidP="00C64D35">
      <w:pPr>
        <w:ind w:firstLine="567"/>
        <w:jc w:val="both"/>
        <w:rPr>
          <w:rFonts w:ascii="Times New Roman" w:hAnsi="Times New Roman"/>
          <w:bCs/>
          <w:sz w:val="24"/>
          <w:szCs w:val="24"/>
        </w:rPr>
      </w:pPr>
      <w:r w:rsidRPr="000F4CBD">
        <w:rPr>
          <w:rFonts w:ascii="Times New Roman" w:eastAsia="Calibri" w:hAnsi="Times New Roman"/>
          <w:noProof/>
          <w:sz w:val="24"/>
          <w:szCs w:val="24"/>
        </w:rPr>
        <w:t xml:space="preserve">     </w:t>
      </w:r>
      <w:r w:rsidRPr="000F4CBD">
        <w:rPr>
          <w:rFonts w:ascii="Times New Roman" w:hAnsi="Times New Roman"/>
          <w:bCs/>
          <w:sz w:val="24"/>
          <w:szCs w:val="24"/>
        </w:rPr>
        <w:t>НКЦ осуществляет клиринг на этом сегменте биржевого рынка по сделкам, расчеты по которым могут производиться:</w:t>
      </w:r>
    </w:p>
    <w:p w14:paraId="59FF6FA1" w14:textId="77777777" w:rsidR="00D249C7" w:rsidRPr="000F4CBD" w:rsidRDefault="00D249C7" w:rsidP="00C64D35">
      <w:pPr>
        <w:numPr>
          <w:ilvl w:val="0"/>
          <w:numId w:val="48"/>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 xml:space="preserve">за счет участников клиринга; </w:t>
      </w:r>
    </w:p>
    <w:p w14:paraId="376A5CEA" w14:textId="77777777" w:rsidR="00D249C7" w:rsidRPr="000F4CBD" w:rsidRDefault="00D249C7" w:rsidP="00C64D35">
      <w:pPr>
        <w:numPr>
          <w:ilvl w:val="0"/>
          <w:numId w:val="48"/>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за счет клиентов участников клиринга;</w:t>
      </w:r>
    </w:p>
    <w:p w14:paraId="067B464B" w14:textId="77777777" w:rsidR="00D249C7" w:rsidRPr="000F4CBD" w:rsidRDefault="00D249C7" w:rsidP="00C64D35">
      <w:pPr>
        <w:numPr>
          <w:ilvl w:val="0"/>
          <w:numId w:val="48"/>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 xml:space="preserve">за счет средств, находящихся в доверительном управлении у участников клиринга. </w:t>
      </w:r>
    </w:p>
    <w:p w14:paraId="42445116" w14:textId="77777777" w:rsidR="00D249C7" w:rsidRPr="000F4CBD" w:rsidRDefault="00D249C7" w:rsidP="00D249C7">
      <w:pPr>
        <w:tabs>
          <w:tab w:val="right" w:pos="9356"/>
        </w:tabs>
        <w:suppressAutoHyphens/>
        <w:ind w:left="709"/>
        <w:jc w:val="center"/>
        <w:rPr>
          <w:rFonts w:ascii="Times New Roman" w:eastAsia="Calibri" w:hAnsi="Times New Roman"/>
          <w:b/>
          <w:sz w:val="24"/>
          <w:szCs w:val="24"/>
          <w:lang w:eastAsia="ar-SA"/>
        </w:rPr>
      </w:pPr>
    </w:p>
    <w:p w14:paraId="51E7886A" w14:textId="23C21D2C" w:rsidR="00D249C7" w:rsidRPr="000F4CBD" w:rsidRDefault="00446742" w:rsidP="00446742">
      <w:pPr>
        <w:jc w:val="both"/>
        <w:rPr>
          <w:rFonts w:ascii="Times New Roman" w:hAnsi="Times New Roman"/>
          <w:sz w:val="24"/>
          <w:szCs w:val="24"/>
        </w:rPr>
      </w:pPr>
      <w:r>
        <w:rPr>
          <w:rFonts w:ascii="Times New Roman" w:eastAsia="Calibri" w:hAnsi="Times New Roman"/>
          <w:noProof/>
          <w:sz w:val="24"/>
          <w:szCs w:val="24"/>
        </w:rPr>
        <w:lastRenderedPageBreak/>
        <w:t xml:space="preserve">     </w:t>
      </w:r>
      <w:r w:rsidR="00D249C7" w:rsidRPr="000F4CBD">
        <w:rPr>
          <w:rFonts w:ascii="Times New Roman" w:eastAsia="Calibri" w:hAnsi="Times New Roman"/>
          <w:noProof/>
          <w:sz w:val="24"/>
          <w:szCs w:val="24"/>
        </w:rPr>
        <w:t xml:space="preserve"> </w:t>
      </w:r>
      <w:r w:rsidR="00D249C7" w:rsidRPr="000F4CBD">
        <w:rPr>
          <w:rFonts w:ascii="Times New Roman" w:hAnsi="Times New Roman"/>
          <w:bCs/>
          <w:sz w:val="24"/>
          <w:szCs w:val="24"/>
        </w:rPr>
        <w:t>С декабря 2014 года на валютном рынке и рынке драгоценных металлов был создан институт «общего участника клиринга» – участника клиринга, имеющего право действовать в качестве клирингового брокера и обслуживать участников торгов. В соответствии с этой моделью участники торгов подают заявки и заключают сделки, а участники клиринга становятся стороной по сделкам и осуществляют расчеты по возникшим из сделок обязательствам.</w:t>
      </w:r>
    </w:p>
    <w:p w14:paraId="070ED632" w14:textId="77777777" w:rsidR="00446742" w:rsidRDefault="00446742" w:rsidP="00446742">
      <w:pPr>
        <w:jc w:val="both"/>
        <w:rPr>
          <w:rFonts w:ascii="Times New Roman" w:eastAsia="Calibri" w:hAnsi="Times New Roman"/>
          <w:noProof/>
          <w:sz w:val="24"/>
          <w:szCs w:val="24"/>
        </w:rPr>
      </w:pPr>
    </w:p>
    <w:p w14:paraId="3A693907" w14:textId="6DC84EC5" w:rsidR="00D249C7" w:rsidRPr="000F4CBD" w:rsidRDefault="00446742" w:rsidP="00446742">
      <w:pPr>
        <w:jc w:val="both"/>
        <w:rPr>
          <w:rFonts w:ascii="Times New Roman" w:hAnsi="Times New Roman"/>
          <w:bCs/>
          <w:sz w:val="24"/>
          <w:szCs w:val="24"/>
        </w:rPr>
      </w:pPr>
      <w:r>
        <w:rPr>
          <w:rFonts w:ascii="Times New Roman" w:eastAsia="Calibri" w:hAnsi="Times New Roman"/>
          <w:noProof/>
          <w:sz w:val="24"/>
          <w:szCs w:val="24"/>
        </w:rPr>
        <w:t xml:space="preserve">      </w:t>
      </w:r>
      <w:r w:rsidR="00D249C7" w:rsidRPr="000F4CBD">
        <w:rPr>
          <w:rFonts w:ascii="Times New Roman" w:hAnsi="Times New Roman"/>
          <w:bCs/>
          <w:sz w:val="24"/>
          <w:szCs w:val="24"/>
        </w:rPr>
        <w:t>Также в 2016 году в системе риск-менеджмента снижено обеспечение по разнонаправленным позициям по евро и доллару США за счет введения межпродуктового спреда, который позволяет снизить затраты участников торгов и их клиентов на фондирование операций.  С целью унификации расчета обеспечения введен учет процентного риска по позициям «завтра» и маржирование позиций по овернайт свопам аналогично длинным свопам.</w:t>
      </w:r>
    </w:p>
    <w:p w14:paraId="0EAECC52" w14:textId="77777777" w:rsidR="00446742" w:rsidRDefault="00D249C7" w:rsidP="00D249C7">
      <w:pPr>
        <w:ind w:firstLine="567"/>
        <w:jc w:val="both"/>
        <w:rPr>
          <w:rFonts w:ascii="Times New Roman" w:eastAsia="Calibri" w:hAnsi="Times New Roman"/>
          <w:noProof/>
          <w:sz w:val="24"/>
          <w:szCs w:val="24"/>
        </w:rPr>
      </w:pPr>
      <w:r w:rsidRPr="000F4CBD">
        <w:rPr>
          <w:rFonts w:ascii="Times New Roman" w:eastAsia="Calibri" w:hAnsi="Times New Roman"/>
          <w:noProof/>
          <w:sz w:val="24"/>
          <w:szCs w:val="24"/>
        </w:rPr>
        <w:t xml:space="preserve">     </w:t>
      </w:r>
    </w:p>
    <w:p w14:paraId="71BD984F" w14:textId="061D402F" w:rsidR="00D249C7" w:rsidRPr="000F4CBD" w:rsidRDefault="00446742" w:rsidP="00446742">
      <w:pPr>
        <w:jc w:val="both"/>
        <w:rPr>
          <w:rFonts w:ascii="Times New Roman" w:hAnsi="Times New Roman"/>
          <w:bCs/>
          <w:sz w:val="24"/>
          <w:szCs w:val="24"/>
        </w:rPr>
      </w:pPr>
      <w:r>
        <w:rPr>
          <w:rFonts w:ascii="Times New Roman" w:eastAsia="Calibri" w:hAnsi="Times New Roman"/>
          <w:noProof/>
          <w:sz w:val="24"/>
          <w:szCs w:val="24"/>
        </w:rPr>
        <w:t xml:space="preserve">      </w:t>
      </w:r>
      <w:r w:rsidR="00D249C7" w:rsidRPr="000F4CBD">
        <w:rPr>
          <w:rFonts w:ascii="Times New Roman" w:hAnsi="Times New Roman"/>
          <w:bCs/>
          <w:sz w:val="24"/>
          <w:szCs w:val="24"/>
        </w:rPr>
        <w:t>Для управления рисками клиентов введена возможность регистрации торгово-клиринговых счетов для клиентов 2-го и 3-го уровня, что позволит участникам торгов использовать биржевой риск-менеджмент для ведения клиентских позиций. При этом они имеют возможность неттинга по поставке и обеспечению в рамках расчетного кода, на котором ведутся различные клиентские позиции. Вывод средств в размере расчетной позиции позволяет участникам более гибко управлять внутридневной ликвидностью, не прекращая торгов по инструментам с расчетами «сегодня».</w:t>
      </w:r>
    </w:p>
    <w:p w14:paraId="055D1187" w14:textId="77777777" w:rsidR="00446742" w:rsidRDefault="00D249C7" w:rsidP="00D249C7">
      <w:pPr>
        <w:ind w:firstLine="567"/>
        <w:jc w:val="both"/>
        <w:rPr>
          <w:rFonts w:ascii="Times New Roman" w:eastAsia="Calibri" w:hAnsi="Times New Roman"/>
          <w:noProof/>
          <w:sz w:val="24"/>
          <w:szCs w:val="24"/>
        </w:rPr>
      </w:pPr>
      <w:r w:rsidRPr="000F4CBD">
        <w:rPr>
          <w:rFonts w:ascii="Times New Roman" w:eastAsia="Calibri" w:hAnsi="Times New Roman"/>
          <w:noProof/>
          <w:sz w:val="24"/>
          <w:szCs w:val="24"/>
        </w:rPr>
        <w:t xml:space="preserve">    </w:t>
      </w:r>
    </w:p>
    <w:p w14:paraId="1188F594" w14:textId="25993CD2" w:rsidR="00D249C7" w:rsidRPr="000F4CBD" w:rsidRDefault="00446742" w:rsidP="00446742">
      <w:pPr>
        <w:jc w:val="both"/>
        <w:rPr>
          <w:rFonts w:ascii="Times New Roman" w:hAnsi="Times New Roman"/>
          <w:bCs/>
          <w:sz w:val="24"/>
          <w:szCs w:val="24"/>
        </w:rPr>
      </w:pPr>
      <w:r>
        <w:rPr>
          <w:rFonts w:ascii="Times New Roman" w:eastAsia="Calibri" w:hAnsi="Times New Roman"/>
          <w:noProof/>
          <w:sz w:val="24"/>
          <w:szCs w:val="24"/>
        </w:rPr>
        <w:t xml:space="preserve">     </w:t>
      </w:r>
      <w:r w:rsidR="00D249C7" w:rsidRPr="000F4CBD">
        <w:rPr>
          <w:rFonts w:ascii="Times New Roman" w:eastAsia="Calibri" w:hAnsi="Times New Roman"/>
          <w:noProof/>
          <w:sz w:val="24"/>
          <w:szCs w:val="24"/>
        </w:rPr>
        <w:t xml:space="preserve"> </w:t>
      </w:r>
      <w:r w:rsidR="00D249C7" w:rsidRPr="000F4CBD">
        <w:rPr>
          <w:rFonts w:ascii="Times New Roman" w:hAnsi="Times New Roman"/>
          <w:bCs/>
          <w:sz w:val="24"/>
          <w:szCs w:val="24"/>
        </w:rPr>
        <w:t>В рамках проекта «Сегрегация до конечного клиента» стала доступна опция проверки платежных реквизитов на соответствие бенефициара сегрегированному клиенту, что позволяет защитить денежные средства обособленного клиента.</w:t>
      </w:r>
    </w:p>
    <w:p w14:paraId="0BDFA9F3" w14:textId="77777777" w:rsidR="00446742" w:rsidRDefault="00446742" w:rsidP="00446742">
      <w:pPr>
        <w:jc w:val="both"/>
        <w:rPr>
          <w:rFonts w:ascii="Times New Roman" w:hAnsi="Times New Roman"/>
          <w:bCs/>
          <w:sz w:val="24"/>
          <w:szCs w:val="24"/>
        </w:rPr>
      </w:pPr>
      <w:r>
        <w:rPr>
          <w:rFonts w:ascii="Times New Roman" w:hAnsi="Times New Roman"/>
          <w:bCs/>
          <w:sz w:val="24"/>
          <w:szCs w:val="24"/>
        </w:rPr>
        <w:t xml:space="preserve">     </w:t>
      </w:r>
    </w:p>
    <w:p w14:paraId="4E41F160" w14:textId="7D6F8C53" w:rsidR="00D249C7" w:rsidRPr="000F4CBD" w:rsidRDefault="00446742" w:rsidP="00446742">
      <w:pPr>
        <w:jc w:val="both"/>
        <w:rPr>
          <w:rFonts w:ascii="Times New Roman" w:hAnsi="Times New Roman"/>
          <w:bCs/>
          <w:sz w:val="24"/>
          <w:szCs w:val="24"/>
        </w:rPr>
      </w:pPr>
      <w:r>
        <w:rPr>
          <w:rFonts w:ascii="Times New Roman" w:hAnsi="Times New Roman"/>
          <w:bCs/>
          <w:sz w:val="24"/>
          <w:szCs w:val="24"/>
        </w:rPr>
        <w:t xml:space="preserve">      </w:t>
      </w:r>
      <w:r w:rsidR="00D249C7" w:rsidRPr="000F4CBD">
        <w:rPr>
          <w:rFonts w:ascii="Times New Roman" w:hAnsi="Times New Roman"/>
          <w:bCs/>
          <w:sz w:val="24"/>
          <w:szCs w:val="24"/>
        </w:rPr>
        <w:t>В 2017 году осуществлен прямой допуск 20 корпораций, в т</w:t>
      </w:r>
      <w:r w:rsidR="00C64D35">
        <w:rPr>
          <w:rFonts w:ascii="Times New Roman" w:hAnsi="Times New Roman"/>
          <w:bCs/>
          <w:sz w:val="24"/>
          <w:szCs w:val="24"/>
        </w:rPr>
        <w:t>ом числе,</w:t>
      </w:r>
      <w:r w:rsidR="00D249C7" w:rsidRPr="000F4CBD">
        <w:rPr>
          <w:rFonts w:ascii="Times New Roman" w:hAnsi="Times New Roman"/>
          <w:bCs/>
          <w:sz w:val="24"/>
          <w:szCs w:val="24"/>
        </w:rPr>
        <w:t xml:space="preserve"> Газпром</w:t>
      </w:r>
      <w:r w:rsidR="00C64D35">
        <w:rPr>
          <w:rFonts w:ascii="Times New Roman" w:hAnsi="Times New Roman"/>
          <w:bCs/>
          <w:sz w:val="24"/>
          <w:szCs w:val="24"/>
        </w:rPr>
        <w:t>а</w:t>
      </w:r>
      <w:r w:rsidR="00D249C7" w:rsidRPr="000F4CBD">
        <w:rPr>
          <w:rFonts w:ascii="Times New Roman" w:hAnsi="Times New Roman"/>
          <w:bCs/>
          <w:sz w:val="24"/>
          <w:szCs w:val="24"/>
        </w:rPr>
        <w:t>, Газпромнефт</w:t>
      </w:r>
      <w:r w:rsidR="00C64D35">
        <w:rPr>
          <w:rFonts w:ascii="Times New Roman" w:hAnsi="Times New Roman"/>
          <w:bCs/>
          <w:sz w:val="24"/>
          <w:szCs w:val="24"/>
        </w:rPr>
        <w:t>и</w:t>
      </w:r>
      <w:r w:rsidR="00D249C7" w:rsidRPr="000F4CBD">
        <w:rPr>
          <w:rFonts w:ascii="Times New Roman" w:hAnsi="Times New Roman"/>
          <w:bCs/>
          <w:sz w:val="24"/>
          <w:szCs w:val="24"/>
        </w:rPr>
        <w:t>, АЛРОСА, Роснефт</w:t>
      </w:r>
      <w:r w:rsidR="00C64D35">
        <w:rPr>
          <w:rFonts w:ascii="Times New Roman" w:hAnsi="Times New Roman"/>
          <w:bCs/>
          <w:sz w:val="24"/>
          <w:szCs w:val="24"/>
        </w:rPr>
        <w:t>и</w:t>
      </w:r>
      <w:r w:rsidR="00D249C7" w:rsidRPr="000F4CBD">
        <w:rPr>
          <w:rFonts w:ascii="Times New Roman" w:hAnsi="Times New Roman"/>
          <w:bCs/>
          <w:sz w:val="24"/>
          <w:szCs w:val="24"/>
        </w:rPr>
        <w:t>, Транснефт</w:t>
      </w:r>
      <w:r w:rsidR="00C64D35">
        <w:rPr>
          <w:rFonts w:ascii="Times New Roman" w:hAnsi="Times New Roman"/>
          <w:bCs/>
          <w:sz w:val="24"/>
          <w:szCs w:val="24"/>
        </w:rPr>
        <w:t>и</w:t>
      </w:r>
      <w:r w:rsidR="00D249C7" w:rsidRPr="000F4CBD">
        <w:rPr>
          <w:rFonts w:ascii="Times New Roman" w:hAnsi="Times New Roman"/>
          <w:bCs/>
          <w:sz w:val="24"/>
          <w:szCs w:val="24"/>
        </w:rPr>
        <w:t>, НЛМК, Ингосстрах</w:t>
      </w:r>
      <w:r w:rsidR="00C64D35">
        <w:rPr>
          <w:rFonts w:ascii="Times New Roman" w:hAnsi="Times New Roman"/>
          <w:bCs/>
          <w:sz w:val="24"/>
          <w:szCs w:val="24"/>
        </w:rPr>
        <w:t>а</w:t>
      </w:r>
      <w:r w:rsidR="00D249C7" w:rsidRPr="000F4CBD">
        <w:rPr>
          <w:rFonts w:ascii="Times New Roman" w:hAnsi="Times New Roman"/>
          <w:bCs/>
          <w:sz w:val="24"/>
          <w:szCs w:val="24"/>
        </w:rPr>
        <w:t xml:space="preserve"> и др. А также реализована возможность маржирования сделок с расчетами по цене фиксинга и заявок на заключение сделок с расчетами по цене фиксинга по инструменту </w:t>
      </w:r>
      <w:r w:rsidR="00D249C7" w:rsidRPr="000F4CBD">
        <w:rPr>
          <w:rFonts w:ascii="Times New Roman" w:hAnsi="Times New Roman"/>
          <w:bCs/>
          <w:sz w:val="24"/>
          <w:szCs w:val="24"/>
          <w:lang w:val="en-US"/>
        </w:rPr>
        <w:t>USD</w:t>
      </w:r>
      <w:r w:rsidR="00D249C7" w:rsidRPr="000F4CBD">
        <w:rPr>
          <w:rFonts w:ascii="Times New Roman" w:hAnsi="Times New Roman"/>
          <w:bCs/>
          <w:sz w:val="24"/>
          <w:szCs w:val="24"/>
        </w:rPr>
        <w:t>/</w:t>
      </w:r>
      <w:r w:rsidR="00D249C7" w:rsidRPr="000F4CBD">
        <w:rPr>
          <w:rFonts w:ascii="Times New Roman" w:hAnsi="Times New Roman"/>
          <w:bCs/>
          <w:sz w:val="24"/>
          <w:szCs w:val="24"/>
          <w:lang w:val="en-US"/>
        </w:rPr>
        <w:t>RUB</w:t>
      </w:r>
      <w:r w:rsidR="00D249C7" w:rsidRPr="000F4CBD">
        <w:rPr>
          <w:rFonts w:ascii="Times New Roman" w:hAnsi="Times New Roman"/>
          <w:bCs/>
          <w:sz w:val="24"/>
          <w:szCs w:val="24"/>
        </w:rPr>
        <w:t>.</w:t>
      </w:r>
    </w:p>
    <w:p w14:paraId="1EEA77DC" w14:textId="77777777" w:rsidR="00446742" w:rsidRDefault="00446742" w:rsidP="00446742">
      <w:pPr>
        <w:jc w:val="both"/>
        <w:rPr>
          <w:rFonts w:ascii="Times New Roman" w:eastAsia="Calibri" w:hAnsi="Times New Roman"/>
          <w:noProof/>
          <w:sz w:val="24"/>
          <w:szCs w:val="24"/>
        </w:rPr>
      </w:pPr>
    </w:p>
    <w:p w14:paraId="52D5DC12" w14:textId="53E347A4" w:rsidR="00D249C7" w:rsidRPr="00446742" w:rsidRDefault="00446742" w:rsidP="00446742">
      <w:pPr>
        <w:jc w:val="both"/>
        <w:rPr>
          <w:rFonts w:ascii="Times New Roman" w:eastAsia="Calibri" w:hAnsi="Times New Roman"/>
          <w:noProof/>
          <w:sz w:val="24"/>
          <w:szCs w:val="24"/>
        </w:rPr>
      </w:pPr>
      <w:r>
        <w:rPr>
          <w:rFonts w:ascii="Times New Roman" w:eastAsia="Calibri" w:hAnsi="Times New Roman"/>
          <w:noProof/>
          <w:sz w:val="24"/>
          <w:szCs w:val="24"/>
        </w:rPr>
        <w:t xml:space="preserve">      </w:t>
      </w:r>
      <w:r w:rsidR="00D249C7" w:rsidRPr="000F4CBD">
        <w:rPr>
          <w:rFonts w:ascii="Times New Roman" w:hAnsi="Times New Roman"/>
          <w:bCs/>
          <w:sz w:val="24"/>
          <w:szCs w:val="24"/>
        </w:rPr>
        <w:t xml:space="preserve">Внедрение надежных и эффективных технологий клирингового обслуживания, а также качественное расширение линейки </w:t>
      </w:r>
      <w:r w:rsidR="00C64D35">
        <w:rPr>
          <w:rFonts w:ascii="Times New Roman" w:hAnsi="Times New Roman"/>
          <w:bCs/>
          <w:sz w:val="24"/>
          <w:szCs w:val="24"/>
        </w:rPr>
        <w:t>интересных</w:t>
      </w:r>
      <w:r w:rsidR="00D249C7" w:rsidRPr="000F4CBD">
        <w:rPr>
          <w:rFonts w:ascii="Times New Roman" w:hAnsi="Times New Roman"/>
          <w:bCs/>
          <w:sz w:val="24"/>
          <w:szCs w:val="24"/>
        </w:rPr>
        <w:t xml:space="preserve"> для инвесторов инструментов, способствовало росту привлекательности валютного рынка и рынка драгоценных металлов Группы «Московская Биржа» и положительно отразилось на результатах деятельности НКЦ на указанном рынке. Комиссионное вознаграждение, полученное НКЦ за клиринговое обслуживание на валютном рынке за 2017 год, составило 1 583 746 тыс. руб., на рынке драгоценных металлов – 1 055 тыс. руб.</w:t>
      </w:r>
    </w:p>
    <w:p w14:paraId="71688377" w14:textId="77777777" w:rsidR="00D249C7" w:rsidRPr="000F4CBD" w:rsidRDefault="00D249C7" w:rsidP="00D249C7">
      <w:pPr>
        <w:tabs>
          <w:tab w:val="left" w:pos="8820"/>
        </w:tabs>
        <w:ind w:right="76"/>
        <w:jc w:val="center"/>
        <w:rPr>
          <w:rFonts w:ascii="Times New Roman" w:hAnsi="Times New Roman"/>
          <w:sz w:val="28"/>
          <w:szCs w:val="28"/>
        </w:rPr>
      </w:pPr>
    </w:p>
    <w:p w14:paraId="51885FC5" w14:textId="77777777" w:rsidR="00D249C7" w:rsidRPr="000F4CBD" w:rsidRDefault="00D249C7" w:rsidP="00D249C7">
      <w:pPr>
        <w:tabs>
          <w:tab w:val="left" w:pos="8820"/>
        </w:tabs>
        <w:ind w:right="76"/>
        <w:jc w:val="center"/>
        <w:rPr>
          <w:rFonts w:ascii="Times New Roman" w:hAnsi="Times New Roman"/>
          <w:b/>
          <w:sz w:val="28"/>
          <w:szCs w:val="28"/>
        </w:rPr>
      </w:pPr>
    </w:p>
    <w:p w14:paraId="77CEE600" w14:textId="77777777" w:rsidR="00D249C7" w:rsidRPr="00EA71B4" w:rsidRDefault="00D249C7" w:rsidP="00722C56">
      <w:pPr>
        <w:pStyle w:val="2"/>
        <w:jc w:val="center"/>
        <w:rPr>
          <w:rFonts w:ascii="Times New Roman" w:hAnsi="Times New Roman"/>
          <w:b/>
          <w:sz w:val="28"/>
          <w:szCs w:val="28"/>
        </w:rPr>
      </w:pPr>
      <w:bookmarkStart w:id="7" w:name="_Toc510776656"/>
      <w:r w:rsidRPr="00EA71B4">
        <w:rPr>
          <w:rFonts w:ascii="Times New Roman" w:hAnsi="Times New Roman" w:cs="Times New Roman"/>
          <w:b/>
          <w:color w:val="000000" w:themeColor="text1"/>
          <w:sz w:val="28"/>
          <w:szCs w:val="28"/>
        </w:rPr>
        <w:t>5.2. Клиринговая деятельность на фондовом рынке и рынке депозитов</w:t>
      </w:r>
      <w:bookmarkEnd w:id="7"/>
    </w:p>
    <w:p w14:paraId="575A7B3F" w14:textId="77777777" w:rsidR="00D249C7" w:rsidRPr="000F4CBD" w:rsidRDefault="00D249C7" w:rsidP="00D249C7">
      <w:pPr>
        <w:tabs>
          <w:tab w:val="left" w:pos="8820"/>
        </w:tabs>
        <w:ind w:right="76"/>
        <w:jc w:val="center"/>
        <w:rPr>
          <w:rFonts w:ascii="Times New Roman" w:hAnsi="Times New Roman"/>
          <w:noProof/>
          <w:sz w:val="24"/>
        </w:rPr>
      </w:pPr>
      <w:r w:rsidRPr="000F4CBD">
        <w:rPr>
          <w:rFonts w:ascii="Times New Roman" w:hAnsi="Times New Roman"/>
          <w:noProof/>
          <w:sz w:val="24"/>
        </w:rPr>
        <w:t xml:space="preserve">      </w:t>
      </w:r>
    </w:p>
    <w:p w14:paraId="4536F36F" w14:textId="211DCCA9" w:rsidR="00D249C7" w:rsidRPr="000F4CBD" w:rsidRDefault="00A92A93" w:rsidP="00A92A93">
      <w:pPr>
        <w:jc w:val="both"/>
        <w:rPr>
          <w:rFonts w:ascii="Times New Roman" w:hAnsi="Times New Roman"/>
          <w:bCs/>
          <w:sz w:val="24"/>
          <w:szCs w:val="24"/>
        </w:rPr>
      </w:pPr>
      <w:r>
        <w:rPr>
          <w:rFonts w:ascii="Times New Roman" w:hAnsi="Times New Roman"/>
          <w:bCs/>
          <w:sz w:val="24"/>
          <w:szCs w:val="24"/>
        </w:rPr>
        <w:t xml:space="preserve">     </w:t>
      </w:r>
      <w:r w:rsidR="00D249C7" w:rsidRPr="000F4CBD">
        <w:rPr>
          <w:rFonts w:ascii="Times New Roman" w:hAnsi="Times New Roman"/>
          <w:bCs/>
          <w:sz w:val="24"/>
          <w:szCs w:val="24"/>
        </w:rPr>
        <w:t xml:space="preserve">Фондовый рынок Группы «Московская Биржа» является современным, отвечающим всем регулятивным и технологическим требованиям биржевой рынок, на котором проводятся организованные торги основными видами торгуемых в России ценных бумаг. Удобство и уникальность фондового рынка </w:t>
      </w:r>
      <w:r w:rsidR="00D249C7" w:rsidRPr="000F4CBD">
        <w:rPr>
          <w:rFonts w:ascii="Times New Roman" w:hAnsi="Times New Roman"/>
          <w:bCs/>
          <w:sz w:val="24"/>
          <w:szCs w:val="24"/>
        </w:rPr>
        <w:lastRenderedPageBreak/>
        <w:t>Группы «Московская Биржа» обеспечиваются единой трейдинговой и посттрейдинговой инфраструктурой Группы, предоставляющей своим клиентам полный спектр сервисов и услуг: торговых, клиринговых, расчетных и информационных.</w:t>
      </w:r>
    </w:p>
    <w:p w14:paraId="2E9CB48C" w14:textId="77777777" w:rsidR="00A92A93" w:rsidRDefault="00A92A93" w:rsidP="00A92A93">
      <w:pPr>
        <w:jc w:val="both"/>
        <w:rPr>
          <w:rFonts w:ascii="Times New Roman" w:hAnsi="Times New Roman"/>
          <w:bCs/>
          <w:sz w:val="24"/>
          <w:szCs w:val="24"/>
        </w:rPr>
      </w:pPr>
      <w:r>
        <w:rPr>
          <w:rFonts w:ascii="Times New Roman" w:hAnsi="Times New Roman"/>
          <w:bCs/>
          <w:sz w:val="24"/>
          <w:szCs w:val="24"/>
        </w:rPr>
        <w:t xml:space="preserve">     </w:t>
      </w:r>
    </w:p>
    <w:p w14:paraId="0908331A" w14:textId="01AD983F" w:rsidR="00D249C7" w:rsidRPr="000F4CBD" w:rsidRDefault="00A92A93" w:rsidP="00A92A93">
      <w:pPr>
        <w:jc w:val="both"/>
        <w:rPr>
          <w:rFonts w:ascii="Times New Roman" w:hAnsi="Times New Roman"/>
          <w:bCs/>
          <w:sz w:val="24"/>
          <w:szCs w:val="24"/>
        </w:rPr>
      </w:pPr>
      <w:r>
        <w:rPr>
          <w:rFonts w:ascii="Times New Roman" w:hAnsi="Times New Roman"/>
          <w:bCs/>
          <w:sz w:val="24"/>
          <w:szCs w:val="24"/>
        </w:rPr>
        <w:t xml:space="preserve">     </w:t>
      </w:r>
      <w:r w:rsidR="00D249C7" w:rsidRPr="000F4CBD">
        <w:rPr>
          <w:rFonts w:ascii="Times New Roman" w:hAnsi="Times New Roman"/>
          <w:bCs/>
          <w:sz w:val="24"/>
          <w:szCs w:val="24"/>
        </w:rPr>
        <w:t>С 2017 году НКЦ осуществляет централизованный клиринг, выполняя функции центрального контрагента по депозитным договорам в российских рублях.</w:t>
      </w:r>
      <w:r>
        <w:rPr>
          <w:rFonts w:ascii="Times New Roman" w:hAnsi="Times New Roman"/>
          <w:bCs/>
          <w:sz w:val="24"/>
          <w:szCs w:val="24"/>
        </w:rPr>
        <w:t xml:space="preserve"> </w:t>
      </w:r>
      <w:r w:rsidR="00D249C7" w:rsidRPr="000F4CBD">
        <w:rPr>
          <w:rFonts w:ascii="Times New Roman" w:hAnsi="Times New Roman"/>
          <w:bCs/>
          <w:sz w:val="24"/>
          <w:szCs w:val="24"/>
        </w:rPr>
        <w:t>На фондовом рынке и рынке депозитов Группы «Московская Биржа» НКЦ предоставляет своим клиентам наиболее широкий спектр услуг, осуществляя клиринг по сделкам, заключенным в различных режимах торгов, как с исполнением, так и без исполнения функций центрального контрагента. НКЦ осуществляет клиринговую деятельность на этом рынке с 1 ноября 2011 года. Организатором торгов до 19 декабря 2016 года являлось ЗАО «Фондовая биржа ММВБ», а с 19 декабря 2016 года – ПАО Московская Биржа. Расчеты по итогам клиринга на фондовом рынке осуществляет Небанковская кредитная организация акционерное общество «Национальный расчетный депозитарий» (далее – НКО АО НРД).</w:t>
      </w:r>
    </w:p>
    <w:p w14:paraId="1A9D1B34" w14:textId="77777777" w:rsidR="00D249C7" w:rsidRPr="000F4CBD" w:rsidRDefault="00D249C7" w:rsidP="00D249C7">
      <w:pPr>
        <w:tabs>
          <w:tab w:val="right" w:pos="9356"/>
        </w:tabs>
        <w:ind w:firstLine="709"/>
        <w:jc w:val="both"/>
        <w:rPr>
          <w:rFonts w:ascii="Times New Roman" w:eastAsia="Calibri" w:hAnsi="Times New Roman"/>
          <w:noProof/>
          <w:sz w:val="24"/>
          <w:szCs w:val="24"/>
        </w:rPr>
      </w:pPr>
    </w:p>
    <w:p w14:paraId="18295A8E" w14:textId="77777777" w:rsidR="00D249C7" w:rsidRPr="000F4CBD" w:rsidRDefault="00D249C7" w:rsidP="00D249C7">
      <w:pPr>
        <w:ind w:firstLine="567"/>
        <w:jc w:val="both"/>
        <w:rPr>
          <w:rFonts w:ascii="Times New Roman" w:hAnsi="Times New Roman"/>
          <w:bCs/>
          <w:sz w:val="24"/>
          <w:szCs w:val="24"/>
        </w:rPr>
      </w:pPr>
      <w:r w:rsidRPr="000F4CBD">
        <w:rPr>
          <w:rFonts w:ascii="Times New Roman" w:hAnsi="Times New Roman"/>
          <w:bCs/>
          <w:sz w:val="24"/>
          <w:szCs w:val="24"/>
        </w:rPr>
        <w:t>НКЦ осуществляет клиринг на фондовом рынке и рынке депозитов:</w:t>
      </w:r>
    </w:p>
    <w:p w14:paraId="0583CA10" w14:textId="77777777" w:rsidR="00D249C7" w:rsidRPr="000F4CBD" w:rsidRDefault="00D249C7" w:rsidP="00D249C7">
      <w:pPr>
        <w:numPr>
          <w:ilvl w:val="0"/>
          <w:numId w:val="50"/>
        </w:numPr>
        <w:spacing w:before="60"/>
        <w:contextualSpacing/>
        <w:jc w:val="both"/>
        <w:rPr>
          <w:rFonts w:ascii="Times New Roman" w:hAnsi="Times New Roman"/>
          <w:bCs/>
          <w:noProof/>
          <w:sz w:val="24"/>
          <w:szCs w:val="24"/>
        </w:rPr>
      </w:pPr>
      <w:r w:rsidRPr="000F4CBD">
        <w:rPr>
          <w:rFonts w:ascii="Times New Roman" w:hAnsi="Times New Roman"/>
          <w:b/>
          <w:bCs/>
          <w:i/>
          <w:noProof/>
          <w:sz w:val="24"/>
          <w:szCs w:val="24"/>
        </w:rPr>
        <w:t>с частичным обеспечением</w:t>
      </w:r>
      <w:r w:rsidR="00485CB9">
        <w:rPr>
          <w:rFonts w:ascii="Times New Roman" w:hAnsi="Times New Roman"/>
          <w:b/>
          <w:bCs/>
          <w:i/>
          <w:noProof/>
          <w:sz w:val="24"/>
          <w:szCs w:val="24"/>
        </w:rPr>
        <w:t>:</w:t>
      </w:r>
    </w:p>
    <w:p w14:paraId="2BEB7E70" w14:textId="77777777" w:rsidR="00D249C7" w:rsidRPr="000F4CBD" w:rsidRDefault="00D249C7" w:rsidP="00D249C7">
      <w:pPr>
        <w:numPr>
          <w:ilvl w:val="1"/>
          <w:numId w:val="50"/>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для сделок купли-продажи с центральным контаргентом, заключенных на основании безадресных заявок с исполнением в Т+2 (акции, депозитарные расписки, инвестиционные паи, ИСУ, ETF) и с исполнением в Т+1 (ОФЗ), а также для сделок с перечисленными ценными бумагами, заключенных на основании адресных заявок с исполнением от Т+0 до Т+2;</w:t>
      </w:r>
    </w:p>
    <w:p w14:paraId="045E5220" w14:textId="77777777" w:rsidR="00D249C7" w:rsidRPr="000F4CBD" w:rsidRDefault="00D249C7" w:rsidP="00D249C7">
      <w:pPr>
        <w:numPr>
          <w:ilvl w:val="1"/>
          <w:numId w:val="50"/>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для сделок РЕПО с центральным контрагентом, в том числе сделок РЕПО с клиринговыми сертификатами участия, заключенных на основании адресных и безадресных зявок;</w:t>
      </w:r>
    </w:p>
    <w:p w14:paraId="31815B62" w14:textId="77777777" w:rsidR="00D249C7" w:rsidRPr="000F4CBD" w:rsidRDefault="00D249C7" w:rsidP="00D249C7">
      <w:pPr>
        <w:numPr>
          <w:ilvl w:val="1"/>
          <w:numId w:val="50"/>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для депозитных договоров;</w:t>
      </w:r>
    </w:p>
    <w:p w14:paraId="4A9B9C90" w14:textId="77777777" w:rsidR="00D249C7" w:rsidRPr="000F4CBD" w:rsidRDefault="00D249C7" w:rsidP="00D249C7">
      <w:pPr>
        <w:numPr>
          <w:ilvl w:val="0"/>
          <w:numId w:val="50"/>
        </w:numPr>
        <w:spacing w:before="60"/>
        <w:contextualSpacing/>
        <w:jc w:val="both"/>
        <w:rPr>
          <w:rFonts w:ascii="Times New Roman" w:hAnsi="Times New Roman"/>
          <w:b/>
          <w:bCs/>
          <w:i/>
          <w:noProof/>
          <w:sz w:val="24"/>
          <w:szCs w:val="24"/>
        </w:rPr>
      </w:pPr>
      <w:r w:rsidRPr="000F4CBD">
        <w:rPr>
          <w:rFonts w:ascii="Times New Roman" w:hAnsi="Times New Roman"/>
          <w:b/>
          <w:bCs/>
          <w:i/>
          <w:noProof/>
          <w:sz w:val="24"/>
          <w:szCs w:val="24"/>
        </w:rPr>
        <w:t>с полным обеспечением:</w:t>
      </w:r>
    </w:p>
    <w:p w14:paraId="4ED2119C" w14:textId="77777777" w:rsidR="00D249C7" w:rsidRPr="000F4CBD" w:rsidRDefault="00D249C7" w:rsidP="00D249C7">
      <w:pPr>
        <w:numPr>
          <w:ilvl w:val="1"/>
          <w:numId w:val="50"/>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для сделок купли-продажи с центральным контрагентом, заключенных на основании заявок (адресных или безадресных) с исполнением в Т+0 (корпоративные, региональные и муниципальные облигации), а также для первых частей сделок РЕПО, заключенных на основании адерсных заявок с исполнением в Т+0;</w:t>
      </w:r>
    </w:p>
    <w:p w14:paraId="6BFA6A95" w14:textId="77777777" w:rsidR="00D249C7" w:rsidRPr="000F4CBD" w:rsidRDefault="00D249C7" w:rsidP="00D249C7">
      <w:pPr>
        <w:numPr>
          <w:ilvl w:val="0"/>
          <w:numId w:val="50"/>
        </w:numPr>
        <w:spacing w:before="60"/>
        <w:contextualSpacing/>
        <w:jc w:val="both"/>
        <w:rPr>
          <w:rFonts w:ascii="Times New Roman" w:hAnsi="Times New Roman"/>
          <w:b/>
          <w:bCs/>
          <w:i/>
          <w:noProof/>
          <w:sz w:val="24"/>
          <w:szCs w:val="24"/>
        </w:rPr>
      </w:pPr>
      <w:r w:rsidRPr="000F4CBD">
        <w:rPr>
          <w:rFonts w:ascii="Times New Roman" w:hAnsi="Times New Roman"/>
          <w:b/>
          <w:bCs/>
          <w:i/>
          <w:noProof/>
          <w:sz w:val="24"/>
          <w:szCs w:val="24"/>
        </w:rPr>
        <w:t>без предварительного обеспечения</w:t>
      </w:r>
      <w:r w:rsidR="00485CB9">
        <w:rPr>
          <w:rFonts w:ascii="Times New Roman" w:hAnsi="Times New Roman"/>
          <w:b/>
          <w:bCs/>
          <w:i/>
          <w:noProof/>
          <w:sz w:val="24"/>
          <w:szCs w:val="24"/>
        </w:rPr>
        <w:t>:</w:t>
      </w:r>
    </w:p>
    <w:p w14:paraId="00D7B8F7" w14:textId="77777777" w:rsidR="00D249C7" w:rsidRPr="000F4CBD" w:rsidRDefault="00D249C7" w:rsidP="00D249C7">
      <w:pPr>
        <w:numPr>
          <w:ilvl w:val="1"/>
          <w:numId w:val="50"/>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для сделок РЕПО и купли-продажи без центрального контрагента, заключенных на основании адерсных заявок, с исполнением сделок купли-продажи: от Т+0 до Т+30, сделок РЕПО: первая часть от Т+0 до Т+2, вторая часть – от Т+0 до Т+365.</w:t>
      </w:r>
    </w:p>
    <w:p w14:paraId="3F20E416" w14:textId="77777777" w:rsidR="00A92A93" w:rsidRDefault="00A92A93" w:rsidP="00A92A93">
      <w:pPr>
        <w:jc w:val="both"/>
        <w:rPr>
          <w:rFonts w:ascii="Times New Roman" w:eastAsia="Calibri" w:hAnsi="Times New Roman"/>
          <w:noProof/>
          <w:sz w:val="24"/>
          <w:szCs w:val="24"/>
        </w:rPr>
      </w:pPr>
    </w:p>
    <w:p w14:paraId="0F245159" w14:textId="4B6D7348" w:rsidR="00D249C7" w:rsidRPr="000F4CBD" w:rsidRDefault="00A92A93" w:rsidP="00A92A93">
      <w:pPr>
        <w:jc w:val="both"/>
        <w:rPr>
          <w:rFonts w:ascii="Times New Roman" w:eastAsia="Calibri" w:hAnsi="Times New Roman"/>
          <w:noProof/>
          <w:sz w:val="24"/>
          <w:szCs w:val="24"/>
        </w:rPr>
      </w:pPr>
      <w:r>
        <w:rPr>
          <w:rFonts w:ascii="Times New Roman" w:eastAsia="Calibri" w:hAnsi="Times New Roman"/>
          <w:noProof/>
          <w:sz w:val="24"/>
          <w:szCs w:val="24"/>
        </w:rPr>
        <w:t xml:space="preserve">     </w:t>
      </w:r>
      <w:r w:rsidR="00D249C7" w:rsidRPr="000F4CBD">
        <w:rPr>
          <w:rFonts w:ascii="Times New Roman" w:hAnsi="Times New Roman"/>
          <w:bCs/>
          <w:sz w:val="24"/>
          <w:szCs w:val="24"/>
        </w:rPr>
        <w:t>В качестве способов обеспечения исполнения обязательств, допущенных к клирингу, НКЦ использует индивидуальное клиринговое обеспечение участников клиринга в российских рублях, иностранной валюте и ценных бумагах, а для клиринга с частичным обеспечением также коллективное клиринговое обеспечение (гарантийный фонд).</w:t>
      </w:r>
    </w:p>
    <w:p w14:paraId="6779503F" w14:textId="77777777" w:rsidR="00A92A93" w:rsidRDefault="00A92A93" w:rsidP="00A92A93">
      <w:pPr>
        <w:jc w:val="both"/>
        <w:rPr>
          <w:rFonts w:ascii="Times New Roman" w:eastAsia="Calibri" w:hAnsi="Times New Roman"/>
          <w:noProof/>
          <w:sz w:val="24"/>
          <w:szCs w:val="24"/>
        </w:rPr>
      </w:pPr>
    </w:p>
    <w:p w14:paraId="73A3B0BB" w14:textId="04A6C398" w:rsidR="00D249C7" w:rsidRPr="000F4CBD" w:rsidRDefault="00A92A93" w:rsidP="00A92A93">
      <w:pPr>
        <w:jc w:val="both"/>
        <w:rPr>
          <w:rFonts w:ascii="Times New Roman" w:eastAsia="Calibri" w:hAnsi="Times New Roman"/>
          <w:noProof/>
          <w:sz w:val="18"/>
          <w:szCs w:val="18"/>
        </w:rPr>
      </w:pPr>
      <w:r>
        <w:rPr>
          <w:rFonts w:ascii="Times New Roman" w:eastAsia="Calibri" w:hAnsi="Times New Roman"/>
          <w:noProof/>
          <w:sz w:val="24"/>
          <w:szCs w:val="24"/>
        </w:rPr>
        <w:t xml:space="preserve">     </w:t>
      </w:r>
      <w:r w:rsidR="00D249C7" w:rsidRPr="000F4CBD">
        <w:rPr>
          <w:rFonts w:ascii="Times New Roman" w:eastAsia="Calibri" w:hAnsi="Times New Roman"/>
          <w:noProof/>
          <w:sz w:val="24"/>
          <w:szCs w:val="24"/>
        </w:rPr>
        <w:t xml:space="preserve"> </w:t>
      </w:r>
      <w:r w:rsidR="00D249C7" w:rsidRPr="000F4CBD">
        <w:rPr>
          <w:rFonts w:ascii="Times New Roman" w:hAnsi="Times New Roman"/>
          <w:bCs/>
          <w:sz w:val="24"/>
          <w:szCs w:val="24"/>
        </w:rPr>
        <w:t>НКЦ осуществляет клиринг, выполняя функции центрального контрагента, по следующим сделкам, заключенным на условиях полного или частичного обеспечения:</w:t>
      </w:r>
    </w:p>
    <w:p w14:paraId="69BFE50D" w14:textId="77777777" w:rsidR="00D249C7" w:rsidRPr="000F4CBD" w:rsidRDefault="00D249C7" w:rsidP="00D249C7">
      <w:pPr>
        <w:numPr>
          <w:ilvl w:val="0"/>
          <w:numId w:val="51"/>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lastRenderedPageBreak/>
        <w:t>сделкам купли-продажи ценных бумаг с кодом расчетов Т0 (за исключением сделок размещения и выкупа), K0, Yn;</w:t>
      </w:r>
    </w:p>
    <w:p w14:paraId="01C30BF4" w14:textId="77777777" w:rsidR="00D249C7" w:rsidRPr="000F4CBD" w:rsidRDefault="00D249C7" w:rsidP="00D249C7">
      <w:pPr>
        <w:numPr>
          <w:ilvl w:val="0"/>
          <w:numId w:val="51"/>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сделкам РЕПО с кодом расчетов T0/Yn, Ym/Yn;</w:t>
      </w:r>
    </w:p>
    <w:p w14:paraId="32AE3628" w14:textId="77777777" w:rsidR="00D249C7" w:rsidRPr="000F4CBD" w:rsidRDefault="00D249C7" w:rsidP="00D249C7">
      <w:pPr>
        <w:numPr>
          <w:ilvl w:val="0"/>
          <w:numId w:val="51"/>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депозитным договорам с кодом расчетов Ym/Yn.</w:t>
      </w:r>
    </w:p>
    <w:p w14:paraId="60605DF2" w14:textId="77777777" w:rsidR="00D249C7" w:rsidRPr="000F4CBD" w:rsidRDefault="00D249C7" w:rsidP="00D249C7">
      <w:pPr>
        <w:spacing w:before="60"/>
        <w:contextualSpacing/>
        <w:jc w:val="both"/>
        <w:rPr>
          <w:rFonts w:ascii="Times New Roman" w:hAnsi="Times New Roman"/>
          <w:bCs/>
          <w:noProof/>
          <w:sz w:val="24"/>
          <w:szCs w:val="24"/>
        </w:rPr>
      </w:pPr>
    </w:p>
    <w:p w14:paraId="6C00ED58" w14:textId="4C13062B" w:rsidR="00D249C7" w:rsidRPr="000F4CBD" w:rsidRDefault="00A92A93" w:rsidP="00A92A93">
      <w:pPr>
        <w:jc w:val="both"/>
        <w:rPr>
          <w:rFonts w:ascii="Times New Roman" w:hAnsi="Times New Roman"/>
          <w:bCs/>
          <w:sz w:val="24"/>
          <w:szCs w:val="24"/>
        </w:rPr>
      </w:pPr>
      <w:r>
        <w:rPr>
          <w:rFonts w:ascii="Times New Roman" w:eastAsia="Calibri" w:hAnsi="Times New Roman"/>
          <w:noProof/>
          <w:sz w:val="24"/>
          <w:szCs w:val="24"/>
        </w:rPr>
        <w:t xml:space="preserve">     </w:t>
      </w:r>
      <w:r w:rsidR="00D249C7" w:rsidRPr="000F4CBD">
        <w:rPr>
          <w:rFonts w:ascii="Times New Roman" w:eastAsia="Calibri" w:hAnsi="Times New Roman"/>
          <w:noProof/>
          <w:sz w:val="24"/>
          <w:szCs w:val="24"/>
        </w:rPr>
        <w:t xml:space="preserve"> </w:t>
      </w:r>
      <w:r w:rsidR="00D249C7" w:rsidRPr="000F4CBD">
        <w:rPr>
          <w:rFonts w:ascii="Times New Roman" w:hAnsi="Times New Roman"/>
          <w:bCs/>
          <w:sz w:val="24"/>
          <w:szCs w:val="24"/>
        </w:rPr>
        <w:t>НКЦ осуществляет клиринг без выполнения функций центрального контрагента по следующим сделкам:</w:t>
      </w:r>
    </w:p>
    <w:p w14:paraId="7A9E4067" w14:textId="77777777" w:rsidR="00D249C7" w:rsidRPr="000F4CBD" w:rsidRDefault="00D249C7" w:rsidP="00D249C7">
      <w:pPr>
        <w:numPr>
          <w:ilvl w:val="0"/>
          <w:numId w:val="52"/>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сделкам купли-продажи ценных бумаг с кодом расчетов Bn, В0-В30, Z0;</w:t>
      </w:r>
    </w:p>
    <w:p w14:paraId="24199DF0" w14:textId="77777777" w:rsidR="00D249C7" w:rsidRPr="000F4CBD" w:rsidRDefault="00D249C7" w:rsidP="00D249C7">
      <w:pPr>
        <w:numPr>
          <w:ilvl w:val="0"/>
          <w:numId w:val="52"/>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сделкам РЕПО с кодом расчетов Rb, Sn, Z0;</w:t>
      </w:r>
    </w:p>
    <w:p w14:paraId="05CCD709" w14:textId="77777777" w:rsidR="00D249C7" w:rsidRPr="000F4CBD" w:rsidRDefault="00D249C7" w:rsidP="00D249C7">
      <w:pPr>
        <w:numPr>
          <w:ilvl w:val="0"/>
          <w:numId w:val="52"/>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сделкам размещения и выкупа с кодом расчетов Т0;</w:t>
      </w:r>
    </w:p>
    <w:p w14:paraId="1E621564" w14:textId="77777777" w:rsidR="00D249C7" w:rsidRPr="000F4CBD" w:rsidRDefault="00D249C7" w:rsidP="00D249C7">
      <w:pPr>
        <w:numPr>
          <w:ilvl w:val="0"/>
          <w:numId w:val="52"/>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сделкам размещения акций с кодом расчетов Х0.</w:t>
      </w:r>
    </w:p>
    <w:p w14:paraId="33DB5BBF" w14:textId="77777777" w:rsidR="00D249C7" w:rsidRPr="000F4CBD" w:rsidRDefault="00D249C7" w:rsidP="00D249C7">
      <w:pPr>
        <w:tabs>
          <w:tab w:val="right" w:pos="9356"/>
        </w:tabs>
        <w:ind w:firstLine="709"/>
        <w:jc w:val="both"/>
        <w:rPr>
          <w:rFonts w:ascii="Times New Roman" w:eastAsia="Calibri" w:hAnsi="Times New Roman"/>
          <w:noProof/>
          <w:sz w:val="24"/>
          <w:szCs w:val="24"/>
        </w:rPr>
      </w:pPr>
    </w:p>
    <w:p w14:paraId="015B6DA1" w14:textId="56F778E0" w:rsidR="00D249C7" w:rsidRPr="000F4CBD" w:rsidRDefault="00A92A93" w:rsidP="00A92A93">
      <w:pPr>
        <w:jc w:val="both"/>
        <w:rPr>
          <w:rFonts w:ascii="Times New Roman" w:hAnsi="Times New Roman"/>
          <w:bCs/>
          <w:sz w:val="24"/>
          <w:szCs w:val="24"/>
        </w:rPr>
      </w:pPr>
      <w:r>
        <w:rPr>
          <w:rFonts w:ascii="Times New Roman" w:eastAsia="Calibri" w:hAnsi="Times New Roman"/>
          <w:noProof/>
          <w:sz w:val="24"/>
          <w:szCs w:val="24"/>
        </w:rPr>
        <w:t xml:space="preserve">     </w:t>
      </w:r>
      <w:r w:rsidR="00D249C7" w:rsidRPr="000F4CBD">
        <w:rPr>
          <w:rFonts w:ascii="Times New Roman" w:eastAsia="Calibri" w:hAnsi="Times New Roman"/>
          <w:noProof/>
          <w:sz w:val="24"/>
          <w:szCs w:val="24"/>
        </w:rPr>
        <w:t xml:space="preserve"> </w:t>
      </w:r>
      <w:r w:rsidR="00D249C7" w:rsidRPr="000F4CBD">
        <w:rPr>
          <w:rFonts w:ascii="Times New Roman" w:hAnsi="Times New Roman"/>
          <w:bCs/>
          <w:sz w:val="24"/>
          <w:szCs w:val="24"/>
        </w:rPr>
        <w:t>Сделки на фондовом рынке и рынке депозитов могут заключаться на основании безадресных (в «стакане») или адресных заявок. На основании безадресных заявок сделки могут заключаться только на условиях полного или частичного обеспечения.</w:t>
      </w:r>
    </w:p>
    <w:p w14:paraId="2B8978A8" w14:textId="226C696D" w:rsidR="00D249C7" w:rsidRPr="000F4CBD" w:rsidRDefault="00A92A93" w:rsidP="00A92A93">
      <w:pPr>
        <w:jc w:val="both"/>
        <w:rPr>
          <w:rFonts w:ascii="Times New Roman" w:eastAsia="Calibri" w:hAnsi="Times New Roman"/>
          <w:noProof/>
          <w:sz w:val="24"/>
          <w:szCs w:val="24"/>
        </w:rPr>
      </w:pPr>
      <w:r>
        <w:rPr>
          <w:rFonts w:ascii="Times New Roman" w:eastAsia="Calibri" w:hAnsi="Times New Roman"/>
          <w:noProof/>
          <w:sz w:val="24"/>
          <w:szCs w:val="24"/>
        </w:rPr>
        <w:t xml:space="preserve">      </w:t>
      </w:r>
      <w:r w:rsidR="00D249C7" w:rsidRPr="000F4CBD">
        <w:rPr>
          <w:rFonts w:ascii="Times New Roman" w:hAnsi="Times New Roman"/>
          <w:bCs/>
          <w:sz w:val="24"/>
          <w:szCs w:val="24"/>
        </w:rPr>
        <w:t>Расчеты по результатам клиринга, осуществляемого НКЦ, проводятся как в ходе торгов, так и по их итогам торгов и могут производиться:</w:t>
      </w:r>
    </w:p>
    <w:p w14:paraId="53E67D3A" w14:textId="77777777" w:rsidR="00D249C7" w:rsidRPr="000F4CBD" w:rsidRDefault="00D249C7" w:rsidP="00D249C7">
      <w:pPr>
        <w:numPr>
          <w:ilvl w:val="0"/>
          <w:numId w:val="53"/>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 xml:space="preserve">за счет участников клиринга; </w:t>
      </w:r>
    </w:p>
    <w:p w14:paraId="4C5F0840" w14:textId="77777777" w:rsidR="00D249C7" w:rsidRPr="000F4CBD" w:rsidRDefault="00D249C7" w:rsidP="00D249C7">
      <w:pPr>
        <w:numPr>
          <w:ilvl w:val="0"/>
          <w:numId w:val="53"/>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за счет клиентов участников клиринга;</w:t>
      </w:r>
    </w:p>
    <w:p w14:paraId="74CC703D" w14:textId="77777777" w:rsidR="00D249C7" w:rsidRPr="000F4CBD" w:rsidRDefault="00D249C7" w:rsidP="00D249C7">
      <w:pPr>
        <w:numPr>
          <w:ilvl w:val="0"/>
          <w:numId w:val="53"/>
        </w:numPr>
        <w:spacing w:before="60"/>
        <w:contextualSpacing/>
        <w:jc w:val="both"/>
        <w:rPr>
          <w:rFonts w:ascii="Times New Roman" w:hAnsi="Times New Roman"/>
          <w:bCs/>
          <w:noProof/>
          <w:sz w:val="24"/>
          <w:szCs w:val="24"/>
        </w:rPr>
      </w:pPr>
      <w:r w:rsidRPr="000F4CBD">
        <w:rPr>
          <w:rFonts w:ascii="Times New Roman" w:hAnsi="Times New Roman"/>
          <w:bCs/>
          <w:noProof/>
          <w:sz w:val="24"/>
          <w:szCs w:val="24"/>
        </w:rPr>
        <w:t xml:space="preserve">за счет средств, находящихся в доверительном управлении у участников клиринга. </w:t>
      </w:r>
    </w:p>
    <w:p w14:paraId="61FAD110" w14:textId="77777777" w:rsidR="00D249C7" w:rsidRPr="000F4CBD" w:rsidRDefault="00D249C7" w:rsidP="00D249C7">
      <w:pPr>
        <w:tabs>
          <w:tab w:val="right" w:pos="9356"/>
        </w:tabs>
        <w:ind w:firstLine="709"/>
        <w:jc w:val="both"/>
        <w:rPr>
          <w:rFonts w:ascii="Times New Roman" w:eastAsia="Calibri" w:hAnsi="Times New Roman"/>
          <w:noProof/>
          <w:sz w:val="24"/>
          <w:szCs w:val="24"/>
        </w:rPr>
      </w:pPr>
    </w:p>
    <w:p w14:paraId="6E334B38" w14:textId="468E1187" w:rsidR="00D249C7" w:rsidRPr="000F4CBD" w:rsidRDefault="00A92A93" w:rsidP="00A92A93">
      <w:pPr>
        <w:jc w:val="both"/>
        <w:rPr>
          <w:rFonts w:ascii="Times New Roman" w:hAnsi="Times New Roman"/>
          <w:bCs/>
          <w:sz w:val="24"/>
          <w:szCs w:val="24"/>
        </w:rPr>
      </w:pPr>
      <w:r>
        <w:rPr>
          <w:rFonts w:ascii="Times New Roman" w:eastAsia="Calibri" w:hAnsi="Times New Roman"/>
          <w:noProof/>
          <w:sz w:val="24"/>
          <w:szCs w:val="24"/>
        </w:rPr>
        <w:t xml:space="preserve">     </w:t>
      </w:r>
      <w:r w:rsidR="00D249C7" w:rsidRPr="000F4CBD">
        <w:rPr>
          <w:rFonts w:ascii="Times New Roman" w:hAnsi="Times New Roman"/>
          <w:bCs/>
          <w:sz w:val="24"/>
          <w:szCs w:val="24"/>
        </w:rPr>
        <w:t>Внедрение надежных и эффективных технологий клирингового обслуживания, привлекательных для инвесторов инструментов положительно отразилось н</w:t>
      </w:r>
      <w:r w:rsidR="001E5301">
        <w:rPr>
          <w:rFonts w:ascii="Times New Roman" w:hAnsi="Times New Roman"/>
          <w:bCs/>
          <w:sz w:val="24"/>
          <w:szCs w:val="24"/>
        </w:rPr>
        <w:t>а результатах деятельности НКЦ</w:t>
      </w:r>
      <w:r w:rsidR="00D249C7" w:rsidRPr="000F4CBD">
        <w:rPr>
          <w:rFonts w:ascii="Times New Roman" w:hAnsi="Times New Roman"/>
          <w:bCs/>
          <w:sz w:val="24"/>
          <w:szCs w:val="24"/>
        </w:rPr>
        <w:t xml:space="preserve"> на этом сегменте рынка. В частности, комиссионное вознаграждение, полученное НКЦ за клиринговое обслуживание на фондовом рынке и рынке депозитов за 2017 год</w:t>
      </w:r>
      <w:r w:rsidR="005441D2">
        <w:rPr>
          <w:rFonts w:ascii="Times New Roman" w:hAnsi="Times New Roman"/>
          <w:bCs/>
          <w:sz w:val="24"/>
          <w:szCs w:val="24"/>
        </w:rPr>
        <w:t>,</w:t>
      </w:r>
      <w:r w:rsidR="00D249C7" w:rsidRPr="000F4CBD">
        <w:rPr>
          <w:rFonts w:ascii="Times New Roman" w:hAnsi="Times New Roman"/>
          <w:bCs/>
          <w:sz w:val="24"/>
          <w:szCs w:val="24"/>
        </w:rPr>
        <w:t xml:space="preserve"> составило 5 272 378 тыс. руб., что в 1,14 раза превосходит аналогичный показатель за 2016 год – 4 629 909 тыс. руб.</w:t>
      </w:r>
    </w:p>
    <w:p w14:paraId="40D99F93" w14:textId="77777777" w:rsidR="00D249C7" w:rsidRPr="000F4CBD" w:rsidRDefault="00D249C7" w:rsidP="00D249C7">
      <w:pPr>
        <w:tabs>
          <w:tab w:val="right" w:pos="9356"/>
        </w:tabs>
        <w:ind w:firstLine="709"/>
        <w:jc w:val="both"/>
        <w:rPr>
          <w:rFonts w:ascii="Times New Roman" w:eastAsia="Calibri" w:hAnsi="Times New Roman"/>
          <w:noProof/>
          <w:sz w:val="24"/>
          <w:szCs w:val="24"/>
        </w:rPr>
      </w:pPr>
    </w:p>
    <w:p w14:paraId="77CBAA88" w14:textId="77777777" w:rsidR="00D249C7" w:rsidRPr="000F4CBD" w:rsidRDefault="00D249C7" w:rsidP="00D249C7">
      <w:pPr>
        <w:tabs>
          <w:tab w:val="left" w:pos="8820"/>
        </w:tabs>
        <w:ind w:right="76"/>
        <w:jc w:val="both"/>
        <w:rPr>
          <w:rFonts w:ascii="Times New Roman" w:hAnsi="Times New Roman"/>
          <w:b/>
          <w:sz w:val="28"/>
          <w:szCs w:val="28"/>
        </w:rPr>
      </w:pPr>
    </w:p>
    <w:p w14:paraId="5B5A2555" w14:textId="77777777" w:rsidR="00D249C7" w:rsidRPr="000F4CBD" w:rsidRDefault="00D249C7" w:rsidP="00D249C7">
      <w:pPr>
        <w:tabs>
          <w:tab w:val="left" w:pos="8820"/>
        </w:tabs>
        <w:ind w:right="76"/>
        <w:jc w:val="center"/>
        <w:rPr>
          <w:rFonts w:ascii="Times New Roman" w:hAnsi="Times New Roman"/>
          <w:b/>
          <w:sz w:val="28"/>
          <w:szCs w:val="28"/>
        </w:rPr>
      </w:pPr>
    </w:p>
    <w:p w14:paraId="2C570685" w14:textId="77777777" w:rsidR="00D249C7" w:rsidRPr="000F4CBD" w:rsidRDefault="00D249C7" w:rsidP="00D249C7">
      <w:pPr>
        <w:tabs>
          <w:tab w:val="left" w:pos="8820"/>
        </w:tabs>
        <w:ind w:right="76"/>
        <w:jc w:val="center"/>
        <w:rPr>
          <w:rFonts w:ascii="Times New Roman" w:hAnsi="Times New Roman"/>
          <w:b/>
          <w:sz w:val="28"/>
          <w:szCs w:val="28"/>
        </w:rPr>
      </w:pPr>
    </w:p>
    <w:p w14:paraId="21A1F196" w14:textId="77777777" w:rsidR="00D249C7" w:rsidRPr="000F4CBD" w:rsidRDefault="00D249C7" w:rsidP="00722C56">
      <w:pPr>
        <w:pStyle w:val="2"/>
        <w:jc w:val="center"/>
        <w:rPr>
          <w:rFonts w:ascii="Times New Roman" w:hAnsi="Times New Roman"/>
          <w:b/>
          <w:sz w:val="28"/>
          <w:szCs w:val="28"/>
        </w:rPr>
      </w:pPr>
      <w:bookmarkStart w:id="8" w:name="_Toc510776657"/>
      <w:r w:rsidRPr="00EA71B4">
        <w:rPr>
          <w:rFonts w:ascii="Times New Roman" w:hAnsi="Times New Roman" w:cs="Times New Roman"/>
          <w:b/>
          <w:color w:val="000000" w:themeColor="text1"/>
          <w:sz w:val="28"/>
          <w:szCs w:val="28"/>
        </w:rPr>
        <w:t>5.3. Клиринговая деятельность на срочном рынке</w:t>
      </w:r>
      <w:bookmarkEnd w:id="8"/>
    </w:p>
    <w:p w14:paraId="5CBDD617" w14:textId="77777777" w:rsidR="00D249C7" w:rsidRPr="000F4CBD" w:rsidRDefault="00D249C7" w:rsidP="00D249C7">
      <w:pPr>
        <w:tabs>
          <w:tab w:val="right" w:pos="9356"/>
        </w:tabs>
        <w:jc w:val="both"/>
        <w:rPr>
          <w:rFonts w:ascii="Times New Roman" w:eastAsia="Calibri" w:hAnsi="Times New Roman"/>
          <w:noProof/>
          <w:sz w:val="24"/>
          <w:szCs w:val="24"/>
        </w:rPr>
      </w:pPr>
      <w:r w:rsidRPr="000F4CBD">
        <w:rPr>
          <w:rFonts w:ascii="Times New Roman" w:eastAsia="Calibri" w:hAnsi="Times New Roman"/>
          <w:noProof/>
          <w:sz w:val="24"/>
          <w:szCs w:val="24"/>
        </w:rPr>
        <w:t xml:space="preserve">     </w:t>
      </w:r>
    </w:p>
    <w:p w14:paraId="79CB1EF2" w14:textId="697A62E3" w:rsidR="00D249C7" w:rsidRPr="000F4CBD" w:rsidRDefault="005441D2" w:rsidP="005441D2">
      <w:pPr>
        <w:jc w:val="both"/>
        <w:rPr>
          <w:rFonts w:ascii="Times New Roman" w:eastAsia="Calibri" w:hAnsi="Times New Roman"/>
          <w:noProof/>
          <w:sz w:val="24"/>
          <w:szCs w:val="24"/>
        </w:rPr>
      </w:pPr>
      <w:r>
        <w:rPr>
          <w:rFonts w:ascii="Times New Roman" w:hAnsi="Times New Roman"/>
          <w:bCs/>
          <w:sz w:val="24"/>
          <w:szCs w:val="24"/>
        </w:rPr>
        <w:t xml:space="preserve">     </w:t>
      </w:r>
      <w:r w:rsidR="00D249C7" w:rsidRPr="000F4CBD">
        <w:rPr>
          <w:rFonts w:ascii="Times New Roman" w:hAnsi="Times New Roman"/>
          <w:bCs/>
          <w:sz w:val="24"/>
          <w:szCs w:val="24"/>
        </w:rPr>
        <w:t>НКЦ осуществляет клиринг на срочном рынке ПАО Московская биржа с 2012 года по широкому набору производных финансовых инструментов: фьючерсам, базовыми активами которых являются индексы, акции, валютные пары, процентные ставки, товары, а также по опционам на указанные фьючерсы. Московская Биржа является ведущей биржей по торговле производными финансовыми инструментами в странах СНГ и Восточной Европы и входит в ТОП-8 мировых деривативных бирж</w:t>
      </w:r>
      <w:r w:rsidR="00D249C7" w:rsidRPr="000F4CBD">
        <w:rPr>
          <w:rFonts w:ascii="Times New Roman" w:hAnsi="Times New Roman"/>
          <w:bCs/>
          <w:sz w:val="24"/>
          <w:szCs w:val="24"/>
          <w:vertAlign w:val="superscript"/>
        </w:rPr>
        <w:footnoteReference w:id="1"/>
      </w:r>
      <w:r w:rsidR="00D249C7" w:rsidRPr="000F4CBD">
        <w:rPr>
          <w:rFonts w:ascii="Times New Roman" w:hAnsi="Times New Roman"/>
          <w:bCs/>
          <w:sz w:val="24"/>
          <w:szCs w:val="24"/>
        </w:rPr>
        <w:t>.</w:t>
      </w:r>
      <w:r w:rsidR="00D249C7" w:rsidRPr="000F4CBD">
        <w:rPr>
          <w:rFonts w:ascii="Times New Roman" w:eastAsia="Calibri" w:hAnsi="Times New Roman"/>
          <w:noProof/>
          <w:sz w:val="24"/>
          <w:szCs w:val="24"/>
        </w:rPr>
        <w:t xml:space="preserve"> </w:t>
      </w:r>
    </w:p>
    <w:p w14:paraId="3A5310B2" w14:textId="77777777" w:rsidR="005441D2" w:rsidRDefault="005441D2" w:rsidP="005441D2">
      <w:pPr>
        <w:tabs>
          <w:tab w:val="right" w:pos="9356"/>
        </w:tabs>
        <w:jc w:val="both"/>
        <w:rPr>
          <w:rFonts w:ascii="Times New Roman" w:hAnsi="Times New Roman"/>
          <w:bCs/>
          <w:sz w:val="24"/>
          <w:szCs w:val="24"/>
        </w:rPr>
      </w:pPr>
    </w:p>
    <w:p w14:paraId="006F2E04" w14:textId="17AA3323" w:rsidR="00D249C7" w:rsidRPr="000F4CBD" w:rsidRDefault="005441D2" w:rsidP="005441D2">
      <w:pPr>
        <w:tabs>
          <w:tab w:val="right" w:pos="9356"/>
        </w:tabs>
        <w:jc w:val="both"/>
        <w:rPr>
          <w:rFonts w:ascii="Times New Roman" w:eastAsia="Calibri" w:hAnsi="Times New Roman"/>
          <w:noProof/>
          <w:sz w:val="24"/>
          <w:szCs w:val="24"/>
        </w:rPr>
      </w:pPr>
      <w:r>
        <w:rPr>
          <w:rFonts w:ascii="Times New Roman" w:hAnsi="Times New Roman"/>
          <w:bCs/>
          <w:sz w:val="24"/>
          <w:szCs w:val="24"/>
        </w:rPr>
        <w:t xml:space="preserve">     </w:t>
      </w:r>
      <w:r w:rsidR="00D249C7" w:rsidRPr="000F4CBD">
        <w:rPr>
          <w:rFonts w:ascii="Times New Roman" w:hAnsi="Times New Roman"/>
          <w:bCs/>
          <w:sz w:val="24"/>
          <w:szCs w:val="24"/>
        </w:rPr>
        <w:t>В настоящее время перечень производных финансовых инструментов на срочном рынке представлен 90 срочными контрактами, из них – 57- фьючерсы и 33 -</w:t>
      </w:r>
      <w:r w:rsidR="00485CB9">
        <w:rPr>
          <w:rFonts w:ascii="Times New Roman" w:hAnsi="Times New Roman"/>
          <w:bCs/>
          <w:sz w:val="24"/>
          <w:szCs w:val="24"/>
        </w:rPr>
        <w:t xml:space="preserve"> </w:t>
      </w:r>
      <w:r w:rsidR="00D249C7" w:rsidRPr="000F4CBD">
        <w:rPr>
          <w:rFonts w:ascii="Times New Roman" w:hAnsi="Times New Roman"/>
          <w:bCs/>
          <w:sz w:val="24"/>
          <w:szCs w:val="24"/>
        </w:rPr>
        <w:t xml:space="preserve">опционы на фьючерсы. </w:t>
      </w:r>
    </w:p>
    <w:p w14:paraId="44450BEC" w14:textId="1AAC1AF9" w:rsidR="00D249C7" w:rsidRPr="000F4CBD" w:rsidRDefault="005441D2" w:rsidP="005441D2">
      <w:pPr>
        <w:spacing w:before="120"/>
        <w:jc w:val="both"/>
        <w:rPr>
          <w:rFonts w:ascii="Times New Roman" w:hAnsi="Times New Roman"/>
          <w:bCs/>
          <w:sz w:val="24"/>
          <w:szCs w:val="24"/>
        </w:rPr>
      </w:pPr>
      <w:r>
        <w:rPr>
          <w:rFonts w:ascii="Times New Roman" w:eastAsia="Calibri" w:hAnsi="Times New Roman"/>
          <w:noProof/>
          <w:sz w:val="24"/>
          <w:szCs w:val="24"/>
        </w:rPr>
        <w:lastRenderedPageBreak/>
        <w:t xml:space="preserve">     </w:t>
      </w:r>
      <w:r w:rsidR="00D249C7" w:rsidRPr="000F4CBD">
        <w:rPr>
          <w:rFonts w:ascii="Times New Roman" w:eastAsia="Calibri" w:hAnsi="Times New Roman"/>
          <w:noProof/>
          <w:sz w:val="24"/>
          <w:szCs w:val="24"/>
        </w:rPr>
        <w:t xml:space="preserve"> </w:t>
      </w:r>
      <w:r w:rsidR="00D249C7" w:rsidRPr="000F4CBD">
        <w:rPr>
          <w:rFonts w:ascii="Times New Roman" w:hAnsi="Times New Roman"/>
          <w:bCs/>
          <w:sz w:val="24"/>
          <w:szCs w:val="24"/>
        </w:rPr>
        <w:t>Базовыми активами деривативов, торги которыми осуществляются на секциях срочного рынка ПАО Московская Биржа, являются индексы, валютные пары, акции российских и иностранных эмитентов, процентные ставки, товары:</w:t>
      </w:r>
    </w:p>
    <w:tbl>
      <w:tblPr>
        <w:tblW w:w="8913" w:type="dxa"/>
        <w:tblInd w:w="4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600" w:firstRow="0" w:lastRow="0" w:firstColumn="0" w:lastColumn="0" w:noHBand="1" w:noVBand="1"/>
      </w:tblPr>
      <w:tblGrid>
        <w:gridCol w:w="2838"/>
        <w:gridCol w:w="3969"/>
        <w:gridCol w:w="2106"/>
      </w:tblGrid>
      <w:tr w:rsidR="00D249C7" w:rsidRPr="000F4CBD" w14:paraId="4913B28E" w14:textId="77777777" w:rsidTr="00286CB1">
        <w:trPr>
          <w:trHeight w:val="491"/>
        </w:trPr>
        <w:tc>
          <w:tcPr>
            <w:tcW w:w="2838" w:type="dxa"/>
            <w:shd w:val="clear" w:color="auto" w:fill="auto"/>
            <w:tcMar>
              <w:top w:w="72" w:type="dxa"/>
              <w:left w:w="144" w:type="dxa"/>
              <w:bottom w:w="72" w:type="dxa"/>
              <w:right w:w="144" w:type="dxa"/>
            </w:tcMar>
            <w:hideMark/>
          </w:tcPr>
          <w:p w14:paraId="27E7269E" w14:textId="77777777" w:rsidR="00D249C7" w:rsidRPr="000F4CBD" w:rsidRDefault="00D249C7" w:rsidP="00286CB1">
            <w:pPr>
              <w:tabs>
                <w:tab w:val="right" w:pos="9356"/>
              </w:tabs>
              <w:jc w:val="center"/>
              <w:rPr>
                <w:rFonts w:ascii="Times New Roman" w:eastAsia="Calibri" w:hAnsi="Times New Roman"/>
                <w:b/>
                <w:noProof/>
                <w:szCs w:val="28"/>
              </w:rPr>
            </w:pPr>
            <w:r w:rsidRPr="000F4CBD">
              <w:rPr>
                <w:rFonts w:ascii="Times New Roman" w:eastAsia="Calibri" w:hAnsi="Times New Roman"/>
                <w:b/>
                <w:noProof/>
                <w:szCs w:val="28"/>
              </w:rPr>
              <w:t>Фондовая секция</w:t>
            </w:r>
          </w:p>
        </w:tc>
        <w:tc>
          <w:tcPr>
            <w:tcW w:w="3969" w:type="dxa"/>
            <w:shd w:val="clear" w:color="auto" w:fill="auto"/>
            <w:tcMar>
              <w:top w:w="72" w:type="dxa"/>
              <w:left w:w="144" w:type="dxa"/>
              <w:bottom w:w="72" w:type="dxa"/>
              <w:right w:w="144" w:type="dxa"/>
            </w:tcMar>
            <w:hideMark/>
          </w:tcPr>
          <w:p w14:paraId="69C13E15" w14:textId="77777777" w:rsidR="00D249C7" w:rsidRPr="000F4CBD" w:rsidRDefault="00D249C7" w:rsidP="00286CB1">
            <w:pPr>
              <w:tabs>
                <w:tab w:val="right" w:pos="9356"/>
              </w:tabs>
              <w:jc w:val="center"/>
              <w:rPr>
                <w:rFonts w:ascii="Times New Roman" w:eastAsia="Calibri" w:hAnsi="Times New Roman"/>
                <w:b/>
                <w:noProof/>
                <w:szCs w:val="28"/>
              </w:rPr>
            </w:pPr>
            <w:r w:rsidRPr="000F4CBD">
              <w:rPr>
                <w:rFonts w:ascii="Times New Roman" w:eastAsia="Calibri" w:hAnsi="Times New Roman"/>
                <w:b/>
                <w:noProof/>
                <w:szCs w:val="28"/>
              </w:rPr>
              <w:t>Денежная секция</w:t>
            </w:r>
          </w:p>
        </w:tc>
        <w:tc>
          <w:tcPr>
            <w:tcW w:w="2106" w:type="dxa"/>
            <w:shd w:val="clear" w:color="auto" w:fill="auto"/>
            <w:tcMar>
              <w:top w:w="72" w:type="dxa"/>
              <w:left w:w="144" w:type="dxa"/>
              <w:bottom w:w="72" w:type="dxa"/>
              <w:right w:w="144" w:type="dxa"/>
            </w:tcMar>
            <w:hideMark/>
          </w:tcPr>
          <w:p w14:paraId="35779ECB" w14:textId="77777777" w:rsidR="00D249C7" w:rsidRPr="000F4CBD" w:rsidRDefault="00D249C7" w:rsidP="00286CB1">
            <w:pPr>
              <w:tabs>
                <w:tab w:val="right" w:pos="9356"/>
              </w:tabs>
              <w:ind w:hanging="5"/>
              <w:jc w:val="center"/>
              <w:rPr>
                <w:rFonts w:ascii="Times New Roman" w:eastAsia="Calibri" w:hAnsi="Times New Roman"/>
                <w:b/>
                <w:noProof/>
                <w:szCs w:val="28"/>
              </w:rPr>
            </w:pPr>
            <w:r w:rsidRPr="000F4CBD">
              <w:rPr>
                <w:rFonts w:ascii="Times New Roman" w:eastAsia="Calibri" w:hAnsi="Times New Roman"/>
                <w:b/>
                <w:noProof/>
                <w:szCs w:val="28"/>
              </w:rPr>
              <w:t>Товарная секция</w:t>
            </w:r>
          </w:p>
        </w:tc>
      </w:tr>
      <w:tr w:rsidR="00D249C7" w:rsidRPr="000F4CBD" w14:paraId="4D489580" w14:textId="77777777" w:rsidTr="00286CB1">
        <w:trPr>
          <w:trHeight w:val="577"/>
        </w:trPr>
        <w:tc>
          <w:tcPr>
            <w:tcW w:w="2838" w:type="dxa"/>
            <w:shd w:val="clear" w:color="auto" w:fill="auto"/>
            <w:tcMar>
              <w:top w:w="72" w:type="dxa"/>
              <w:left w:w="144" w:type="dxa"/>
              <w:bottom w:w="72" w:type="dxa"/>
              <w:right w:w="144" w:type="dxa"/>
            </w:tcMar>
            <w:hideMark/>
          </w:tcPr>
          <w:p w14:paraId="13B5BF24" w14:textId="77777777" w:rsidR="00D249C7" w:rsidRPr="000F4CBD" w:rsidRDefault="00D249C7" w:rsidP="00286CB1">
            <w:pPr>
              <w:tabs>
                <w:tab w:val="right" w:pos="9356"/>
              </w:tabs>
              <w:jc w:val="both"/>
              <w:rPr>
                <w:rFonts w:ascii="Times New Roman" w:eastAsia="Calibri" w:hAnsi="Times New Roman"/>
                <w:noProof/>
                <w:szCs w:val="24"/>
              </w:rPr>
            </w:pPr>
            <w:r w:rsidRPr="000F4CBD">
              <w:rPr>
                <w:rFonts w:ascii="Times New Roman" w:eastAsia="Calibri" w:hAnsi="Times New Roman"/>
                <w:b/>
                <w:noProof/>
                <w:szCs w:val="24"/>
              </w:rPr>
              <w:t>Фьючерсы</w:t>
            </w:r>
            <w:r w:rsidRPr="000F4CBD">
              <w:rPr>
                <w:rFonts w:ascii="Times New Roman" w:eastAsia="Calibri" w:hAnsi="Times New Roman"/>
                <w:noProof/>
                <w:szCs w:val="24"/>
              </w:rPr>
              <w:t xml:space="preserve"> на:</w:t>
            </w:r>
          </w:p>
          <w:p w14:paraId="3E727B7B" w14:textId="77777777" w:rsidR="00D249C7" w:rsidRPr="000F4CBD" w:rsidRDefault="00D249C7" w:rsidP="00286CB1">
            <w:pPr>
              <w:tabs>
                <w:tab w:val="num" w:pos="0"/>
              </w:tabs>
              <w:spacing w:before="60"/>
              <w:ind w:hanging="20"/>
              <w:jc w:val="both"/>
              <w:rPr>
                <w:rFonts w:ascii="Times New Roman" w:hAnsi="Times New Roman"/>
                <w:bCs/>
                <w:noProof/>
                <w:szCs w:val="24"/>
              </w:rPr>
            </w:pPr>
            <w:r w:rsidRPr="000F4CBD">
              <w:rPr>
                <w:rFonts w:ascii="Times New Roman" w:hAnsi="Times New Roman"/>
                <w:bCs/>
                <w:noProof/>
                <w:szCs w:val="24"/>
              </w:rPr>
              <w:t>Индексы РТС, ММВБ, Индекс голубых фишек: российских* и иностранных эмитентов</w:t>
            </w:r>
          </w:p>
          <w:p w14:paraId="48F7E863" w14:textId="77777777" w:rsidR="00D249C7" w:rsidRPr="000F4CBD" w:rsidRDefault="00D249C7" w:rsidP="00286CB1">
            <w:pPr>
              <w:tabs>
                <w:tab w:val="num" w:pos="426"/>
              </w:tabs>
              <w:spacing w:before="60"/>
              <w:ind w:left="426" w:hanging="426"/>
              <w:jc w:val="both"/>
              <w:rPr>
                <w:rFonts w:ascii="Times New Roman" w:hAnsi="Times New Roman"/>
                <w:bCs/>
                <w:noProof/>
                <w:szCs w:val="24"/>
              </w:rPr>
            </w:pPr>
            <w:r w:rsidRPr="000F4CBD">
              <w:rPr>
                <w:rFonts w:ascii="Times New Roman" w:hAnsi="Times New Roman"/>
                <w:bCs/>
                <w:noProof/>
                <w:szCs w:val="24"/>
              </w:rPr>
              <w:t>волатильность российского рынка (</w:t>
            </w:r>
            <w:r w:rsidRPr="000F4CBD">
              <w:rPr>
                <w:rFonts w:ascii="Times New Roman" w:hAnsi="Times New Roman"/>
                <w:bCs/>
                <w:noProof/>
                <w:szCs w:val="24"/>
                <w:lang w:val="en-US"/>
              </w:rPr>
              <w:t>RVI</w:t>
            </w:r>
            <w:r w:rsidRPr="000F4CBD">
              <w:rPr>
                <w:rFonts w:ascii="Times New Roman" w:hAnsi="Times New Roman"/>
                <w:bCs/>
                <w:noProof/>
                <w:szCs w:val="24"/>
              </w:rPr>
              <w:t>)</w:t>
            </w:r>
          </w:p>
          <w:p w14:paraId="699AFB79" w14:textId="77777777" w:rsidR="00D249C7" w:rsidRPr="000F4CBD" w:rsidRDefault="00D249C7" w:rsidP="00286CB1">
            <w:pPr>
              <w:tabs>
                <w:tab w:val="right" w:pos="9356"/>
              </w:tabs>
              <w:ind w:firstLine="709"/>
              <w:jc w:val="both"/>
              <w:rPr>
                <w:rFonts w:ascii="Times New Roman" w:eastAsia="Calibri" w:hAnsi="Times New Roman"/>
                <w:noProof/>
                <w:szCs w:val="24"/>
              </w:rPr>
            </w:pPr>
          </w:p>
          <w:p w14:paraId="79AE452B" w14:textId="77777777" w:rsidR="00D249C7" w:rsidRPr="000F4CBD" w:rsidRDefault="00D249C7" w:rsidP="00286CB1">
            <w:pPr>
              <w:tabs>
                <w:tab w:val="right" w:pos="9356"/>
              </w:tabs>
              <w:jc w:val="both"/>
              <w:rPr>
                <w:rFonts w:ascii="Times New Roman" w:eastAsia="Calibri" w:hAnsi="Times New Roman"/>
                <w:noProof/>
                <w:szCs w:val="24"/>
              </w:rPr>
            </w:pPr>
            <w:r w:rsidRPr="000F4CBD">
              <w:rPr>
                <w:rFonts w:ascii="Times New Roman" w:eastAsia="Calibri" w:hAnsi="Times New Roman"/>
                <w:b/>
                <w:noProof/>
                <w:szCs w:val="24"/>
              </w:rPr>
              <w:t>Опционы на фьючерсы</w:t>
            </w:r>
            <w:r w:rsidRPr="000F4CBD">
              <w:rPr>
                <w:rFonts w:ascii="Times New Roman" w:eastAsia="Calibri" w:hAnsi="Times New Roman"/>
                <w:noProof/>
                <w:szCs w:val="24"/>
              </w:rPr>
              <w:t xml:space="preserve"> на:</w:t>
            </w:r>
          </w:p>
          <w:p w14:paraId="2DA07843" w14:textId="77777777" w:rsidR="00D249C7" w:rsidRPr="000F4CBD" w:rsidRDefault="00D249C7" w:rsidP="00286CB1">
            <w:pPr>
              <w:tabs>
                <w:tab w:val="num" w:pos="0"/>
              </w:tabs>
              <w:spacing w:before="60"/>
              <w:ind w:hanging="20"/>
              <w:jc w:val="both"/>
              <w:rPr>
                <w:rFonts w:ascii="Times New Roman" w:hAnsi="Times New Roman"/>
                <w:bCs/>
                <w:noProof/>
                <w:szCs w:val="24"/>
              </w:rPr>
            </w:pPr>
            <w:r w:rsidRPr="000F4CBD">
              <w:rPr>
                <w:rFonts w:ascii="Times New Roman" w:hAnsi="Times New Roman"/>
                <w:bCs/>
                <w:noProof/>
                <w:szCs w:val="24"/>
              </w:rPr>
              <w:t>акции российских эмитентов</w:t>
            </w:r>
          </w:p>
          <w:p w14:paraId="00325CB7" w14:textId="77777777" w:rsidR="00D249C7" w:rsidRPr="000F4CBD" w:rsidRDefault="00D249C7" w:rsidP="00286CB1">
            <w:pPr>
              <w:tabs>
                <w:tab w:val="num" w:pos="426"/>
              </w:tabs>
              <w:spacing w:before="60"/>
              <w:ind w:left="426" w:hanging="426"/>
              <w:jc w:val="both"/>
              <w:rPr>
                <w:rFonts w:ascii="Times New Roman" w:hAnsi="Times New Roman"/>
                <w:bCs/>
                <w:noProof/>
                <w:szCs w:val="24"/>
              </w:rPr>
            </w:pPr>
            <w:r w:rsidRPr="000F4CBD">
              <w:rPr>
                <w:rFonts w:ascii="Times New Roman" w:hAnsi="Times New Roman"/>
                <w:bCs/>
                <w:noProof/>
                <w:szCs w:val="24"/>
              </w:rPr>
              <w:t>Индексы РТС и ММВБ</w:t>
            </w:r>
          </w:p>
        </w:tc>
        <w:tc>
          <w:tcPr>
            <w:tcW w:w="3969" w:type="dxa"/>
            <w:shd w:val="clear" w:color="auto" w:fill="auto"/>
            <w:tcMar>
              <w:top w:w="72" w:type="dxa"/>
              <w:left w:w="144" w:type="dxa"/>
              <w:bottom w:w="72" w:type="dxa"/>
              <w:right w:w="144" w:type="dxa"/>
            </w:tcMar>
            <w:hideMark/>
          </w:tcPr>
          <w:p w14:paraId="271B78B4" w14:textId="77777777" w:rsidR="00D249C7" w:rsidRPr="000F4CBD" w:rsidRDefault="00D249C7" w:rsidP="00286CB1">
            <w:pPr>
              <w:tabs>
                <w:tab w:val="right" w:pos="9356"/>
              </w:tabs>
              <w:jc w:val="both"/>
              <w:rPr>
                <w:rFonts w:ascii="Times New Roman" w:eastAsia="Calibri" w:hAnsi="Times New Roman"/>
                <w:noProof/>
                <w:szCs w:val="24"/>
              </w:rPr>
            </w:pPr>
            <w:r w:rsidRPr="000F4CBD">
              <w:rPr>
                <w:rFonts w:ascii="Times New Roman" w:eastAsia="Calibri" w:hAnsi="Times New Roman"/>
                <w:b/>
                <w:noProof/>
                <w:szCs w:val="24"/>
              </w:rPr>
              <w:t xml:space="preserve">Фьючерсы </w:t>
            </w:r>
            <w:r w:rsidRPr="000F4CBD">
              <w:rPr>
                <w:rFonts w:ascii="Times New Roman" w:eastAsia="Calibri" w:hAnsi="Times New Roman"/>
                <w:noProof/>
                <w:szCs w:val="24"/>
              </w:rPr>
              <w:t>на:</w:t>
            </w:r>
          </w:p>
          <w:p w14:paraId="63F248E9" w14:textId="77777777" w:rsidR="00D249C7" w:rsidRPr="000F4CBD" w:rsidRDefault="00D249C7" w:rsidP="00286CB1">
            <w:pPr>
              <w:tabs>
                <w:tab w:val="num" w:pos="0"/>
              </w:tabs>
              <w:spacing w:before="60"/>
              <w:ind w:hanging="19"/>
              <w:jc w:val="both"/>
              <w:rPr>
                <w:rFonts w:ascii="Times New Roman" w:hAnsi="Times New Roman"/>
                <w:bCs/>
                <w:noProof/>
                <w:szCs w:val="24"/>
              </w:rPr>
            </w:pPr>
            <w:r w:rsidRPr="000F4CBD">
              <w:rPr>
                <w:rFonts w:ascii="Times New Roman" w:hAnsi="Times New Roman"/>
                <w:bCs/>
                <w:noProof/>
                <w:szCs w:val="24"/>
              </w:rPr>
              <w:t xml:space="preserve">валютные пары: </w:t>
            </w:r>
            <w:r w:rsidRPr="000F4CBD">
              <w:rPr>
                <w:rFonts w:ascii="Times New Roman" w:hAnsi="Times New Roman"/>
                <w:bCs/>
                <w:noProof/>
                <w:szCs w:val="24"/>
                <w:lang w:val="en-US"/>
              </w:rPr>
              <w:t>USD</w:t>
            </w:r>
            <w:r w:rsidRPr="000F4CBD">
              <w:rPr>
                <w:rFonts w:ascii="Times New Roman" w:hAnsi="Times New Roman"/>
                <w:bCs/>
                <w:noProof/>
                <w:szCs w:val="24"/>
              </w:rPr>
              <w:t>/</w:t>
            </w:r>
            <w:r w:rsidRPr="000F4CBD">
              <w:rPr>
                <w:rFonts w:ascii="Times New Roman" w:hAnsi="Times New Roman"/>
                <w:bCs/>
                <w:noProof/>
                <w:szCs w:val="24"/>
                <w:lang w:val="en-US"/>
              </w:rPr>
              <w:t>RUB</w:t>
            </w:r>
            <w:r w:rsidRPr="000F4CBD">
              <w:rPr>
                <w:rFonts w:ascii="Times New Roman" w:hAnsi="Times New Roman"/>
                <w:bCs/>
                <w:noProof/>
                <w:szCs w:val="24"/>
              </w:rPr>
              <w:t xml:space="preserve">, </w:t>
            </w:r>
            <w:r w:rsidRPr="000F4CBD">
              <w:rPr>
                <w:rFonts w:ascii="Times New Roman" w:hAnsi="Times New Roman"/>
                <w:bCs/>
                <w:noProof/>
                <w:szCs w:val="24"/>
                <w:lang w:val="en-US"/>
              </w:rPr>
              <w:t>EUR</w:t>
            </w:r>
            <w:r w:rsidRPr="000F4CBD">
              <w:rPr>
                <w:rFonts w:ascii="Times New Roman" w:hAnsi="Times New Roman"/>
                <w:bCs/>
                <w:noProof/>
                <w:szCs w:val="24"/>
              </w:rPr>
              <w:t>/</w:t>
            </w:r>
            <w:r w:rsidRPr="000F4CBD">
              <w:rPr>
                <w:rFonts w:ascii="Times New Roman" w:hAnsi="Times New Roman"/>
                <w:bCs/>
                <w:noProof/>
                <w:szCs w:val="24"/>
                <w:lang w:val="en-US"/>
              </w:rPr>
              <w:t>RUB</w:t>
            </w:r>
            <w:r w:rsidRPr="000F4CBD">
              <w:rPr>
                <w:rFonts w:ascii="Times New Roman" w:hAnsi="Times New Roman"/>
                <w:bCs/>
                <w:noProof/>
                <w:szCs w:val="24"/>
              </w:rPr>
              <w:t xml:space="preserve">, CNY/RUB, </w:t>
            </w:r>
            <w:r w:rsidRPr="000F4CBD">
              <w:rPr>
                <w:rFonts w:ascii="Times New Roman" w:hAnsi="Times New Roman"/>
                <w:bCs/>
                <w:noProof/>
                <w:szCs w:val="24"/>
                <w:lang w:val="en-US"/>
              </w:rPr>
              <w:t>EUR</w:t>
            </w:r>
            <w:r w:rsidRPr="000F4CBD">
              <w:rPr>
                <w:rFonts w:ascii="Times New Roman" w:hAnsi="Times New Roman"/>
                <w:bCs/>
                <w:noProof/>
                <w:szCs w:val="24"/>
              </w:rPr>
              <w:t>/</w:t>
            </w:r>
            <w:r w:rsidRPr="000F4CBD">
              <w:rPr>
                <w:rFonts w:ascii="Times New Roman" w:hAnsi="Times New Roman"/>
                <w:bCs/>
                <w:noProof/>
                <w:szCs w:val="24"/>
                <w:lang w:val="en-US"/>
              </w:rPr>
              <w:t>USD</w:t>
            </w:r>
            <w:r w:rsidRPr="000F4CBD">
              <w:rPr>
                <w:rFonts w:ascii="Times New Roman" w:hAnsi="Times New Roman"/>
                <w:bCs/>
                <w:noProof/>
                <w:szCs w:val="24"/>
              </w:rPr>
              <w:t xml:space="preserve">, </w:t>
            </w:r>
            <w:r w:rsidRPr="000F4CBD">
              <w:rPr>
                <w:rFonts w:ascii="Times New Roman" w:hAnsi="Times New Roman"/>
                <w:bCs/>
                <w:noProof/>
                <w:szCs w:val="24"/>
                <w:lang w:val="en-US"/>
              </w:rPr>
              <w:t>AUD</w:t>
            </w:r>
            <w:r w:rsidRPr="000F4CBD">
              <w:rPr>
                <w:rFonts w:ascii="Times New Roman" w:hAnsi="Times New Roman"/>
                <w:bCs/>
                <w:noProof/>
                <w:szCs w:val="24"/>
              </w:rPr>
              <w:t>/</w:t>
            </w:r>
            <w:r w:rsidRPr="000F4CBD">
              <w:rPr>
                <w:rFonts w:ascii="Times New Roman" w:hAnsi="Times New Roman"/>
                <w:bCs/>
                <w:noProof/>
                <w:szCs w:val="24"/>
                <w:lang w:val="en-US"/>
              </w:rPr>
              <w:t>USD</w:t>
            </w:r>
            <w:r w:rsidRPr="000F4CBD">
              <w:rPr>
                <w:rFonts w:ascii="Times New Roman" w:hAnsi="Times New Roman"/>
                <w:bCs/>
                <w:noProof/>
                <w:szCs w:val="24"/>
              </w:rPr>
              <w:t xml:space="preserve">, </w:t>
            </w:r>
            <w:r w:rsidRPr="000F4CBD">
              <w:rPr>
                <w:rFonts w:ascii="Times New Roman" w:hAnsi="Times New Roman"/>
                <w:bCs/>
                <w:noProof/>
                <w:szCs w:val="24"/>
                <w:lang w:val="en-US"/>
              </w:rPr>
              <w:t>GBP</w:t>
            </w:r>
            <w:r w:rsidRPr="000F4CBD">
              <w:rPr>
                <w:rFonts w:ascii="Times New Roman" w:hAnsi="Times New Roman"/>
                <w:bCs/>
                <w:noProof/>
                <w:szCs w:val="24"/>
              </w:rPr>
              <w:t>/</w:t>
            </w:r>
            <w:r w:rsidRPr="000F4CBD">
              <w:rPr>
                <w:rFonts w:ascii="Times New Roman" w:hAnsi="Times New Roman"/>
                <w:bCs/>
                <w:noProof/>
                <w:szCs w:val="24"/>
                <w:lang w:val="en-US"/>
              </w:rPr>
              <w:t>USD</w:t>
            </w:r>
            <w:r w:rsidRPr="000F4CBD">
              <w:rPr>
                <w:rFonts w:ascii="Times New Roman" w:hAnsi="Times New Roman"/>
                <w:bCs/>
                <w:noProof/>
                <w:szCs w:val="24"/>
              </w:rPr>
              <w:t xml:space="preserve">, </w:t>
            </w:r>
            <w:r w:rsidRPr="000F4CBD">
              <w:rPr>
                <w:rFonts w:ascii="Times New Roman" w:hAnsi="Times New Roman"/>
                <w:bCs/>
                <w:noProof/>
                <w:szCs w:val="24"/>
                <w:lang w:val="en-US"/>
              </w:rPr>
              <w:t>USD</w:t>
            </w:r>
            <w:r w:rsidRPr="000F4CBD">
              <w:rPr>
                <w:rFonts w:ascii="Times New Roman" w:hAnsi="Times New Roman"/>
                <w:bCs/>
                <w:noProof/>
                <w:szCs w:val="24"/>
              </w:rPr>
              <w:t>/</w:t>
            </w:r>
            <w:r w:rsidRPr="000F4CBD">
              <w:rPr>
                <w:rFonts w:ascii="Times New Roman" w:hAnsi="Times New Roman"/>
                <w:bCs/>
                <w:noProof/>
                <w:szCs w:val="24"/>
                <w:lang w:val="en-US"/>
              </w:rPr>
              <w:t>CHF</w:t>
            </w:r>
            <w:r w:rsidRPr="000F4CBD">
              <w:rPr>
                <w:rFonts w:ascii="Times New Roman" w:hAnsi="Times New Roman"/>
                <w:bCs/>
                <w:noProof/>
                <w:szCs w:val="24"/>
              </w:rPr>
              <w:t xml:space="preserve">, </w:t>
            </w:r>
            <w:r w:rsidRPr="000F4CBD">
              <w:rPr>
                <w:rFonts w:ascii="Times New Roman" w:hAnsi="Times New Roman"/>
                <w:bCs/>
                <w:noProof/>
                <w:szCs w:val="24"/>
                <w:lang w:val="en-US"/>
              </w:rPr>
              <w:t>USD</w:t>
            </w:r>
            <w:r w:rsidRPr="000F4CBD">
              <w:rPr>
                <w:rFonts w:ascii="Times New Roman" w:hAnsi="Times New Roman"/>
                <w:bCs/>
                <w:noProof/>
                <w:szCs w:val="24"/>
              </w:rPr>
              <w:t>/</w:t>
            </w:r>
            <w:r w:rsidRPr="000F4CBD">
              <w:rPr>
                <w:rFonts w:ascii="Times New Roman" w:hAnsi="Times New Roman"/>
                <w:bCs/>
                <w:noProof/>
                <w:szCs w:val="24"/>
                <w:lang w:val="en-US"/>
              </w:rPr>
              <w:t>JPY</w:t>
            </w:r>
            <w:r w:rsidRPr="000F4CBD">
              <w:rPr>
                <w:rFonts w:ascii="Times New Roman" w:hAnsi="Times New Roman"/>
                <w:bCs/>
                <w:noProof/>
                <w:szCs w:val="24"/>
              </w:rPr>
              <w:t xml:space="preserve">, </w:t>
            </w:r>
            <w:r w:rsidRPr="000F4CBD">
              <w:rPr>
                <w:rFonts w:ascii="Times New Roman" w:hAnsi="Times New Roman"/>
                <w:bCs/>
                <w:noProof/>
                <w:szCs w:val="24"/>
                <w:lang w:val="en-US"/>
              </w:rPr>
              <w:t>USD</w:t>
            </w:r>
            <w:r w:rsidRPr="000F4CBD">
              <w:rPr>
                <w:rFonts w:ascii="Times New Roman" w:hAnsi="Times New Roman"/>
                <w:bCs/>
                <w:noProof/>
                <w:szCs w:val="24"/>
              </w:rPr>
              <w:t>/</w:t>
            </w:r>
            <w:r w:rsidRPr="000F4CBD">
              <w:rPr>
                <w:rFonts w:ascii="Times New Roman" w:hAnsi="Times New Roman"/>
                <w:bCs/>
                <w:noProof/>
                <w:szCs w:val="24"/>
                <w:lang w:val="en-US"/>
              </w:rPr>
              <w:t>UAH</w:t>
            </w:r>
            <w:r w:rsidRPr="000F4CBD">
              <w:rPr>
                <w:rFonts w:ascii="Times New Roman" w:hAnsi="Times New Roman"/>
                <w:bCs/>
                <w:noProof/>
                <w:szCs w:val="24"/>
              </w:rPr>
              <w:t xml:space="preserve">, </w:t>
            </w:r>
            <w:r w:rsidRPr="000F4CBD">
              <w:rPr>
                <w:rFonts w:ascii="Times New Roman" w:hAnsi="Times New Roman"/>
                <w:bCs/>
                <w:noProof/>
                <w:szCs w:val="24"/>
                <w:lang w:val="en-US"/>
              </w:rPr>
              <w:t>USD</w:t>
            </w:r>
            <w:r w:rsidRPr="000F4CBD">
              <w:rPr>
                <w:rFonts w:ascii="Times New Roman" w:hAnsi="Times New Roman"/>
                <w:bCs/>
                <w:noProof/>
                <w:szCs w:val="24"/>
              </w:rPr>
              <w:t>/</w:t>
            </w:r>
            <w:r w:rsidRPr="000F4CBD">
              <w:rPr>
                <w:rFonts w:ascii="Times New Roman" w:hAnsi="Times New Roman"/>
                <w:bCs/>
                <w:noProof/>
                <w:szCs w:val="24"/>
                <w:lang w:val="en-US"/>
              </w:rPr>
              <w:t>CAD</w:t>
            </w:r>
            <w:r w:rsidRPr="000F4CBD">
              <w:rPr>
                <w:rFonts w:ascii="Times New Roman" w:hAnsi="Times New Roman"/>
                <w:bCs/>
                <w:noProof/>
                <w:szCs w:val="24"/>
              </w:rPr>
              <w:t xml:space="preserve">, </w:t>
            </w:r>
            <w:r w:rsidRPr="000F4CBD">
              <w:rPr>
                <w:rFonts w:ascii="Times New Roman" w:hAnsi="Times New Roman"/>
                <w:bCs/>
                <w:noProof/>
                <w:szCs w:val="24"/>
                <w:lang w:val="en-US"/>
              </w:rPr>
              <w:t>USD</w:t>
            </w:r>
            <w:r w:rsidRPr="000F4CBD">
              <w:rPr>
                <w:rFonts w:ascii="Times New Roman" w:hAnsi="Times New Roman"/>
                <w:bCs/>
                <w:noProof/>
                <w:szCs w:val="24"/>
              </w:rPr>
              <w:t>/</w:t>
            </w:r>
            <w:r w:rsidRPr="000F4CBD">
              <w:rPr>
                <w:rFonts w:ascii="Times New Roman" w:hAnsi="Times New Roman"/>
                <w:bCs/>
                <w:noProof/>
                <w:szCs w:val="24"/>
                <w:lang w:val="en-US"/>
              </w:rPr>
              <w:t>TRY</w:t>
            </w:r>
          </w:p>
          <w:p w14:paraId="60E411B9" w14:textId="77777777" w:rsidR="00D249C7" w:rsidRPr="000F4CBD" w:rsidRDefault="00D249C7" w:rsidP="00286CB1">
            <w:pPr>
              <w:tabs>
                <w:tab w:val="num" w:pos="0"/>
              </w:tabs>
              <w:spacing w:before="60"/>
              <w:ind w:hanging="19"/>
              <w:jc w:val="both"/>
              <w:rPr>
                <w:rFonts w:ascii="Times New Roman" w:hAnsi="Times New Roman"/>
                <w:bCs/>
                <w:noProof/>
                <w:szCs w:val="24"/>
              </w:rPr>
            </w:pPr>
            <w:r w:rsidRPr="000F4CBD">
              <w:rPr>
                <w:rFonts w:ascii="Times New Roman" w:hAnsi="Times New Roman"/>
                <w:bCs/>
                <w:noProof/>
                <w:szCs w:val="24"/>
              </w:rPr>
              <w:t xml:space="preserve">процентные ставки: </w:t>
            </w:r>
            <w:r w:rsidRPr="000F4CBD">
              <w:rPr>
                <w:rFonts w:ascii="Times New Roman" w:hAnsi="Times New Roman"/>
                <w:bCs/>
                <w:noProof/>
                <w:szCs w:val="24"/>
                <w:lang w:val="en-US"/>
              </w:rPr>
              <w:t>MosPrime</w:t>
            </w:r>
            <w:r w:rsidRPr="000F4CBD">
              <w:rPr>
                <w:rFonts w:ascii="Times New Roman" w:hAnsi="Times New Roman"/>
                <w:bCs/>
                <w:noProof/>
                <w:szCs w:val="24"/>
              </w:rPr>
              <w:t xml:space="preserve">, </w:t>
            </w:r>
            <w:r w:rsidRPr="000F4CBD">
              <w:rPr>
                <w:rFonts w:ascii="Times New Roman" w:hAnsi="Times New Roman"/>
                <w:bCs/>
                <w:noProof/>
                <w:szCs w:val="24"/>
                <w:lang w:val="en-US"/>
              </w:rPr>
              <w:t>RUONIA</w:t>
            </w:r>
          </w:p>
          <w:p w14:paraId="2888C272" w14:textId="77777777" w:rsidR="00D249C7" w:rsidRPr="000F4CBD" w:rsidRDefault="00D249C7" w:rsidP="00286CB1">
            <w:pPr>
              <w:tabs>
                <w:tab w:val="num" w:pos="0"/>
              </w:tabs>
              <w:spacing w:before="60"/>
              <w:ind w:hanging="19"/>
              <w:jc w:val="both"/>
              <w:rPr>
                <w:rFonts w:ascii="Times New Roman" w:hAnsi="Times New Roman"/>
                <w:bCs/>
                <w:noProof/>
                <w:szCs w:val="24"/>
              </w:rPr>
            </w:pPr>
            <w:r w:rsidRPr="000F4CBD">
              <w:rPr>
                <w:rFonts w:ascii="Times New Roman" w:hAnsi="Times New Roman"/>
                <w:bCs/>
                <w:noProof/>
                <w:szCs w:val="24"/>
              </w:rPr>
              <w:t>облигации федерального займа*</w:t>
            </w:r>
          </w:p>
          <w:p w14:paraId="219859E5" w14:textId="77777777" w:rsidR="00D249C7" w:rsidRPr="000F4CBD" w:rsidRDefault="00D249C7" w:rsidP="00286CB1">
            <w:pPr>
              <w:tabs>
                <w:tab w:val="right" w:pos="9356"/>
              </w:tabs>
              <w:ind w:firstLine="709"/>
              <w:jc w:val="both"/>
              <w:rPr>
                <w:rFonts w:ascii="Times New Roman" w:eastAsia="Calibri" w:hAnsi="Times New Roman"/>
                <w:noProof/>
                <w:szCs w:val="24"/>
              </w:rPr>
            </w:pPr>
          </w:p>
          <w:p w14:paraId="6CBD6ECB" w14:textId="77777777" w:rsidR="00D249C7" w:rsidRPr="000F4CBD" w:rsidRDefault="00D249C7" w:rsidP="00286CB1">
            <w:pPr>
              <w:tabs>
                <w:tab w:val="right" w:pos="9356"/>
              </w:tabs>
              <w:ind w:firstLine="709"/>
              <w:jc w:val="both"/>
              <w:rPr>
                <w:rFonts w:ascii="Times New Roman" w:eastAsia="Calibri" w:hAnsi="Times New Roman"/>
                <w:b/>
                <w:noProof/>
                <w:szCs w:val="24"/>
              </w:rPr>
            </w:pPr>
          </w:p>
          <w:p w14:paraId="3A506253" w14:textId="77777777" w:rsidR="00D249C7" w:rsidRPr="000F4CBD" w:rsidRDefault="00D249C7" w:rsidP="00286CB1">
            <w:pPr>
              <w:tabs>
                <w:tab w:val="right" w:pos="9356"/>
              </w:tabs>
              <w:jc w:val="both"/>
              <w:rPr>
                <w:rFonts w:ascii="Times New Roman" w:eastAsia="Calibri" w:hAnsi="Times New Roman"/>
                <w:noProof/>
                <w:szCs w:val="24"/>
              </w:rPr>
            </w:pPr>
            <w:r w:rsidRPr="000F4CBD">
              <w:rPr>
                <w:rFonts w:ascii="Times New Roman" w:eastAsia="Calibri" w:hAnsi="Times New Roman"/>
                <w:b/>
                <w:noProof/>
                <w:szCs w:val="24"/>
              </w:rPr>
              <w:t xml:space="preserve">Опционы на фьючерсы </w:t>
            </w:r>
            <w:r w:rsidRPr="000F4CBD">
              <w:rPr>
                <w:rFonts w:ascii="Times New Roman" w:eastAsia="Calibri" w:hAnsi="Times New Roman"/>
                <w:noProof/>
                <w:szCs w:val="24"/>
              </w:rPr>
              <w:t>на:</w:t>
            </w:r>
          </w:p>
          <w:p w14:paraId="38D8D84E" w14:textId="77777777" w:rsidR="00D249C7" w:rsidRPr="000F4CBD" w:rsidRDefault="00D249C7" w:rsidP="00286CB1">
            <w:pPr>
              <w:tabs>
                <w:tab w:val="num" w:pos="0"/>
              </w:tabs>
              <w:spacing w:before="60"/>
              <w:jc w:val="both"/>
              <w:rPr>
                <w:rFonts w:ascii="Times New Roman" w:hAnsi="Times New Roman"/>
                <w:bCs/>
                <w:noProof/>
                <w:szCs w:val="24"/>
              </w:rPr>
            </w:pPr>
            <w:r w:rsidRPr="000F4CBD">
              <w:rPr>
                <w:rFonts w:ascii="Times New Roman" w:hAnsi="Times New Roman"/>
                <w:bCs/>
                <w:noProof/>
                <w:szCs w:val="24"/>
              </w:rPr>
              <w:t xml:space="preserve">валютные пары: </w:t>
            </w:r>
            <w:r w:rsidRPr="000F4CBD">
              <w:rPr>
                <w:rFonts w:ascii="Times New Roman" w:hAnsi="Times New Roman"/>
                <w:bCs/>
                <w:noProof/>
                <w:szCs w:val="24"/>
                <w:lang w:val="en-US"/>
              </w:rPr>
              <w:t>USD</w:t>
            </w:r>
            <w:r w:rsidRPr="000F4CBD">
              <w:rPr>
                <w:rFonts w:ascii="Times New Roman" w:hAnsi="Times New Roman"/>
                <w:bCs/>
                <w:noProof/>
                <w:szCs w:val="24"/>
              </w:rPr>
              <w:t>/</w:t>
            </w:r>
            <w:r w:rsidRPr="000F4CBD">
              <w:rPr>
                <w:rFonts w:ascii="Times New Roman" w:hAnsi="Times New Roman"/>
                <w:bCs/>
                <w:noProof/>
                <w:szCs w:val="24"/>
                <w:lang w:val="en-US"/>
              </w:rPr>
              <w:t>RUB</w:t>
            </w:r>
            <w:r w:rsidRPr="000F4CBD">
              <w:rPr>
                <w:rFonts w:ascii="Times New Roman" w:hAnsi="Times New Roman"/>
                <w:bCs/>
                <w:noProof/>
                <w:szCs w:val="24"/>
              </w:rPr>
              <w:t xml:space="preserve">, </w:t>
            </w:r>
            <w:r w:rsidRPr="000F4CBD">
              <w:rPr>
                <w:rFonts w:ascii="Times New Roman" w:hAnsi="Times New Roman"/>
                <w:bCs/>
                <w:noProof/>
                <w:szCs w:val="24"/>
                <w:lang w:val="en-US"/>
              </w:rPr>
              <w:t>EUR</w:t>
            </w:r>
            <w:r w:rsidRPr="000F4CBD">
              <w:rPr>
                <w:rFonts w:ascii="Times New Roman" w:hAnsi="Times New Roman"/>
                <w:bCs/>
                <w:noProof/>
                <w:szCs w:val="24"/>
              </w:rPr>
              <w:t>/</w:t>
            </w:r>
            <w:r w:rsidRPr="000F4CBD">
              <w:rPr>
                <w:rFonts w:ascii="Times New Roman" w:hAnsi="Times New Roman"/>
                <w:bCs/>
                <w:noProof/>
                <w:szCs w:val="24"/>
                <w:lang w:val="en-US"/>
              </w:rPr>
              <w:t>RUB</w:t>
            </w:r>
            <w:r w:rsidRPr="000F4CBD">
              <w:rPr>
                <w:rFonts w:ascii="Times New Roman" w:hAnsi="Times New Roman"/>
                <w:bCs/>
                <w:noProof/>
                <w:szCs w:val="24"/>
              </w:rPr>
              <w:t xml:space="preserve">, </w:t>
            </w:r>
            <w:r w:rsidRPr="000F4CBD">
              <w:rPr>
                <w:rFonts w:ascii="Times New Roman" w:hAnsi="Times New Roman"/>
                <w:bCs/>
                <w:noProof/>
                <w:szCs w:val="24"/>
                <w:lang w:val="en-US"/>
              </w:rPr>
              <w:t>EUR</w:t>
            </w:r>
            <w:r w:rsidRPr="000F4CBD">
              <w:rPr>
                <w:rFonts w:ascii="Times New Roman" w:hAnsi="Times New Roman"/>
                <w:bCs/>
                <w:noProof/>
                <w:szCs w:val="24"/>
              </w:rPr>
              <w:t>/</w:t>
            </w:r>
            <w:r w:rsidRPr="000F4CBD">
              <w:rPr>
                <w:rFonts w:ascii="Times New Roman" w:hAnsi="Times New Roman"/>
                <w:bCs/>
                <w:noProof/>
                <w:szCs w:val="24"/>
                <w:lang w:val="en-US"/>
              </w:rPr>
              <w:t>USD</w:t>
            </w:r>
            <w:r w:rsidRPr="000F4CBD">
              <w:rPr>
                <w:rFonts w:ascii="Times New Roman" w:hAnsi="Times New Roman"/>
                <w:bCs/>
                <w:noProof/>
                <w:szCs w:val="24"/>
              </w:rPr>
              <w:t xml:space="preserve">, </w:t>
            </w:r>
            <w:r w:rsidRPr="000F4CBD">
              <w:rPr>
                <w:rFonts w:ascii="Times New Roman" w:hAnsi="Times New Roman"/>
              </w:rPr>
              <w:t>GBP/USD, USD/JPY</w:t>
            </w:r>
          </w:p>
        </w:tc>
        <w:tc>
          <w:tcPr>
            <w:tcW w:w="2106" w:type="dxa"/>
            <w:shd w:val="clear" w:color="auto" w:fill="auto"/>
            <w:tcMar>
              <w:top w:w="72" w:type="dxa"/>
              <w:left w:w="144" w:type="dxa"/>
              <w:bottom w:w="72" w:type="dxa"/>
              <w:right w:w="144" w:type="dxa"/>
            </w:tcMar>
            <w:hideMark/>
          </w:tcPr>
          <w:p w14:paraId="71EEED1E" w14:textId="77777777" w:rsidR="00D249C7" w:rsidRPr="000F4CBD" w:rsidRDefault="00D249C7" w:rsidP="00286CB1">
            <w:pPr>
              <w:tabs>
                <w:tab w:val="right" w:pos="9356"/>
              </w:tabs>
              <w:jc w:val="both"/>
              <w:rPr>
                <w:rFonts w:ascii="Times New Roman" w:eastAsia="Calibri" w:hAnsi="Times New Roman"/>
                <w:noProof/>
                <w:szCs w:val="24"/>
              </w:rPr>
            </w:pPr>
            <w:r w:rsidRPr="000F4CBD">
              <w:rPr>
                <w:rFonts w:ascii="Times New Roman" w:eastAsia="Calibri" w:hAnsi="Times New Roman"/>
                <w:b/>
                <w:noProof/>
                <w:szCs w:val="24"/>
              </w:rPr>
              <w:t xml:space="preserve">Фьючерсы </w:t>
            </w:r>
            <w:r w:rsidRPr="000F4CBD">
              <w:rPr>
                <w:rFonts w:ascii="Times New Roman" w:eastAsia="Calibri" w:hAnsi="Times New Roman"/>
                <w:noProof/>
                <w:szCs w:val="24"/>
              </w:rPr>
              <w:t>на:</w:t>
            </w:r>
          </w:p>
          <w:p w14:paraId="760B8E5B" w14:textId="77777777" w:rsidR="00D249C7" w:rsidRPr="000F4CBD" w:rsidRDefault="00D249C7" w:rsidP="00286CB1">
            <w:pPr>
              <w:tabs>
                <w:tab w:val="num" w:pos="0"/>
              </w:tabs>
              <w:spacing w:before="60"/>
              <w:jc w:val="both"/>
              <w:rPr>
                <w:rFonts w:ascii="Times New Roman" w:hAnsi="Times New Roman"/>
                <w:bCs/>
                <w:noProof/>
                <w:szCs w:val="24"/>
              </w:rPr>
            </w:pPr>
            <w:r w:rsidRPr="000F4CBD">
              <w:rPr>
                <w:rFonts w:ascii="Times New Roman" w:hAnsi="Times New Roman"/>
                <w:bCs/>
                <w:noProof/>
                <w:szCs w:val="24"/>
              </w:rPr>
              <w:t xml:space="preserve">нефть </w:t>
            </w:r>
            <w:r w:rsidRPr="000F4CBD">
              <w:rPr>
                <w:rFonts w:ascii="Times New Roman" w:hAnsi="Times New Roman"/>
                <w:bCs/>
                <w:noProof/>
                <w:szCs w:val="24"/>
                <w:lang w:val="en-US"/>
              </w:rPr>
              <w:t>BRENT</w:t>
            </w:r>
          </w:p>
          <w:p w14:paraId="34614001" w14:textId="77777777" w:rsidR="00D249C7" w:rsidRPr="000F4CBD" w:rsidRDefault="00D249C7" w:rsidP="00286CB1">
            <w:pPr>
              <w:tabs>
                <w:tab w:val="num" w:pos="0"/>
              </w:tabs>
              <w:spacing w:before="60"/>
              <w:jc w:val="both"/>
              <w:rPr>
                <w:rFonts w:ascii="Times New Roman" w:hAnsi="Times New Roman"/>
                <w:bCs/>
                <w:noProof/>
                <w:szCs w:val="24"/>
              </w:rPr>
            </w:pPr>
            <w:r w:rsidRPr="000F4CBD">
              <w:rPr>
                <w:rFonts w:ascii="Times New Roman" w:hAnsi="Times New Roman"/>
                <w:bCs/>
                <w:noProof/>
                <w:szCs w:val="24"/>
              </w:rPr>
              <w:t>металлы: золото, серебро, платина, палладий, медь</w:t>
            </w:r>
          </w:p>
          <w:p w14:paraId="11E14573" w14:textId="77777777" w:rsidR="00D249C7" w:rsidRPr="000F4CBD" w:rsidRDefault="00D249C7" w:rsidP="00286CB1">
            <w:pPr>
              <w:tabs>
                <w:tab w:val="num" w:pos="0"/>
              </w:tabs>
              <w:spacing w:before="60"/>
              <w:jc w:val="both"/>
              <w:rPr>
                <w:rFonts w:ascii="Times New Roman" w:hAnsi="Times New Roman"/>
                <w:bCs/>
                <w:noProof/>
                <w:szCs w:val="24"/>
              </w:rPr>
            </w:pPr>
            <w:r w:rsidRPr="000F4CBD">
              <w:rPr>
                <w:rFonts w:ascii="Times New Roman" w:hAnsi="Times New Roman"/>
                <w:bCs/>
                <w:noProof/>
                <w:szCs w:val="24"/>
              </w:rPr>
              <w:t>сахар-сырец</w:t>
            </w:r>
          </w:p>
          <w:p w14:paraId="0A321383" w14:textId="77777777" w:rsidR="00D249C7" w:rsidRPr="000F4CBD" w:rsidRDefault="00D249C7" w:rsidP="00286CB1">
            <w:pPr>
              <w:tabs>
                <w:tab w:val="right" w:pos="9356"/>
              </w:tabs>
              <w:ind w:firstLine="709"/>
              <w:jc w:val="both"/>
              <w:rPr>
                <w:rFonts w:ascii="Times New Roman" w:eastAsia="Calibri" w:hAnsi="Times New Roman"/>
                <w:noProof/>
                <w:szCs w:val="24"/>
              </w:rPr>
            </w:pPr>
          </w:p>
          <w:p w14:paraId="3E234E0C" w14:textId="77777777" w:rsidR="00D249C7" w:rsidRPr="000F4CBD" w:rsidRDefault="00D249C7" w:rsidP="00286CB1">
            <w:pPr>
              <w:tabs>
                <w:tab w:val="right" w:pos="9356"/>
              </w:tabs>
              <w:ind w:firstLine="709"/>
              <w:jc w:val="both"/>
              <w:rPr>
                <w:rFonts w:ascii="Times New Roman" w:eastAsia="Calibri" w:hAnsi="Times New Roman"/>
                <w:noProof/>
                <w:szCs w:val="24"/>
              </w:rPr>
            </w:pPr>
          </w:p>
          <w:p w14:paraId="6B760ACF" w14:textId="77777777" w:rsidR="00D249C7" w:rsidRPr="000F4CBD" w:rsidRDefault="00D249C7" w:rsidP="00286CB1">
            <w:pPr>
              <w:tabs>
                <w:tab w:val="right" w:pos="9356"/>
              </w:tabs>
              <w:ind w:firstLine="709"/>
              <w:jc w:val="both"/>
              <w:rPr>
                <w:rFonts w:ascii="Times New Roman" w:eastAsia="Calibri" w:hAnsi="Times New Roman"/>
                <w:noProof/>
                <w:szCs w:val="24"/>
              </w:rPr>
            </w:pPr>
          </w:p>
          <w:p w14:paraId="2A8988FB" w14:textId="77777777" w:rsidR="00D249C7" w:rsidRPr="000F4CBD" w:rsidRDefault="00D249C7" w:rsidP="00286CB1">
            <w:pPr>
              <w:tabs>
                <w:tab w:val="right" w:pos="9356"/>
              </w:tabs>
              <w:ind w:firstLine="709"/>
              <w:jc w:val="both"/>
              <w:rPr>
                <w:rFonts w:ascii="Times New Roman" w:eastAsia="Calibri" w:hAnsi="Times New Roman"/>
                <w:noProof/>
                <w:szCs w:val="24"/>
              </w:rPr>
            </w:pPr>
          </w:p>
          <w:p w14:paraId="7958E0AB" w14:textId="77777777" w:rsidR="00D249C7" w:rsidRPr="000F4CBD" w:rsidRDefault="00D249C7" w:rsidP="00286CB1">
            <w:pPr>
              <w:tabs>
                <w:tab w:val="right" w:pos="9356"/>
              </w:tabs>
              <w:ind w:firstLine="709"/>
              <w:jc w:val="both"/>
              <w:rPr>
                <w:rFonts w:ascii="Times New Roman" w:eastAsia="Calibri" w:hAnsi="Times New Roman"/>
                <w:noProof/>
                <w:szCs w:val="24"/>
              </w:rPr>
            </w:pPr>
          </w:p>
          <w:p w14:paraId="61AFF801" w14:textId="77777777" w:rsidR="00D249C7" w:rsidRPr="000F4CBD" w:rsidRDefault="00D249C7" w:rsidP="00286CB1">
            <w:pPr>
              <w:tabs>
                <w:tab w:val="right" w:pos="9356"/>
              </w:tabs>
              <w:ind w:firstLine="709"/>
              <w:jc w:val="both"/>
              <w:rPr>
                <w:rFonts w:ascii="Times New Roman" w:eastAsia="Calibri" w:hAnsi="Times New Roman"/>
                <w:noProof/>
                <w:szCs w:val="24"/>
              </w:rPr>
            </w:pPr>
          </w:p>
          <w:p w14:paraId="36CA302E" w14:textId="77777777" w:rsidR="00D249C7" w:rsidRPr="000F4CBD" w:rsidRDefault="00D249C7" w:rsidP="00286CB1">
            <w:pPr>
              <w:tabs>
                <w:tab w:val="right" w:pos="9356"/>
              </w:tabs>
              <w:jc w:val="both"/>
              <w:rPr>
                <w:rFonts w:ascii="Times New Roman" w:eastAsia="Calibri" w:hAnsi="Times New Roman"/>
                <w:noProof/>
                <w:szCs w:val="24"/>
              </w:rPr>
            </w:pPr>
            <w:r w:rsidRPr="000F4CBD">
              <w:rPr>
                <w:rFonts w:ascii="Times New Roman" w:eastAsia="Calibri" w:hAnsi="Times New Roman"/>
                <w:b/>
                <w:noProof/>
                <w:szCs w:val="24"/>
              </w:rPr>
              <w:t xml:space="preserve">Опционы на фьючерсы </w:t>
            </w:r>
            <w:r w:rsidRPr="000F4CBD">
              <w:rPr>
                <w:rFonts w:ascii="Times New Roman" w:eastAsia="Calibri" w:hAnsi="Times New Roman"/>
                <w:noProof/>
                <w:szCs w:val="24"/>
              </w:rPr>
              <w:t>на:</w:t>
            </w:r>
          </w:p>
          <w:p w14:paraId="05A72B2F" w14:textId="77777777" w:rsidR="00D249C7" w:rsidRPr="000F4CBD" w:rsidRDefault="00D249C7" w:rsidP="00286CB1">
            <w:pPr>
              <w:tabs>
                <w:tab w:val="num" w:pos="0"/>
              </w:tabs>
              <w:spacing w:before="60"/>
              <w:ind w:hanging="24"/>
              <w:jc w:val="both"/>
              <w:rPr>
                <w:rFonts w:ascii="Times New Roman" w:hAnsi="Times New Roman"/>
                <w:bCs/>
                <w:noProof/>
                <w:szCs w:val="24"/>
              </w:rPr>
            </w:pPr>
            <w:r w:rsidRPr="000F4CBD">
              <w:rPr>
                <w:rFonts w:ascii="Times New Roman" w:hAnsi="Times New Roman"/>
                <w:bCs/>
                <w:noProof/>
                <w:szCs w:val="24"/>
              </w:rPr>
              <w:t>драгоценные металлы: золото, серебро, платина</w:t>
            </w:r>
          </w:p>
          <w:p w14:paraId="79304EB6" w14:textId="77777777" w:rsidR="00D249C7" w:rsidRPr="000F4CBD" w:rsidRDefault="00D249C7" w:rsidP="00286CB1">
            <w:pPr>
              <w:tabs>
                <w:tab w:val="num" w:pos="0"/>
              </w:tabs>
              <w:spacing w:before="60"/>
              <w:ind w:hanging="24"/>
              <w:jc w:val="both"/>
              <w:rPr>
                <w:rFonts w:ascii="Times New Roman" w:hAnsi="Times New Roman"/>
                <w:bCs/>
                <w:noProof/>
                <w:szCs w:val="24"/>
              </w:rPr>
            </w:pPr>
            <w:r w:rsidRPr="000F4CBD">
              <w:rPr>
                <w:rFonts w:ascii="Times New Roman" w:hAnsi="Times New Roman"/>
                <w:bCs/>
                <w:noProof/>
                <w:szCs w:val="24"/>
              </w:rPr>
              <w:t xml:space="preserve">нефть BRENT </w:t>
            </w:r>
          </w:p>
        </w:tc>
      </w:tr>
    </w:tbl>
    <w:p w14:paraId="749C333A" w14:textId="77777777" w:rsidR="00D249C7" w:rsidRPr="000F4CBD" w:rsidRDefault="00D249C7" w:rsidP="00D249C7">
      <w:pPr>
        <w:tabs>
          <w:tab w:val="right" w:pos="9356"/>
        </w:tabs>
        <w:ind w:firstLine="709"/>
        <w:jc w:val="both"/>
        <w:rPr>
          <w:rFonts w:ascii="Times New Roman" w:eastAsia="Calibri" w:hAnsi="Times New Roman"/>
          <w:noProof/>
          <w:sz w:val="24"/>
          <w:szCs w:val="24"/>
        </w:rPr>
      </w:pPr>
    </w:p>
    <w:p w14:paraId="27662F35" w14:textId="77777777" w:rsidR="00D249C7" w:rsidRPr="00485CB9" w:rsidRDefault="00D249C7" w:rsidP="00D249C7">
      <w:pPr>
        <w:ind w:firstLine="567"/>
        <w:jc w:val="both"/>
        <w:rPr>
          <w:rFonts w:ascii="Times New Roman" w:hAnsi="Times New Roman"/>
          <w:bCs/>
          <w:i/>
          <w:sz w:val="24"/>
          <w:szCs w:val="24"/>
        </w:rPr>
      </w:pPr>
      <w:r w:rsidRPr="000F4CBD">
        <w:rPr>
          <w:rFonts w:ascii="Times New Roman" w:eastAsia="Calibri" w:hAnsi="Times New Roman"/>
          <w:noProof/>
          <w:sz w:val="24"/>
          <w:szCs w:val="24"/>
        </w:rPr>
        <w:t xml:space="preserve">    </w:t>
      </w:r>
      <w:r w:rsidR="00485CB9" w:rsidRPr="00485CB9">
        <w:rPr>
          <w:rFonts w:ascii="Times New Roman" w:eastAsia="Calibri" w:hAnsi="Times New Roman"/>
          <w:i/>
          <w:noProof/>
          <w:sz w:val="24"/>
          <w:szCs w:val="24"/>
        </w:rPr>
        <w:t>Примечание:</w:t>
      </w:r>
      <w:r w:rsidRPr="00485CB9">
        <w:rPr>
          <w:rFonts w:ascii="Times New Roman" w:eastAsia="Calibri" w:hAnsi="Times New Roman"/>
          <w:i/>
          <w:noProof/>
          <w:sz w:val="24"/>
          <w:szCs w:val="24"/>
        </w:rPr>
        <w:t xml:space="preserve"> </w:t>
      </w:r>
      <w:r w:rsidRPr="00485CB9">
        <w:rPr>
          <w:rFonts w:ascii="Times New Roman" w:hAnsi="Times New Roman"/>
          <w:bCs/>
          <w:i/>
          <w:sz w:val="24"/>
          <w:szCs w:val="24"/>
        </w:rPr>
        <w:t>о</w:t>
      </w:r>
      <w:r w:rsidR="00485CB9" w:rsidRPr="00485CB9">
        <w:rPr>
          <w:rFonts w:ascii="Times New Roman" w:hAnsi="Times New Roman"/>
          <w:bCs/>
          <w:i/>
          <w:sz w:val="24"/>
          <w:szCs w:val="24"/>
        </w:rPr>
        <w:t>т</w:t>
      </w:r>
      <w:r w:rsidRPr="00485CB9">
        <w:rPr>
          <w:rFonts w:ascii="Times New Roman" w:hAnsi="Times New Roman"/>
          <w:bCs/>
          <w:i/>
          <w:sz w:val="24"/>
          <w:szCs w:val="24"/>
        </w:rPr>
        <w:t xml:space="preserve">меченные «*» контракты являются поставочными. Все остальные перечисленные контракты </w:t>
      </w:r>
      <w:r w:rsidR="00B567BF">
        <w:rPr>
          <w:rFonts w:ascii="Times New Roman" w:hAnsi="Times New Roman"/>
          <w:bCs/>
          <w:i/>
          <w:sz w:val="24"/>
          <w:szCs w:val="24"/>
        </w:rPr>
        <w:t>-</w:t>
      </w:r>
      <w:r w:rsidRPr="00485CB9">
        <w:rPr>
          <w:rFonts w:ascii="Times New Roman" w:hAnsi="Times New Roman"/>
          <w:bCs/>
          <w:i/>
          <w:sz w:val="24"/>
          <w:szCs w:val="24"/>
        </w:rPr>
        <w:t xml:space="preserve"> расчетными.</w:t>
      </w:r>
    </w:p>
    <w:p w14:paraId="162DD6E7" w14:textId="77777777" w:rsidR="00485CB9" w:rsidRDefault="00485CB9" w:rsidP="00D249C7">
      <w:pPr>
        <w:ind w:firstLine="567"/>
        <w:jc w:val="both"/>
        <w:rPr>
          <w:rFonts w:ascii="Times New Roman" w:hAnsi="Times New Roman"/>
          <w:bCs/>
          <w:sz w:val="24"/>
          <w:szCs w:val="24"/>
        </w:rPr>
      </w:pPr>
    </w:p>
    <w:p w14:paraId="779A1CCE" w14:textId="0455335B" w:rsidR="00D249C7" w:rsidRPr="000F4CBD" w:rsidRDefault="005441D2" w:rsidP="005441D2">
      <w:pPr>
        <w:jc w:val="both"/>
        <w:rPr>
          <w:rFonts w:ascii="Times New Roman" w:eastAsia="Calibri" w:hAnsi="Times New Roman"/>
          <w:noProof/>
          <w:sz w:val="24"/>
          <w:szCs w:val="24"/>
        </w:rPr>
      </w:pPr>
      <w:r>
        <w:rPr>
          <w:rFonts w:ascii="Times New Roman" w:hAnsi="Times New Roman"/>
          <w:bCs/>
          <w:sz w:val="24"/>
          <w:szCs w:val="24"/>
        </w:rPr>
        <w:t xml:space="preserve">     </w:t>
      </w:r>
      <w:r w:rsidR="00485CB9">
        <w:rPr>
          <w:rFonts w:ascii="Times New Roman" w:hAnsi="Times New Roman"/>
          <w:bCs/>
          <w:sz w:val="24"/>
          <w:szCs w:val="24"/>
        </w:rPr>
        <w:t>Т</w:t>
      </w:r>
      <w:r w:rsidR="00D249C7" w:rsidRPr="000F4CBD">
        <w:rPr>
          <w:rFonts w:ascii="Times New Roman" w:hAnsi="Times New Roman"/>
          <w:bCs/>
          <w:sz w:val="24"/>
          <w:szCs w:val="24"/>
        </w:rPr>
        <w:t>орги на срочном рынке осуществляются как в анонимном, так и в адресном (переговорном) режимах.</w:t>
      </w:r>
      <w:r w:rsidR="00D249C7" w:rsidRPr="000F4CBD">
        <w:rPr>
          <w:rFonts w:ascii="Times New Roman" w:eastAsia="Calibri" w:hAnsi="Times New Roman"/>
          <w:noProof/>
          <w:sz w:val="24"/>
          <w:szCs w:val="24"/>
        </w:rPr>
        <w:t xml:space="preserve"> </w:t>
      </w:r>
    </w:p>
    <w:p w14:paraId="6E4FF036" w14:textId="77777777" w:rsidR="00D249C7" w:rsidRPr="000F4CBD" w:rsidRDefault="00D249C7" w:rsidP="00D249C7">
      <w:pPr>
        <w:tabs>
          <w:tab w:val="right" w:pos="9356"/>
        </w:tabs>
        <w:ind w:firstLine="709"/>
        <w:jc w:val="both"/>
        <w:rPr>
          <w:rFonts w:ascii="Times New Roman" w:eastAsia="Calibri" w:hAnsi="Times New Roman"/>
          <w:noProof/>
          <w:sz w:val="24"/>
          <w:szCs w:val="24"/>
        </w:rPr>
      </w:pPr>
    </w:p>
    <w:p w14:paraId="0BBF3EAF" w14:textId="07C0807C" w:rsidR="00D249C7" w:rsidRPr="000F4CBD" w:rsidRDefault="005441D2" w:rsidP="005441D2">
      <w:pPr>
        <w:tabs>
          <w:tab w:val="right" w:pos="9356"/>
        </w:tabs>
        <w:jc w:val="both"/>
        <w:rPr>
          <w:rFonts w:ascii="Times New Roman" w:eastAsia="Calibri" w:hAnsi="Times New Roman"/>
          <w:noProof/>
          <w:sz w:val="24"/>
          <w:szCs w:val="24"/>
        </w:rPr>
      </w:pPr>
      <w:r>
        <w:rPr>
          <w:rFonts w:ascii="Times New Roman" w:eastAsia="Calibri" w:hAnsi="Times New Roman"/>
          <w:noProof/>
          <w:sz w:val="24"/>
          <w:szCs w:val="24"/>
        </w:rPr>
        <w:t xml:space="preserve">     </w:t>
      </w:r>
      <w:r w:rsidR="00D249C7" w:rsidRPr="000F4CBD">
        <w:rPr>
          <w:rFonts w:ascii="Times New Roman" w:hAnsi="Times New Roman"/>
          <w:bCs/>
          <w:sz w:val="24"/>
          <w:szCs w:val="24"/>
        </w:rPr>
        <w:t>При осуществлении клиринга и расчетов по производным финансовым инструментам (в том числе</w:t>
      </w:r>
      <w:r w:rsidR="00A15B9B">
        <w:rPr>
          <w:rFonts w:ascii="Times New Roman" w:hAnsi="Times New Roman"/>
          <w:bCs/>
          <w:sz w:val="24"/>
          <w:szCs w:val="24"/>
        </w:rPr>
        <w:t>,</w:t>
      </w:r>
      <w:r w:rsidR="00D249C7" w:rsidRPr="000F4CBD">
        <w:rPr>
          <w:rFonts w:ascii="Times New Roman" w:hAnsi="Times New Roman"/>
          <w:bCs/>
          <w:sz w:val="24"/>
          <w:szCs w:val="24"/>
        </w:rPr>
        <w:t xml:space="preserve"> по вариационной марже) НКЦ также </w:t>
      </w:r>
      <w:r w:rsidR="00A15B9B">
        <w:rPr>
          <w:rFonts w:ascii="Times New Roman" w:hAnsi="Times New Roman"/>
          <w:bCs/>
          <w:sz w:val="24"/>
          <w:szCs w:val="24"/>
        </w:rPr>
        <w:t>выполнял</w:t>
      </w:r>
      <w:r w:rsidR="00D249C7" w:rsidRPr="000F4CBD">
        <w:rPr>
          <w:rFonts w:ascii="Times New Roman" w:hAnsi="Times New Roman"/>
          <w:bCs/>
          <w:sz w:val="24"/>
          <w:szCs w:val="24"/>
        </w:rPr>
        <w:t xml:space="preserve"> функции центрального контрагента, что значительно снижает риски участников клиринга и избавляет их от необходимости проведения дорогостоящих процедур по установ</w:t>
      </w:r>
      <w:r w:rsidR="0058663F">
        <w:rPr>
          <w:rFonts w:ascii="Times New Roman" w:hAnsi="Times New Roman"/>
          <w:bCs/>
          <w:sz w:val="24"/>
          <w:szCs w:val="24"/>
        </w:rPr>
        <w:t>лению</w:t>
      </w:r>
      <w:r w:rsidR="00D249C7" w:rsidRPr="000F4CBD">
        <w:rPr>
          <w:rFonts w:ascii="Times New Roman" w:hAnsi="Times New Roman"/>
          <w:bCs/>
          <w:sz w:val="24"/>
          <w:szCs w:val="24"/>
        </w:rPr>
        <w:t xml:space="preserve"> лимитов друг на друга. </w:t>
      </w:r>
    </w:p>
    <w:p w14:paraId="42D464D0" w14:textId="327F0E69" w:rsidR="00D249C7" w:rsidRPr="000F4CBD" w:rsidRDefault="005441D2" w:rsidP="005441D2">
      <w:pPr>
        <w:jc w:val="both"/>
        <w:rPr>
          <w:rFonts w:ascii="Times New Roman" w:hAnsi="Times New Roman"/>
          <w:bCs/>
          <w:sz w:val="24"/>
          <w:szCs w:val="24"/>
        </w:rPr>
      </w:pPr>
      <w:r>
        <w:rPr>
          <w:rFonts w:ascii="Times New Roman" w:hAnsi="Times New Roman"/>
          <w:bCs/>
          <w:sz w:val="24"/>
          <w:szCs w:val="24"/>
        </w:rPr>
        <w:t xml:space="preserve">     </w:t>
      </w:r>
      <w:r w:rsidR="00D249C7" w:rsidRPr="000F4CBD">
        <w:rPr>
          <w:rFonts w:ascii="Times New Roman" w:hAnsi="Times New Roman"/>
          <w:bCs/>
          <w:sz w:val="24"/>
          <w:szCs w:val="24"/>
        </w:rPr>
        <w:t>НКЦ осуществляет на срочном рынке клиринг по сделкам, заключенным:</w:t>
      </w:r>
    </w:p>
    <w:p w14:paraId="692C63F7" w14:textId="77777777" w:rsidR="00D249C7" w:rsidRPr="000F4CBD" w:rsidRDefault="00D249C7" w:rsidP="00D249C7">
      <w:pPr>
        <w:numPr>
          <w:ilvl w:val="0"/>
          <w:numId w:val="1"/>
        </w:numPr>
        <w:spacing w:before="60" w:after="200" w:line="276" w:lineRule="auto"/>
        <w:contextualSpacing/>
        <w:jc w:val="both"/>
        <w:rPr>
          <w:rFonts w:ascii="Times New Roman" w:hAnsi="Times New Roman"/>
          <w:bCs/>
          <w:noProof/>
          <w:sz w:val="24"/>
          <w:szCs w:val="24"/>
        </w:rPr>
      </w:pPr>
      <w:r w:rsidRPr="000F4CBD">
        <w:rPr>
          <w:rFonts w:ascii="Times New Roman" w:hAnsi="Times New Roman"/>
          <w:bCs/>
          <w:noProof/>
          <w:sz w:val="24"/>
          <w:szCs w:val="24"/>
        </w:rPr>
        <w:t>за счет участников клиринга;</w:t>
      </w:r>
    </w:p>
    <w:p w14:paraId="6703E3DA" w14:textId="77777777" w:rsidR="00D249C7" w:rsidRPr="000F4CBD" w:rsidRDefault="00D249C7" w:rsidP="00D249C7">
      <w:pPr>
        <w:numPr>
          <w:ilvl w:val="0"/>
          <w:numId w:val="1"/>
        </w:numPr>
        <w:spacing w:before="60" w:after="200" w:line="276" w:lineRule="auto"/>
        <w:contextualSpacing/>
        <w:jc w:val="both"/>
        <w:rPr>
          <w:rFonts w:ascii="Times New Roman" w:hAnsi="Times New Roman"/>
          <w:bCs/>
          <w:noProof/>
          <w:sz w:val="24"/>
          <w:szCs w:val="24"/>
        </w:rPr>
      </w:pPr>
      <w:r w:rsidRPr="000F4CBD">
        <w:rPr>
          <w:rFonts w:ascii="Times New Roman" w:hAnsi="Times New Roman"/>
          <w:bCs/>
          <w:noProof/>
          <w:sz w:val="24"/>
          <w:szCs w:val="24"/>
        </w:rPr>
        <w:t>за счет клиентов участников клиринга;</w:t>
      </w:r>
    </w:p>
    <w:p w14:paraId="1B491C55" w14:textId="77777777" w:rsidR="00D249C7" w:rsidRPr="000F4CBD" w:rsidRDefault="00D249C7" w:rsidP="00D249C7">
      <w:pPr>
        <w:numPr>
          <w:ilvl w:val="0"/>
          <w:numId w:val="1"/>
        </w:numPr>
        <w:spacing w:before="60" w:after="200" w:line="276" w:lineRule="auto"/>
        <w:contextualSpacing/>
        <w:jc w:val="both"/>
        <w:rPr>
          <w:rFonts w:ascii="Times New Roman" w:hAnsi="Times New Roman"/>
          <w:bCs/>
          <w:noProof/>
          <w:sz w:val="24"/>
          <w:szCs w:val="24"/>
        </w:rPr>
      </w:pPr>
      <w:r w:rsidRPr="000F4CBD">
        <w:rPr>
          <w:rFonts w:ascii="Times New Roman" w:hAnsi="Times New Roman"/>
          <w:bCs/>
          <w:noProof/>
          <w:sz w:val="24"/>
          <w:szCs w:val="24"/>
        </w:rPr>
        <w:t>за счет средств, находящихся в доверительном управлении у участников клиринга.</w:t>
      </w:r>
    </w:p>
    <w:p w14:paraId="5ED09F33" w14:textId="77777777" w:rsidR="00D249C7" w:rsidRPr="000F4CBD" w:rsidRDefault="00D249C7" w:rsidP="00D249C7">
      <w:pPr>
        <w:tabs>
          <w:tab w:val="right" w:pos="9356"/>
        </w:tabs>
        <w:ind w:firstLine="709"/>
        <w:jc w:val="both"/>
        <w:rPr>
          <w:rFonts w:ascii="Times New Roman" w:eastAsia="Calibri" w:hAnsi="Times New Roman"/>
          <w:noProof/>
          <w:sz w:val="24"/>
          <w:szCs w:val="24"/>
        </w:rPr>
      </w:pPr>
    </w:p>
    <w:p w14:paraId="04785BD2" w14:textId="4AF449E5" w:rsidR="00D249C7" w:rsidRPr="000F4CBD" w:rsidRDefault="005441D2" w:rsidP="005441D2">
      <w:pPr>
        <w:spacing w:before="120"/>
        <w:jc w:val="both"/>
        <w:rPr>
          <w:rFonts w:ascii="Times New Roman" w:eastAsia="Calibri" w:hAnsi="Times New Roman"/>
          <w:noProof/>
          <w:sz w:val="24"/>
          <w:szCs w:val="24"/>
        </w:rPr>
      </w:pPr>
      <w:r>
        <w:rPr>
          <w:rFonts w:ascii="Times New Roman" w:eastAsia="Calibri" w:hAnsi="Times New Roman"/>
          <w:noProof/>
          <w:sz w:val="24"/>
          <w:szCs w:val="24"/>
        </w:rPr>
        <w:t xml:space="preserve">     </w:t>
      </w:r>
      <w:r w:rsidR="00D249C7" w:rsidRPr="000F4CBD">
        <w:rPr>
          <w:rFonts w:ascii="Times New Roman" w:eastAsia="Calibri" w:hAnsi="Times New Roman"/>
          <w:noProof/>
          <w:sz w:val="24"/>
          <w:szCs w:val="24"/>
        </w:rPr>
        <w:t xml:space="preserve"> </w:t>
      </w:r>
      <w:r w:rsidR="00D249C7" w:rsidRPr="000F4CBD">
        <w:rPr>
          <w:rFonts w:ascii="Times New Roman" w:hAnsi="Times New Roman"/>
          <w:bCs/>
          <w:sz w:val="24"/>
          <w:szCs w:val="24"/>
        </w:rPr>
        <w:t>Функции расчетного депозитария и расчетной организации исполняет НКО АО НРД, котор</w:t>
      </w:r>
      <w:r w:rsidR="0058663F">
        <w:rPr>
          <w:rFonts w:ascii="Times New Roman" w:hAnsi="Times New Roman"/>
          <w:bCs/>
          <w:sz w:val="24"/>
          <w:szCs w:val="24"/>
        </w:rPr>
        <w:t>ая</w:t>
      </w:r>
      <w:r w:rsidR="00D249C7" w:rsidRPr="000F4CBD">
        <w:rPr>
          <w:rFonts w:ascii="Times New Roman" w:hAnsi="Times New Roman"/>
          <w:bCs/>
          <w:sz w:val="24"/>
          <w:szCs w:val="24"/>
        </w:rPr>
        <w:t xml:space="preserve"> осуществляет:</w:t>
      </w:r>
      <w:r w:rsidR="00D249C7" w:rsidRPr="000F4CBD">
        <w:rPr>
          <w:rFonts w:ascii="Times New Roman" w:eastAsia="Calibri" w:hAnsi="Times New Roman"/>
          <w:noProof/>
          <w:sz w:val="24"/>
          <w:szCs w:val="24"/>
        </w:rPr>
        <w:t xml:space="preserve"> </w:t>
      </w:r>
    </w:p>
    <w:p w14:paraId="1867372C" w14:textId="77777777" w:rsidR="00D249C7" w:rsidRPr="000F4CBD" w:rsidRDefault="00D249C7" w:rsidP="00D249C7">
      <w:pPr>
        <w:numPr>
          <w:ilvl w:val="0"/>
          <w:numId w:val="1"/>
        </w:numPr>
        <w:spacing w:before="60" w:after="200" w:line="276" w:lineRule="auto"/>
        <w:contextualSpacing/>
        <w:jc w:val="both"/>
        <w:rPr>
          <w:rFonts w:ascii="Times New Roman" w:hAnsi="Times New Roman"/>
          <w:bCs/>
          <w:noProof/>
          <w:sz w:val="24"/>
          <w:szCs w:val="24"/>
        </w:rPr>
      </w:pPr>
      <w:r w:rsidRPr="000F4CBD">
        <w:rPr>
          <w:rFonts w:ascii="Times New Roman" w:hAnsi="Times New Roman"/>
          <w:bCs/>
          <w:noProof/>
          <w:sz w:val="24"/>
          <w:szCs w:val="24"/>
        </w:rPr>
        <w:t xml:space="preserve">учет клирингового обеспечения в денежных средствах на открытых в НРД клиринговых счетах НКЦ; </w:t>
      </w:r>
    </w:p>
    <w:p w14:paraId="4ABC4915" w14:textId="77777777" w:rsidR="00D249C7" w:rsidRPr="000F4CBD" w:rsidRDefault="00D249C7" w:rsidP="00D249C7">
      <w:pPr>
        <w:numPr>
          <w:ilvl w:val="0"/>
          <w:numId w:val="1"/>
        </w:numPr>
        <w:spacing w:before="60" w:after="200" w:line="276" w:lineRule="auto"/>
        <w:contextualSpacing/>
        <w:jc w:val="both"/>
        <w:rPr>
          <w:rFonts w:ascii="Times New Roman" w:hAnsi="Times New Roman"/>
          <w:bCs/>
          <w:noProof/>
          <w:sz w:val="24"/>
          <w:szCs w:val="24"/>
        </w:rPr>
      </w:pPr>
      <w:r w:rsidRPr="000F4CBD">
        <w:rPr>
          <w:rFonts w:ascii="Times New Roman" w:hAnsi="Times New Roman"/>
          <w:bCs/>
          <w:noProof/>
          <w:sz w:val="24"/>
          <w:szCs w:val="24"/>
        </w:rPr>
        <w:t>учет клирингового обеспечения в ценных бумагах  на открытых в НРД торговых счетах депо участников клиринга.</w:t>
      </w:r>
    </w:p>
    <w:p w14:paraId="344C8A03" w14:textId="77777777" w:rsidR="00D249C7" w:rsidRPr="000F4CBD" w:rsidRDefault="00D249C7" w:rsidP="00D249C7">
      <w:pPr>
        <w:tabs>
          <w:tab w:val="right" w:pos="9356"/>
        </w:tabs>
        <w:ind w:firstLine="709"/>
        <w:jc w:val="both"/>
        <w:rPr>
          <w:rFonts w:ascii="Times New Roman" w:eastAsia="Calibri" w:hAnsi="Times New Roman"/>
          <w:noProof/>
          <w:sz w:val="24"/>
          <w:szCs w:val="24"/>
        </w:rPr>
      </w:pPr>
    </w:p>
    <w:p w14:paraId="775777B1" w14:textId="35A9A4C8" w:rsidR="00D249C7" w:rsidRPr="000F4CBD" w:rsidRDefault="005441D2" w:rsidP="005441D2">
      <w:pPr>
        <w:jc w:val="both"/>
        <w:rPr>
          <w:rFonts w:ascii="Times New Roman" w:eastAsia="Calibri" w:hAnsi="Times New Roman"/>
          <w:noProof/>
          <w:sz w:val="24"/>
          <w:szCs w:val="24"/>
        </w:rPr>
      </w:pPr>
      <w:r>
        <w:rPr>
          <w:rFonts w:ascii="Times New Roman" w:eastAsia="Calibri" w:hAnsi="Times New Roman"/>
          <w:noProof/>
          <w:sz w:val="24"/>
          <w:szCs w:val="24"/>
        </w:rPr>
        <w:t xml:space="preserve">     </w:t>
      </w:r>
      <w:r w:rsidR="00D249C7" w:rsidRPr="000F4CBD">
        <w:rPr>
          <w:rFonts w:ascii="Times New Roman" w:eastAsia="Calibri" w:hAnsi="Times New Roman"/>
          <w:noProof/>
          <w:sz w:val="24"/>
          <w:szCs w:val="24"/>
        </w:rPr>
        <w:t xml:space="preserve"> </w:t>
      </w:r>
      <w:r w:rsidR="00D249C7" w:rsidRPr="000F4CBD">
        <w:rPr>
          <w:rFonts w:ascii="Times New Roman" w:hAnsi="Times New Roman"/>
          <w:bCs/>
          <w:sz w:val="24"/>
          <w:szCs w:val="24"/>
        </w:rPr>
        <w:t>В качестве средств гарантийного обеспечения принимаются российские рубли, а также иностранная валюта и ценные бумаги, входящие в установленный решением НКЦ п</w:t>
      </w:r>
      <w:hyperlink r:id="rId21" w:history="1">
        <w:r w:rsidR="00D249C7" w:rsidRPr="000F4CBD">
          <w:rPr>
            <w:rFonts w:ascii="Times New Roman" w:hAnsi="Times New Roman"/>
            <w:bCs/>
            <w:sz w:val="24"/>
            <w:szCs w:val="24"/>
          </w:rPr>
          <w:t xml:space="preserve">еречень, который </w:t>
        </w:r>
      </w:hyperlink>
      <w:r w:rsidR="00D249C7" w:rsidRPr="000F4CBD">
        <w:rPr>
          <w:rFonts w:ascii="Times New Roman" w:hAnsi="Times New Roman"/>
          <w:bCs/>
          <w:sz w:val="24"/>
          <w:szCs w:val="24"/>
        </w:rPr>
        <w:t xml:space="preserve">формируется в соответствии с утвержденной НКЦ </w:t>
      </w:r>
      <w:hyperlink r:id="rId22" w:history="1">
        <w:r w:rsidR="00D249C7" w:rsidRPr="000F4CBD">
          <w:rPr>
            <w:rFonts w:ascii="Times New Roman" w:hAnsi="Times New Roman"/>
            <w:bCs/>
            <w:sz w:val="24"/>
            <w:szCs w:val="24"/>
          </w:rPr>
          <w:t>Методикой выбора и оценки иностранных валют и ценных бумаг, принимаемых в качестве средств гарантийного обеспечени</w:t>
        </w:r>
      </w:hyperlink>
      <w:r w:rsidR="00D249C7" w:rsidRPr="000F4CBD">
        <w:rPr>
          <w:rFonts w:ascii="Times New Roman" w:hAnsi="Times New Roman"/>
          <w:bCs/>
          <w:sz w:val="24"/>
          <w:szCs w:val="24"/>
        </w:rPr>
        <w:t>я.</w:t>
      </w:r>
      <w:r w:rsidR="00D249C7" w:rsidRPr="000F4CBD">
        <w:rPr>
          <w:rFonts w:ascii="Times New Roman" w:eastAsia="Calibri" w:hAnsi="Times New Roman"/>
          <w:noProof/>
          <w:sz w:val="24"/>
          <w:szCs w:val="24"/>
        </w:rPr>
        <w:t xml:space="preserve"> </w:t>
      </w:r>
    </w:p>
    <w:p w14:paraId="7197C300" w14:textId="77777777" w:rsidR="00A15B9B" w:rsidRDefault="00A15B9B" w:rsidP="00D249C7">
      <w:pPr>
        <w:tabs>
          <w:tab w:val="right" w:pos="9356"/>
        </w:tabs>
        <w:ind w:firstLine="709"/>
        <w:jc w:val="both"/>
        <w:rPr>
          <w:rFonts w:ascii="Times New Roman" w:eastAsia="Calibri" w:hAnsi="Times New Roman"/>
          <w:b/>
          <w:i/>
          <w:noProof/>
          <w:sz w:val="24"/>
          <w:szCs w:val="24"/>
        </w:rPr>
      </w:pPr>
    </w:p>
    <w:p w14:paraId="6620C106" w14:textId="77777777" w:rsidR="00D249C7" w:rsidRPr="000F4CBD" w:rsidRDefault="00D249C7" w:rsidP="00D249C7">
      <w:pPr>
        <w:tabs>
          <w:tab w:val="right" w:pos="9356"/>
        </w:tabs>
        <w:ind w:firstLine="709"/>
        <w:jc w:val="both"/>
        <w:rPr>
          <w:rFonts w:ascii="Times New Roman" w:eastAsia="Calibri" w:hAnsi="Times New Roman"/>
          <w:b/>
          <w:i/>
          <w:noProof/>
          <w:sz w:val="24"/>
          <w:szCs w:val="24"/>
        </w:rPr>
      </w:pPr>
      <w:r w:rsidRPr="000F4CBD">
        <w:rPr>
          <w:rFonts w:ascii="Times New Roman" w:eastAsia="Calibri" w:hAnsi="Times New Roman"/>
          <w:b/>
          <w:i/>
          <w:noProof/>
          <w:sz w:val="24"/>
          <w:szCs w:val="24"/>
        </w:rPr>
        <w:t xml:space="preserve">В 2017 году проведены мероприятия по дальнейшему развитию клиринговых сервисов, предоставляемых участникам клиринга на срочном рынке, а именно: </w:t>
      </w:r>
    </w:p>
    <w:p w14:paraId="1199DDEC" w14:textId="77777777" w:rsidR="00D249C7" w:rsidRPr="000F4CBD" w:rsidRDefault="00D249C7" w:rsidP="00D249C7">
      <w:pPr>
        <w:tabs>
          <w:tab w:val="right" w:pos="9356"/>
        </w:tabs>
        <w:ind w:firstLine="709"/>
        <w:jc w:val="both"/>
        <w:rPr>
          <w:rFonts w:ascii="Times New Roman" w:eastAsia="Calibri" w:hAnsi="Times New Roman"/>
          <w:b/>
          <w:i/>
          <w:noProof/>
          <w:sz w:val="24"/>
          <w:szCs w:val="24"/>
        </w:rPr>
      </w:pPr>
    </w:p>
    <w:p w14:paraId="56E358EF" w14:textId="77777777" w:rsidR="00D249C7" w:rsidRPr="000F4CBD" w:rsidRDefault="00D249C7" w:rsidP="00A15B9B">
      <w:pPr>
        <w:numPr>
          <w:ilvl w:val="0"/>
          <w:numId w:val="3"/>
        </w:numPr>
        <w:tabs>
          <w:tab w:val="right" w:pos="9356"/>
        </w:tabs>
        <w:autoSpaceDE w:val="0"/>
        <w:autoSpaceDN w:val="0"/>
        <w:spacing w:before="120" w:after="120"/>
        <w:ind w:left="1072"/>
        <w:contextualSpacing/>
        <w:jc w:val="both"/>
        <w:rPr>
          <w:rFonts w:ascii="Times New Roman" w:eastAsia="Calibri" w:hAnsi="Times New Roman"/>
          <w:bCs/>
          <w:noProof/>
          <w:sz w:val="24"/>
          <w:szCs w:val="24"/>
        </w:rPr>
      </w:pPr>
      <w:r w:rsidRPr="000F4CBD">
        <w:rPr>
          <w:rFonts w:ascii="Times New Roman" w:eastAsia="Calibri" w:hAnsi="Times New Roman"/>
          <w:bCs/>
          <w:noProof/>
          <w:sz w:val="24"/>
          <w:szCs w:val="24"/>
        </w:rPr>
        <w:t>НКЦ продолжил совершенствование системы управления рисками срочного рынка ПАО Московская Биржа и связанных с ней сервисов. В частности, был реализован расчет плавающего гарантийного обеспечения для таких инструментов, как фьючерс на ставку RUONIA, внедрен в эксплуатацию сервис информирования о предполагаемом размере гарантийного обеспечения после изменения риск-параметров.</w:t>
      </w:r>
    </w:p>
    <w:p w14:paraId="6AD7BD7C" w14:textId="77777777" w:rsidR="00D249C7" w:rsidRPr="000F4CBD" w:rsidRDefault="00D249C7" w:rsidP="00A15B9B">
      <w:pPr>
        <w:numPr>
          <w:ilvl w:val="0"/>
          <w:numId w:val="3"/>
        </w:numPr>
        <w:tabs>
          <w:tab w:val="right" w:pos="9356"/>
        </w:tabs>
        <w:autoSpaceDE w:val="0"/>
        <w:autoSpaceDN w:val="0"/>
        <w:spacing w:before="120" w:after="120"/>
        <w:ind w:left="1072"/>
        <w:contextualSpacing/>
        <w:jc w:val="both"/>
        <w:rPr>
          <w:rFonts w:ascii="Times New Roman" w:eastAsia="Calibri" w:hAnsi="Times New Roman"/>
          <w:noProof/>
          <w:sz w:val="24"/>
          <w:szCs w:val="24"/>
        </w:rPr>
      </w:pPr>
      <w:r w:rsidRPr="000F4CBD">
        <w:rPr>
          <w:rFonts w:ascii="Times New Roman" w:eastAsia="Calibri" w:hAnsi="Times New Roman"/>
          <w:bCs/>
          <w:noProof/>
          <w:sz w:val="24"/>
          <w:szCs w:val="24"/>
        </w:rPr>
        <w:t>В рамках реализации стратегического проекта «Единый пул обеспечения» была реализована возможность получать и передавать профили рублей со срочного рынка на валютный и фондовый.</w:t>
      </w:r>
    </w:p>
    <w:p w14:paraId="5188DB35" w14:textId="60AC78A9" w:rsidR="00D249C7" w:rsidRPr="00A256F2" w:rsidRDefault="00A256F2" w:rsidP="00D1323B">
      <w:pPr>
        <w:numPr>
          <w:ilvl w:val="0"/>
          <w:numId w:val="3"/>
        </w:numPr>
        <w:tabs>
          <w:tab w:val="right" w:pos="9356"/>
        </w:tabs>
        <w:autoSpaceDE w:val="0"/>
        <w:autoSpaceDN w:val="0"/>
        <w:spacing w:before="120" w:after="120"/>
        <w:ind w:left="1072"/>
        <w:contextualSpacing/>
        <w:jc w:val="both"/>
        <w:rPr>
          <w:rFonts w:ascii="Times New Roman" w:eastAsia="Calibri" w:hAnsi="Times New Roman"/>
          <w:bCs/>
          <w:noProof/>
          <w:sz w:val="24"/>
          <w:szCs w:val="24"/>
          <w:lang w:val="x-none"/>
        </w:rPr>
      </w:pPr>
      <w:r w:rsidRPr="00A256F2">
        <w:rPr>
          <w:rFonts w:ascii="Times New Roman" w:hAnsi="Times New Roman"/>
          <w:color w:val="212121"/>
          <w:sz w:val="24"/>
          <w:szCs w:val="24"/>
          <w:shd w:val="clear" w:color="auto" w:fill="FFFFFF"/>
        </w:rPr>
        <w:t>Н</w:t>
      </w:r>
      <w:r w:rsidR="00724F19" w:rsidRPr="00A256F2">
        <w:rPr>
          <w:rFonts w:ascii="Times New Roman" w:hAnsi="Times New Roman"/>
          <w:color w:val="212121"/>
          <w:sz w:val="24"/>
          <w:szCs w:val="24"/>
          <w:shd w:val="clear" w:color="auto" w:fill="FFFFFF"/>
        </w:rPr>
        <w:t>ачат</w:t>
      </w:r>
      <w:r w:rsidRPr="00A256F2">
        <w:rPr>
          <w:rFonts w:ascii="Times New Roman" w:hAnsi="Times New Roman"/>
          <w:color w:val="212121"/>
          <w:sz w:val="24"/>
          <w:szCs w:val="24"/>
          <w:shd w:val="clear" w:color="auto" w:fill="FFFFFF"/>
        </w:rPr>
        <w:t xml:space="preserve">о осуществление </w:t>
      </w:r>
      <w:r w:rsidR="00724F19" w:rsidRPr="00A256F2">
        <w:rPr>
          <w:rFonts w:ascii="Times New Roman" w:hAnsi="Times New Roman"/>
          <w:color w:val="212121"/>
          <w:sz w:val="24"/>
          <w:szCs w:val="24"/>
          <w:shd w:val="clear" w:color="auto" w:fill="FFFFFF"/>
        </w:rPr>
        <w:t>проекта и реализована юридическая возможность разделения статусов участников торгов и участников клиринга на срочном рынке</w:t>
      </w:r>
      <w:r w:rsidRPr="00A256F2">
        <w:rPr>
          <w:rFonts w:ascii="Times New Roman" w:hAnsi="Times New Roman"/>
          <w:color w:val="212121"/>
          <w:sz w:val="24"/>
          <w:szCs w:val="24"/>
          <w:shd w:val="clear" w:color="auto" w:fill="FFFFFF"/>
        </w:rPr>
        <w:t>.</w:t>
      </w:r>
      <w:r>
        <w:rPr>
          <w:rFonts w:ascii="Times New Roman" w:hAnsi="Times New Roman"/>
          <w:color w:val="212121"/>
          <w:sz w:val="24"/>
          <w:szCs w:val="24"/>
          <w:shd w:val="clear" w:color="auto" w:fill="FFFFFF"/>
        </w:rPr>
        <w:t xml:space="preserve"> </w:t>
      </w:r>
      <w:r w:rsidR="00A15B9B" w:rsidRPr="00A256F2">
        <w:rPr>
          <w:rFonts w:ascii="Times New Roman" w:eastAsia="Calibri" w:hAnsi="Times New Roman"/>
          <w:bCs/>
          <w:noProof/>
          <w:sz w:val="24"/>
          <w:szCs w:val="24"/>
        </w:rPr>
        <w:t>Разделение статусов участников торгов и у</w:t>
      </w:r>
      <w:r w:rsidR="00D249C7" w:rsidRPr="00A256F2">
        <w:rPr>
          <w:rFonts w:ascii="Times New Roman" w:eastAsia="Calibri" w:hAnsi="Times New Roman"/>
          <w:bCs/>
          <w:noProof/>
          <w:sz w:val="24"/>
          <w:szCs w:val="24"/>
        </w:rPr>
        <w:t>частников клиринга на срочном рынке позволит обеспечить прямой дост</w:t>
      </w:r>
      <w:r w:rsidR="00A15B9B" w:rsidRPr="00A256F2">
        <w:rPr>
          <w:rFonts w:ascii="Times New Roman" w:eastAsia="Calibri" w:hAnsi="Times New Roman"/>
          <w:bCs/>
          <w:noProof/>
          <w:sz w:val="24"/>
          <w:szCs w:val="24"/>
        </w:rPr>
        <w:t>уп на срочный рынок в качестве у</w:t>
      </w:r>
      <w:r w:rsidR="00D249C7" w:rsidRPr="00A256F2">
        <w:rPr>
          <w:rFonts w:ascii="Times New Roman" w:eastAsia="Calibri" w:hAnsi="Times New Roman"/>
          <w:bCs/>
          <w:noProof/>
          <w:sz w:val="24"/>
          <w:szCs w:val="24"/>
        </w:rPr>
        <w:t>частников клиринга организаций, не заинтересованных в силу о</w:t>
      </w:r>
      <w:r w:rsidR="00A15B9B" w:rsidRPr="00A256F2">
        <w:rPr>
          <w:rFonts w:ascii="Times New Roman" w:eastAsia="Calibri" w:hAnsi="Times New Roman"/>
          <w:bCs/>
          <w:noProof/>
          <w:sz w:val="24"/>
          <w:szCs w:val="24"/>
        </w:rPr>
        <w:t>собенностей бизнес-модели быть у</w:t>
      </w:r>
      <w:r w:rsidR="00D249C7" w:rsidRPr="00A256F2">
        <w:rPr>
          <w:rFonts w:ascii="Times New Roman" w:eastAsia="Calibri" w:hAnsi="Times New Roman"/>
          <w:bCs/>
          <w:noProof/>
          <w:sz w:val="24"/>
          <w:szCs w:val="24"/>
        </w:rPr>
        <w:t>частникам торгов или не имеющи</w:t>
      </w:r>
      <w:r w:rsidR="00A15B9B" w:rsidRPr="00A256F2">
        <w:rPr>
          <w:rFonts w:ascii="Times New Roman" w:eastAsia="Calibri" w:hAnsi="Times New Roman"/>
          <w:bCs/>
          <w:noProof/>
          <w:sz w:val="24"/>
          <w:szCs w:val="24"/>
        </w:rPr>
        <w:t>х юридической возможности быть у</w:t>
      </w:r>
      <w:r w:rsidR="00D249C7" w:rsidRPr="00A256F2">
        <w:rPr>
          <w:rFonts w:ascii="Times New Roman" w:eastAsia="Calibri" w:hAnsi="Times New Roman"/>
          <w:bCs/>
          <w:noProof/>
          <w:sz w:val="24"/>
          <w:szCs w:val="24"/>
        </w:rPr>
        <w:t xml:space="preserve">частниками торгов в силу законодательных ограничений. </w:t>
      </w:r>
      <w:r w:rsidR="00A15B9B" w:rsidRPr="00A256F2">
        <w:rPr>
          <w:rFonts w:ascii="Times New Roman" w:eastAsia="Calibri" w:hAnsi="Times New Roman"/>
          <w:bCs/>
          <w:noProof/>
          <w:sz w:val="24"/>
          <w:szCs w:val="24"/>
          <w:lang w:val="x-none"/>
        </w:rPr>
        <w:t>Для у</w:t>
      </w:r>
      <w:r w:rsidR="00D249C7" w:rsidRPr="00A256F2">
        <w:rPr>
          <w:rFonts w:ascii="Times New Roman" w:eastAsia="Calibri" w:hAnsi="Times New Roman"/>
          <w:bCs/>
          <w:noProof/>
          <w:sz w:val="24"/>
          <w:szCs w:val="24"/>
          <w:lang w:val="x-none"/>
        </w:rPr>
        <w:t>частников клиринга</w:t>
      </w:r>
      <w:r w:rsidR="00D249C7" w:rsidRPr="00A256F2">
        <w:rPr>
          <w:rFonts w:ascii="Times New Roman" w:eastAsia="Calibri" w:hAnsi="Times New Roman"/>
          <w:bCs/>
          <w:noProof/>
          <w:sz w:val="24"/>
          <w:szCs w:val="24"/>
        </w:rPr>
        <w:t xml:space="preserve"> </w:t>
      </w:r>
      <w:r w:rsidR="00D249C7" w:rsidRPr="00A256F2">
        <w:rPr>
          <w:rFonts w:ascii="Times New Roman" w:eastAsia="Calibri" w:hAnsi="Times New Roman"/>
          <w:bCs/>
          <w:noProof/>
          <w:sz w:val="24"/>
          <w:szCs w:val="24"/>
          <w:lang w:val="x-none"/>
        </w:rPr>
        <w:t>–</w:t>
      </w:r>
      <w:r w:rsidR="00D249C7" w:rsidRPr="00A256F2">
        <w:rPr>
          <w:rFonts w:ascii="Times New Roman" w:eastAsia="Calibri" w:hAnsi="Times New Roman"/>
          <w:bCs/>
          <w:noProof/>
          <w:sz w:val="24"/>
          <w:szCs w:val="24"/>
        </w:rPr>
        <w:t xml:space="preserve"> </w:t>
      </w:r>
      <w:r w:rsidR="00D249C7" w:rsidRPr="00A256F2">
        <w:rPr>
          <w:rFonts w:ascii="Times New Roman" w:eastAsia="Calibri" w:hAnsi="Times New Roman"/>
          <w:bCs/>
          <w:noProof/>
          <w:sz w:val="24"/>
          <w:szCs w:val="24"/>
          <w:lang w:val="x-none"/>
        </w:rPr>
        <w:t>резидентов разделение статусов предоставит дополнительные преимущества за счет реализации маржирован</w:t>
      </w:r>
      <w:r w:rsidR="00A15B9B" w:rsidRPr="00A256F2">
        <w:rPr>
          <w:rFonts w:ascii="Times New Roman" w:eastAsia="Calibri" w:hAnsi="Times New Roman"/>
          <w:bCs/>
          <w:noProof/>
          <w:sz w:val="24"/>
          <w:szCs w:val="24"/>
          <w:lang w:val="x-none"/>
        </w:rPr>
        <w:t>ия обслуживаемых им нескольких у</w:t>
      </w:r>
      <w:r w:rsidR="00D249C7" w:rsidRPr="00A256F2">
        <w:rPr>
          <w:rFonts w:ascii="Times New Roman" w:eastAsia="Calibri" w:hAnsi="Times New Roman"/>
          <w:bCs/>
          <w:noProof/>
          <w:sz w:val="24"/>
          <w:szCs w:val="24"/>
          <w:lang w:val="x-none"/>
        </w:rPr>
        <w:t>частников торгов и исполнения обязательств на нетто-основе.</w:t>
      </w:r>
    </w:p>
    <w:p w14:paraId="0D76D1F9" w14:textId="77777777" w:rsidR="005441D2" w:rsidRDefault="005441D2" w:rsidP="00D249C7">
      <w:pPr>
        <w:tabs>
          <w:tab w:val="right" w:pos="9356"/>
        </w:tabs>
        <w:spacing w:before="120"/>
        <w:ind w:left="1134"/>
        <w:jc w:val="both"/>
        <w:rPr>
          <w:rFonts w:ascii="Times New Roman" w:eastAsia="Calibri" w:hAnsi="Times New Roman"/>
          <w:noProof/>
          <w:sz w:val="24"/>
          <w:szCs w:val="24"/>
        </w:rPr>
      </w:pPr>
    </w:p>
    <w:p w14:paraId="7C028F74" w14:textId="48234E12" w:rsidR="00D249C7" w:rsidRPr="000F4CBD" w:rsidRDefault="00A15B9B" w:rsidP="00D249C7">
      <w:pPr>
        <w:tabs>
          <w:tab w:val="right" w:pos="9356"/>
        </w:tabs>
        <w:spacing w:before="120"/>
        <w:ind w:left="1134"/>
        <w:jc w:val="both"/>
        <w:rPr>
          <w:rFonts w:ascii="Times New Roman" w:eastAsia="Calibri" w:hAnsi="Times New Roman"/>
          <w:noProof/>
          <w:sz w:val="24"/>
          <w:szCs w:val="24"/>
        </w:rPr>
      </w:pPr>
      <w:r>
        <w:rPr>
          <w:rFonts w:ascii="Times New Roman" w:eastAsia="Calibri" w:hAnsi="Times New Roman"/>
          <w:noProof/>
          <w:sz w:val="24"/>
          <w:szCs w:val="24"/>
        </w:rPr>
        <w:t>Для у</w:t>
      </w:r>
      <w:r w:rsidR="00D249C7" w:rsidRPr="000F4CBD">
        <w:rPr>
          <w:rFonts w:ascii="Times New Roman" w:eastAsia="Calibri" w:hAnsi="Times New Roman"/>
          <w:noProof/>
          <w:sz w:val="24"/>
          <w:szCs w:val="24"/>
        </w:rPr>
        <w:t>частников т</w:t>
      </w:r>
      <w:r>
        <w:rPr>
          <w:rFonts w:ascii="Times New Roman" w:eastAsia="Calibri" w:hAnsi="Times New Roman"/>
          <w:noProof/>
          <w:sz w:val="24"/>
          <w:szCs w:val="24"/>
        </w:rPr>
        <w:t>оргов, являющихся одновременно у</w:t>
      </w:r>
      <w:r w:rsidR="00D249C7" w:rsidRPr="000F4CBD">
        <w:rPr>
          <w:rFonts w:ascii="Times New Roman" w:eastAsia="Calibri" w:hAnsi="Times New Roman"/>
          <w:noProof/>
          <w:sz w:val="24"/>
          <w:szCs w:val="24"/>
        </w:rPr>
        <w:t>частниками клиринга, действующий порядок оказания клиринговых услуг и услуг по организации торгов не изменяется.</w:t>
      </w:r>
    </w:p>
    <w:p w14:paraId="09465ECA" w14:textId="77777777" w:rsidR="00D249C7" w:rsidRPr="000F4CBD" w:rsidRDefault="00D249C7" w:rsidP="00D249C7">
      <w:pPr>
        <w:tabs>
          <w:tab w:val="right" w:pos="9356"/>
        </w:tabs>
        <w:spacing w:before="120"/>
        <w:ind w:left="1134"/>
        <w:jc w:val="both"/>
        <w:rPr>
          <w:rFonts w:ascii="Times New Roman" w:eastAsia="Calibri" w:hAnsi="Times New Roman"/>
          <w:noProof/>
          <w:sz w:val="24"/>
          <w:szCs w:val="24"/>
        </w:rPr>
      </w:pPr>
      <w:r w:rsidRPr="000F4CBD">
        <w:rPr>
          <w:rFonts w:ascii="Times New Roman" w:eastAsia="Calibri" w:hAnsi="Times New Roman"/>
          <w:noProof/>
          <w:sz w:val="24"/>
          <w:szCs w:val="24"/>
        </w:rPr>
        <w:t>Проект направлен на унификацию сервисов на всех биржевых рынках и предоставит дополнительные возможности для нерезидентов (в том числе с использованием SMA-доступа к торгам ) и крупных локальных брокеров, а также позволит снизить издержки для малых локальных брокеров за счет отмены взносов в гарантийный фонд и неприменения комиссии за клиринг.</w:t>
      </w:r>
    </w:p>
    <w:p w14:paraId="6BAF126B" w14:textId="77777777" w:rsidR="00D249C7" w:rsidRPr="000F4CBD" w:rsidRDefault="00D249C7" w:rsidP="00D249C7">
      <w:pPr>
        <w:tabs>
          <w:tab w:val="right" w:pos="9356"/>
        </w:tabs>
        <w:spacing w:before="120"/>
        <w:ind w:left="1134"/>
        <w:jc w:val="both"/>
        <w:rPr>
          <w:rFonts w:ascii="Times New Roman" w:eastAsia="Calibri" w:hAnsi="Times New Roman"/>
          <w:noProof/>
          <w:sz w:val="24"/>
          <w:szCs w:val="24"/>
        </w:rPr>
      </w:pPr>
      <w:r w:rsidRPr="000F4CBD">
        <w:rPr>
          <w:rFonts w:ascii="Times New Roman" w:eastAsia="Calibri" w:hAnsi="Times New Roman"/>
          <w:noProof/>
          <w:sz w:val="24"/>
          <w:szCs w:val="24"/>
        </w:rPr>
        <w:t xml:space="preserve">Первый этап реализации запланирован на второй квартал 2018 года, второй этап  – на 2019 год. </w:t>
      </w:r>
    </w:p>
    <w:p w14:paraId="36628510" w14:textId="77777777" w:rsidR="00D249C7" w:rsidRPr="000F4CBD" w:rsidRDefault="00D249C7" w:rsidP="00D249C7">
      <w:pPr>
        <w:tabs>
          <w:tab w:val="right" w:pos="9356"/>
        </w:tabs>
        <w:ind w:firstLine="709"/>
        <w:jc w:val="both"/>
        <w:rPr>
          <w:rFonts w:ascii="Times New Roman" w:eastAsia="Calibri" w:hAnsi="Times New Roman"/>
          <w:b/>
          <w:i/>
          <w:noProof/>
          <w:sz w:val="24"/>
          <w:szCs w:val="24"/>
        </w:rPr>
      </w:pPr>
    </w:p>
    <w:p w14:paraId="7C9789C1" w14:textId="77777777" w:rsidR="00D249C7" w:rsidRPr="000F4CBD" w:rsidRDefault="00D249C7" w:rsidP="00D249C7">
      <w:pPr>
        <w:tabs>
          <w:tab w:val="right" w:pos="9356"/>
        </w:tabs>
        <w:ind w:firstLine="709"/>
        <w:jc w:val="both"/>
        <w:rPr>
          <w:rFonts w:ascii="Times New Roman" w:eastAsia="Calibri" w:hAnsi="Times New Roman"/>
          <w:noProof/>
          <w:sz w:val="24"/>
          <w:szCs w:val="24"/>
        </w:rPr>
      </w:pPr>
    </w:p>
    <w:p w14:paraId="5C8CB43D" w14:textId="7B291EA4" w:rsidR="00D249C7" w:rsidRPr="000F4CBD" w:rsidRDefault="00D249C7" w:rsidP="00D249C7">
      <w:pPr>
        <w:shd w:val="clear" w:color="auto" w:fill="FFFFFF"/>
        <w:spacing w:after="100" w:afterAutospacing="1"/>
        <w:ind w:hanging="142"/>
        <w:jc w:val="both"/>
        <w:rPr>
          <w:rFonts w:ascii="Times New Roman" w:hAnsi="Times New Roman"/>
          <w:bCs/>
          <w:sz w:val="24"/>
          <w:szCs w:val="24"/>
        </w:rPr>
      </w:pPr>
      <w:r w:rsidRPr="000F4CBD">
        <w:rPr>
          <w:rFonts w:ascii="Times New Roman" w:eastAsia="Calibri" w:hAnsi="Times New Roman"/>
          <w:noProof/>
          <w:sz w:val="24"/>
          <w:szCs w:val="24"/>
        </w:rPr>
        <w:t xml:space="preserve">  </w:t>
      </w:r>
      <w:r w:rsidR="00B94001">
        <w:rPr>
          <w:rFonts w:ascii="Times New Roman" w:eastAsia="Calibri" w:hAnsi="Times New Roman"/>
          <w:noProof/>
          <w:sz w:val="24"/>
          <w:szCs w:val="24"/>
        </w:rPr>
        <w:t xml:space="preserve">     </w:t>
      </w:r>
      <w:r w:rsidRPr="000F4CBD">
        <w:rPr>
          <w:rFonts w:ascii="Times New Roman" w:eastAsia="Calibri" w:hAnsi="Times New Roman"/>
          <w:noProof/>
          <w:sz w:val="24"/>
          <w:szCs w:val="24"/>
        </w:rPr>
        <w:t xml:space="preserve"> </w:t>
      </w:r>
      <w:r w:rsidRPr="000F4CBD">
        <w:rPr>
          <w:rFonts w:ascii="Times New Roman" w:hAnsi="Times New Roman"/>
          <w:bCs/>
          <w:sz w:val="24"/>
          <w:szCs w:val="24"/>
        </w:rPr>
        <w:t>В 2017 году стали доступны для торговли на срочном рынке ПАО Московская Биржа недельные опционы на наиболее ликвидные активы – фьючерсы на курс USD/RUB и индекс РТС. Новые инструменты дополняют линейку месячных и квартальных опционов. Кроме того, допущены к торгам опционы на фьючерсы на курс GBP/USD и USD/JPY, линейка поставочных срочных контрактов на акции российских эмитентов дополнена фьючерсами на акции ПАО «Аэрофлот» и опционами на них.</w:t>
      </w:r>
    </w:p>
    <w:p w14:paraId="1CEB5D35" w14:textId="2261F13C" w:rsidR="00D249C7" w:rsidRPr="000F4CBD" w:rsidRDefault="00B94001" w:rsidP="00B94001">
      <w:pPr>
        <w:jc w:val="both"/>
        <w:rPr>
          <w:rFonts w:ascii="Times New Roman" w:hAnsi="Times New Roman"/>
          <w:bCs/>
          <w:sz w:val="24"/>
          <w:szCs w:val="24"/>
        </w:rPr>
      </w:pPr>
      <w:r>
        <w:rPr>
          <w:rFonts w:ascii="Times New Roman" w:hAnsi="Times New Roman"/>
          <w:bCs/>
          <w:sz w:val="24"/>
          <w:szCs w:val="24"/>
        </w:rPr>
        <w:t xml:space="preserve">     </w:t>
      </w:r>
      <w:r w:rsidR="00D249C7" w:rsidRPr="000F4CBD">
        <w:rPr>
          <w:rFonts w:ascii="Times New Roman" w:hAnsi="Times New Roman"/>
          <w:bCs/>
          <w:sz w:val="24"/>
          <w:szCs w:val="24"/>
        </w:rPr>
        <w:t>Комиссионное вознаграждение, полученное НКЦ за клиринговое обслуживание на срочном рынке за 2017 год</w:t>
      </w:r>
      <w:r w:rsidR="00A15B9B">
        <w:rPr>
          <w:rFonts w:ascii="Times New Roman" w:hAnsi="Times New Roman"/>
          <w:bCs/>
          <w:sz w:val="24"/>
          <w:szCs w:val="24"/>
        </w:rPr>
        <w:t xml:space="preserve">, </w:t>
      </w:r>
      <w:r w:rsidR="00D249C7" w:rsidRPr="000F4CBD">
        <w:rPr>
          <w:rFonts w:ascii="Times New Roman" w:hAnsi="Times New Roman"/>
          <w:bCs/>
          <w:sz w:val="24"/>
          <w:szCs w:val="24"/>
        </w:rPr>
        <w:t>составило 24 990 тыс. руб.</w:t>
      </w:r>
    </w:p>
    <w:p w14:paraId="0C6373F4" w14:textId="77777777" w:rsidR="00D249C7" w:rsidRPr="000F4CBD" w:rsidRDefault="00D249C7" w:rsidP="00D249C7">
      <w:pPr>
        <w:tabs>
          <w:tab w:val="left" w:pos="8820"/>
        </w:tabs>
        <w:ind w:left="708" w:right="76"/>
        <w:rPr>
          <w:rFonts w:ascii="Times New Roman" w:hAnsi="Times New Roman"/>
          <w:b/>
          <w:sz w:val="28"/>
          <w:szCs w:val="28"/>
        </w:rPr>
      </w:pPr>
    </w:p>
    <w:p w14:paraId="5E6405DF" w14:textId="77777777" w:rsidR="009F5D88" w:rsidRPr="000F4CBD" w:rsidRDefault="009F5D88" w:rsidP="00722C56">
      <w:pPr>
        <w:pStyle w:val="2"/>
        <w:jc w:val="center"/>
        <w:rPr>
          <w:rFonts w:ascii="Times New Roman" w:eastAsia="Calibri" w:hAnsi="Times New Roman"/>
          <w:b/>
          <w:bCs/>
          <w:sz w:val="28"/>
          <w:szCs w:val="28"/>
        </w:rPr>
      </w:pPr>
      <w:bookmarkStart w:id="9" w:name="_Toc510776658"/>
      <w:r w:rsidRPr="00EA71B4">
        <w:rPr>
          <w:rFonts w:ascii="Times New Roman" w:hAnsi="Times New Roman" w:cs="Times New Roman"/>
          <w:b/>
          <w:color w:val="000000" w:themeColor="text1"/>
          <w:sz w:val="28"/>
          <w:szCs w:val="28"/>
        </w:rPr>
        <w:t>5.4.</w:t>
      </w:r>
      <w:r w:rsidR="00D249C7" w:rsidRPr="00EA71B4">
        <w:rPr>
          <w:rFonts w:ascii="Times New Roman" w:hAnsi="Times New Roman" w:cs="Times New Roman"/>
          <w:b/>
          <w:color w:val="000000" w:themeColor="text1"/>
          <w:sz w:val="28"/>
          <w:szCs w:val="28"/>
        </w:rPr>
        <w:t xml:space="preserve"> Клиринговая деятельность на товарном рынке</w:t>
      </w:r>
      <w:r w:rsidRPr="00EA71B4">
        <w:rPr>
          <w:rFonts w:ascii="Times New Roman" w:hAnsi="Times New Roman" w:cs="Times New Roman"/>
          <w:b/>
          <w:color w:val="000000" w:themeColor="text1"/>
          <w:sz w:val="28"/>
          <w:szCs w:val="28"/>
        </w:rPr>
        <w:t>. Выполнение функций оператора товарных поставок</w:t>
      </w:r>
      <w:bookmarkEnd w:id="9"/>
    </w:p>
    <w:p w14:paraId="3E4218A0" w14:textId="77777777" w:rsidR="00D249C7" w:rsidRPr="000F4CBD" w:rsidRDefault="00D249C7" w:rsidP="00AC5DB7">
      <w:pPr>
        <w:rPr>
          <w:rFonts w:ascii="Times New Roman" w:hAnsi="Times New Roman"/>
          <w:color w:val="000000"/>
          <w:sz w:val="24"/>
          <w:szCs w:val="24"/>
        </w:rPr>
      </w:pPr>
    </w:p>
    <w:p w14:paraId="08B77916" w14:textId="77777777" w:rsidR="00D249C7" w:rsidRPr="000F4CBD" w:rsidRDefault="00AC5DB7" w:rsidP="00AC5DB7">
      <w:pPr>
        <w:spacing w:afterLines="120" w:after="288"/>
        <w:jc w:val="both"/>
        <w:rPr>
          <w:rFonts w:ascii="Times New Roman" w:hAnsi="Times New Roman"/>
          <w:sz w:val="24"/>
          <w:szCs w:val="24"/>
        </w:rPr>
      </w:pPr>
      <w:r>
        <w:rPr>
          <w:rFonts w:ascii="Times New Roman" w:hAnsi="Times New Roman"/>
          <w:sz w:val="24"/>
          <w:szCs w:val="24"/>
        </w:rPr>
        <w:lastRenderedPageBreak/>
        <w:t xml:space="preserve">     </w:t>
      </w:r>
      <w:r w:rsidR="00D249C7" w:rsidRPr="000F4CBD">
        <w:rPr>
          <w:rFonts w:ascii="Times New Roman" w:hAnsi="Times New Roman"/>
          <w:sz w:val="24"/>
          <w:szCs w:val="24"/>
        </w:rPr>
        <w:t>Торговля сельхозпродукцией (зерном и сахаром) проходит на торгово-клиринговой платформе УРОЖАЙ, которая позволяет адаптировать функционал и спецификации к принятым в отрасли стандартам торговли</w:t>
      </w:r>
      <w:r>
        <w:rPr>
          <w:rFonts w:ascii="Times New Roman" w:hAnsi="Times New Roman"/>
          <w:sz w:val="24"/>
          <w:szCs w:val="24"/>
        </w:rPr>
        <w:t xml:space="preserve">, </w:t>
      </w:r>
      <w:r w:rsidR="00D249C7" w:rsidRPr="000F4CBD">
        <w:rPr>
          <w:rFonts w:ascii="Times New Roman" w:hAnsi="Times New Roman"/>
          <w:sz w:val="24"/>
          <w:szCs w:val="24"/>
        </w:rPr>
        <w:t>логистики и оперативно запускать торги широким спектром базовых активов. Технология предоставляет прямой доступ к торгам не только брокерам, но и партнерам и конечным клиентам.</w:t>
      </w:r>
    </w:p>
    <w:p w14:paraId="01ACF4FF" w14:textId="7E2EB6F4" w:rsidR="00D249C7" w:rsidRPr="000F4CBD" w:rsidRDefault="00AC5DB7" w:rsidP="00AC5DB7">
      <w:pPr>
        <w:spacing w:afterLines="120" w:after="288"/>
        <w:jc w:val="both"/>
        <w:rPr>
          <w:rFonts w:ascii="Times New Roman" w:hAnsi="Times New Roman"/>
          <w:sz w:val="24"/>
          <w:szCs w:val="24"/>
        </w:rPr>
      </w:pPr>
      <w:r>
        <w:rPr>
          <w:rFonts w:ascii="Times New Roman" w:hAnsi="Times New Roman"/>
          <w:sz w:val="24"/>
          <w:szCs w:val="24"/>
        </w:rPr>
        <w:t xml:space="preserve">     </w:t>
      </w:r>
      <w:r w:rsidR="00D249C7" w:rsidRPr="000F4CBD">
        <w:rPr>
          <w:rFonts w:ascii="Times New Roman" w:hAnsi="Times New Roman"/>
          <w:sz w:val="24"/>
          <w:szCs w:val="24"/>
        </w:rPr>
        <w:t>Торги зерном стартовали на бирже в декабре 2015 года. Первоначально проводилась биржевая торговля форвардными контрактами на пшеницу</w:t>
      </w:r>
      <w:r>
        <w:rPr>
          <w:rFonts w:ascii="Times New Roman" w:hAnsi="Times New Roman"/>
          <w:sz w:val="24"/>
          <w:szCs w:val="24"/>
        </w:rPr>
        <w:t xml:space="preserve">. </w:t>
      </w:r>
      <w:r w:rsidR="00B11186">
        <w:rPr>
          <w:rFonts w:ascii="Times New Roman" w:hAnsi="Times New Roman"/>
          <w:sz w:val="24"/>
          <w:szCs w:val="24"/>
        </w:rPr>
        <w:t xml:space="preserve"> </w:t>
      </w:r>
      <w:r>
        <w:rPr>
          <w:rFonts w:ascii="Times New Roman" w:hAnsi="Times New Roman"/>
          <w:sz w:val="24"/>
          <w:szCs w:val="24"/>
        </w:rPr>
        <w:t>В</w:t>
      </w:r>
      <w:r w:rsidR="001860BA">
        <w:rPr>
          <w:rFonts w:ascii="Times New Roman" w:hAnsi="Times New Roman"/>
          <w:sz w:val="24"/>
          <w:szCs w:val="24"/>
        </w:rPr>
        <w:t xml:space="preserve"> </w:t>
      </w:r>
      <w:r>
        <w:rPr>
          <w:rFonts w:ascii="Times New Roman" w:hAnsi="Times New Roman"/>
          <w:sz w:val="24"/>
          <w:szCs w:val="24"/>
        </w:rPr>
        <w:t xml:space="preserve"> </w:t>
      </w:r>
      <w:r w:rsidR="00D249C7" w:rsidRPr="000F4CBD">
        <w:rPr>
          <w:rFonts w:ascii="Times New Roman" w:hAnsi="Times New Roman"/>
          <w:sz w:val="24"/>
          <w:szCs w:val="24"/>
        </w:rPr>
        <w:t xml:space="preserve"> 2016 году к ним добавились контракты на кукурузу и ячмень. </w:t>
      </w:r>
    </w:p>
    <w:p w14:paraId="633F905C" w14:textId="77777777" w:rsidR="00D249C7" w:rsidRPr="000F4CBD" w:rsidRDefault="00AC5DB7" w:rsidP="00AC5DB7">
      <w:pPr>
        <w:spacing w:afterLines="120" w:after="288"/>
        <w:jc w:val="both"/>
        <w:rPr>
          <w:rFonts w:ascii="Times New Roman" w:hAnsi="Times New Roman"/>
          <w:sz w:val="24"/>
          <w:szCs w:val="24"/>
        </w:rPr>
      </w:pPr>
      <w:r>
        <w:rPr>
          <w:rFonts w:ascii="Times New Roman" w:hAnsi="Times New Roman"/>
          <w:sz w:val="24"/>
          <w:szCs w:val="24"/>
        </w:rPr>
        <w:t xml:space="preserve">     </w:t>
      </w:r>
      <w:r w:rsidR="00D249C7" w:rsidRPr="000F4CBD">
        <w:rPr>
          <w:rFonts w:ascii="Times New Roman" w:hAnsi="Times New Roman"/>
          <w:sz w:val="24"/>
          <w:szCs w:val="24"/>
        </w:rPr>
        <w:t>В марте 2017 года стартовала торговля сахаром, предоставившая потребителям и производителям возможность страховать ценовые риски и более эффективно планировать свою деятельность, а также способствующая повышению прозрачности ценообразования на российском рынке сахара. Одновременно на товарном рынке реализован полный функционал: к поставочным форвардным контрактам на зерно добавились форварды на сахар, а также своп контракты на зерно, предоставляющие участникам торгов и их клиентам возможность заимствования средств под обеспечение имеющегося товара.</w:t>
      </w:r>
    </w:p>
    <w:p w14:paraId="1891FC55" w14:textId="77777777" w:rsidR="00D249C7" w:rsidRPr="000F4CBD" w:rsidRDefault="00AC5DB7" w:rsidP="00AC5DB7">
      <w:pPr>
        <w:spacing w:afterLines="120" w:after="288"/>
        <w:jc w:val="both"/>
        <w:rPr>
          <w:rFonts w:ascii="Times New Roman" w:hAnsi="Times New Roman"/>
          <w:sz w:val="24"/>
          <w:szCs w:val="24"/>
        </w:rPr>
      </w:pPr>
      <w:r>
        <w:rPr>
          <w:rFonts w:ascii="Times New Roman" w:hAnsi="Times New Roman"/>
          <w:sz w:val="24"/>
          <w:szCs w:val="24"/>
        </w:rPr>
        <w:t xml:space="preserve">     </w:t>
      </w:r>
      <w:r w:rsidR="00D249C7" w:rsidRPr="000F4CBD">
        <w:rPr>
          <w:rFonts w:ascii="Times New Roman" w:hAnsi="Times New Roman"/>
          <w:sz w:val="24"/>
          <w:szCs w:val="24"/>
        </w:rPr>
        <w:t xml:space="preserve">За 2017 год обороты по свопам с зерном составили 5,2 млрд рублей, по форвардам с зерном – 8,5 тыс. тонн (55 млн рублей), по форвардам с сахаром – 8,5 тыс. тонн (227 млн рублей). </w:t>
      </w:r>
    </w:p>
    <w:p w14:paraId="338A0A5E" w14:textId="77777777" w:rsidR="00D249C7" w:rsidRPr="000F4CBD" w:rsidRDefault="00AC5DB7" w:rsidP="00AC5DB7">
      <w:pPr>
        <w:spacing w:afterLines="120" w:after="288"/>
        <w:jc w:val="both"/>
        <w:rPr>
          <w:rFonts w:ascii="Times New Roman" w:hAnsi="Times New Roman"/>
          <w:sz w:val="24"/>
          <w:szCs w:val="24"/>
        </w:rPr>
      </w:pPr>
      <w:r>
        <w:rPr>
          <w:rFonts w:ascii="Times New Roman" w:hAnsi="Times New Roman"/>
          <w:sz w:val="24"/>
          <w:szCs w:val="24"/>
        </w:rPr>
        <w:t xml:space="preserve">     </w:t>
      </w:r>
      <w:r w:rsidR="00D249C7" w:rsidRPr="000F4CBD">
        <w:rPr>
          <w:rFonts w:ascii="Times New Roman" w:hAnsi="Times New Roman"/>
          <w:sz w:val="24"/>
          <w:szCs w:val="24"/>
        </w:rPr>
        <w:t xml:space="preserve">По состоянию на конец 2017 года участниками торгов являлись девять брокеров, пять агрохолдингов и более 130 клиентов. </w:t>
      </w:r>
    </w:p>
    <w:p w14:paraId="51BC888C" w14:textId="77777777" w:rsidR="00D249C7" w:rsidRPr="000F4CBD" w:rsidRDefault="00AC5DB7" w:rsidP="00AC5DB7">
      <w:pPr>
        <w:spacing w:afterLines="120" w:after="288"/>
        <w:jc w:val="both"/>
        <w:rPr>
          <w:rFonts w:ascii="Times New Roman" w:hAnsi="Times New Roman"/>
          <w:sz w:val="24"/>
          <w:szCs w:val="24"/>
        </w:rPr>
      </w:pPr>
      <w:r>
        <w:rPr>
          <w:rFonts w:ascii="Times New Roman" w:hAnsi="Times New Roman"/>
          <w:sz w:val="24"/>
          <w:szCs w:val="24"/>
        </w:rPr>
        <w:t xml:space="preserve">     </w:t>
      </w:r>
      <w:r w:rsidR="00D249C7" w:rsidRPr="000F4CBD">
        <w:rPr>
          <w:rFonts w:ascii="Times New Roman" w:hAnsi="Times New Roman"/>
          <w:sz w:val="24"/>
          <w:szCs w:val="24"/>
        </w:rPr>
        <w:t>Партнерами Группы «Московская Биржа» выступают крупнейшие российские агрохолдинги, переработчики, зернотрейдеры и экспортеры. К концу 2017 года число базисов поставки – аккредитованных НКЦ товарных складов – составило 43 элеватора (пшеница, кукуруза, ячмень) с общей мощностью хранения более 3 млн тонн и девять сахарных складов (ЦФО, ПФО, ЮФО).</w:t>
      </w:r>
    </w:p>
    <w:p w14:paraId="48CF38E0" w14:textId="77777777" w:rsidR="00D249C7" w:rsidRPr="000F4CBD" w:rsidRDefault="00AC5DB7" w:rsidP="00AC5DB7">
      <w:pPr>
        <w:spacing w:afterLines="120" w:after="288"/>
        <w:jc w:val="both"/>
        <w:rPr>
          <w:rFonts w:ascii="Times New Roman" w:hAnsi="Times New Roman"/>
          <w:sz w:val="24"/>
          <w:szCs w:val="24"/>
        </w:rPr>
      </w:pPr>
      <w:r>
        <w:rPr>
          <w:rFonts w:ascii="Times New Roman" w:hAnsi="Times New Roman"/>
          <w:sz w:val="24"/>
          <w:szCs w:val="24"/>
        </w:rPr>
        <w:t xml:space="preserve">    </w:t>
      </w:r>
      <w:r w:rsidR="00D249C7" w:rsidRPr="000F4CBD">
        <w:rPr>
          <w:rFonts w:ascii="Times New Roman" w:hAnsi="Times New Roman"/>
          <w:sz w:val="24"/>
          <w:szCs w:val="24"/>
        </w:rPr>
        <w:t xml:space="preserve">В четвертом квартале 2017 года начал работу аграрный подкомитет биржевого комитета Федеральной антимонопольной службы (ФАС), задачей которого является развитие биржевых товарных рынков в части аграрного сектора. </w:t>
      </w:r>
    </w:p>
    <w:p w14:paraId="50C5D74B" w14:textId="77777777" w:rsidR="00D249C7" w:rsidRPr="000F4CBD" w:rsidRDefault="00AC5DB7" w:rsidP="00AC5DB7">
      <w:pPr>
        <w:spacing w:afterLines="120" w:after="288"/>
        <w:jc w:val="both"/>
        <w:rPr>
          <w:rFonts w:ascii="Times New Roman" w:hAnsi="Times New Roman"/>
          <w:sz w:val="24"/>
          <w:szCs w:val="24"/>
        </w:rPr>
      </w:pPr>
      <w:r>
        <w:rPr>
          <w:rFonts w:ascii="Times New Roman" w:hAnsi="Times New Roman"/>
          <w:sz w:val="24"/>
          <w:szCs w:val="24"/>
        </w:rPr>
        <w:t xml:space="preserve">    </w:t>
      </w:r>
      <w:r w:rsidR="00D249C7" w:rsidRPr="000F4CBD">
        <w:rPr>
          <w:rFonts w:ascii="Times New Roman" w:hAnsi="Times New Roman"/>
          <w:sz w:val="24"/>
          <w:szCs w:val="24"/>
        </w:rPr>
        <w:t>Переход прав</w:t>
      </w:r>
      <w:r w:rsidR="009F5D88">
        <w:rPr>
          <w:rFonts w:ascii="Times New Roman" w:hAnsi="Times New Roman"/>
          <w:sz w:val="24"/>
          <w:szCs w:val="24"/>
        </w:rPr>
        <w:t>а</w:t>
      </w:r>
      <w:r w:rsidR="00D249C7" w:rsidRPr="000F4CBD">
        <w:rPr>
          <w:rFonts w:ascii="Times New Roman" w:hAnsi="Times New Roman"/>
          <w:sz w:val="24"/>
          <w:szCs w:val="24"/>
        </w:rPr>
        <w:t xml:space="preserve"> собственности на товар по всем торгуемым инструментам осуществляется по товарным счетам участников клиринга/поклажедателей.  Реализовать данный механизм позволила аккредитация НКО НКЦ (АО) в качестве оператора товарных поставок (решение Банка России от 28.10.2015 об аккредитации НКО НКЦ (АО) для осуществления функций оператора товарных поставок).</w:t>
      </w:r>
    </w:p>
    <w:p w14:paraId="50E143FE" w14:textId="77777777" w:rsidR="009F5D88" w:rsidRPr="000F4CBD" w:rsidRDefault="00AC5DB7" w:rsidP="009F5D88">
      <w:pPr>
        <w:ind w:right="76"/>
        <w:jc w:val="both"/>
        <w:rPr>
          <w:rFonts w:ascii="Times New Roman" w:eastAsia="Calibri" w:hAnsi="Times New Roman"/>
          <w:b/>
          <w:bCs/>
          <w:sz w:val="28"/>
          <w:szCs w:val="28"/>
        </w:rPr>
      </w:pPr>
      <w:r>
        <w:rPr>
          <w:rFonts w:ascii="Times New Roman" w:hAnsi="Times New Roman"/>
          <w:bCs/>
          <w:sz w:val="24"/>
          <w:szCs w:val="24"/>
        </w:rPr>
        <w:t xml:space="preserve">     </w:t>
      </w:r>
      <w:r w:rsidR="00D249C7" w:rsidRPr="000F4CBD">
        <w:rPr>
          <w:rFonts w:ascii="Times New Roman" w:hAnsi="Times New Roman"/>
          <w:bCs/>
          <w:sz w:val="24"/>
          <w:szCs w:val="24"/>
        </w:rPr>
        <w:t>Комиссионное вознаграждение, полученное НКЦ за клиринговое обслуживание на товарном рынке за 2017 год</w:t>
      </w:r>
      <w:r>
        <w:rPr>
          <w:rFonts w:ascii="Times New Roman" w:hAnsi="Times New Roman"/>
          <w:bCs/>
          <w:sz w:val="24"/>
          <w:szCs w:val="24"/>
        </w:rPr>
        <w:t>,</w:t>
      </w:r>
      <w:r w:rsidR="00D249C7" w:rsidRPr="000F4CBD">
        <w:rPr>
          <w:rFonts w:ascii="Times New Roman" w:hAnsi="Times New Roman"/>
          <w:bCs/>
          <w:sz w:val="24"/>
          <w:szCs w:val="24"/>
        </w:rPr>
        <w:t xml:space="preserve"> составило </w:t>
      </w:r>
      <w:r w:rsidR="00D249C7" w:rsidRPr="000F4CBD">
        <w:rPr>
          <w:rFonts w:ascii="Times New Roman" w:hAnsi="Times New Roman"/>
          <w:sz w:val="24"/>
          <w:szCs w:val="24"/>
        </w:rPr>
        <w:t>1 144 тыс. руб.</w:t>
      </w:r>
      <w:r w:rsidR="009F5D88" w:rsidRPr="009F5D88">
        <w:rPr>
          <w:rFonts w:ascii="Times New Roman" w:eastAsia="Calibri" w:hAnsi="Times New Roman"/>
          <w:b/>
          <w:bCs/>
          <w:sz w:val="28"/>
          <w:szCs w:val="28"/>
        </w:rPr>
        <w:t xml:space="preserve"> </w:t>
      </w:r>
    </w:p>
    <w:p w14:paraId="6CFA48C1" w14:textId="77777777" w:rsidR="009F5D88" w:rsidRDefault="009F5D88" w:rsidP="009F5D88">
      <w:pPr>
        <w:ind w:firstLine="708"/>
        <w:jc w:val="both"/>
        <w:rPr>
          <w:rFonts w:ascii="Times New Roman" w:hAnsi="Times New Roman"/>
          <w:sz w:val="24"/>
          <w:szCs w:val="24"/>
          <w:shd w:val="clear" w:color="auto" w:fill="FFFFFF"/>
          <w:lang w:eastAsia="ru-RU"/>
        </w:rPr>
      </w:pPr>
    </w:p>
    <w:p w14:paraId="58C5FA04" w14:textId="320291E5" w:rsidR="009F5D88" w:rsidRPr="000F4CBD" w:rsidRDefault="005441D2" w:rsidP="005441D2">
      <w:pPr>
        <w:jc w:val="both"/>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 xml:space="preserve">     </w:t>
      </w:r>
      <w:r w:rsidR="009F5D88" w:rsidRPr="000F4CBD">
        <w:rPr>
          <w:rFonts w:ascii="Times New Roman" w:hAnsi="Times New Roman"/>
          <w:sz w:val="24"/>
          <w:szCs w:val="24"/>
          <w:shd w:val="clear" w:color="auto" w:fill="FFFFFF"/>
          <w:lang w:eastAsia="ru-RU"/>
        </w:rPr>
        <w:t>На момент аккредитации НКО НКЦ (АО)</w:t>
      </w:r>
      <w:r w:rsidR="009F5D88">
        <w:rPr>
          <w:rFonts w:ascii="Times New Roman" w:hAnsi="Times New Roman"/>
          <w:sz w:val="24"/>
          <w:szCs w:val="24"/>
          <w:shd w:val="clear" w:color="auto" w:fill="FFFFFF"/>
          <w:lang w:eastAsia="ru-RU"/>
        </w:rPr>
        <w:t xml:space="preserve"> в октябре 2015 года</w:t>
      </w:r>
      <w:r w:rsidR="009F5D88" w:rsidRPr="000F4CBD">
        <w:rPr>
          <w:rFonts w:ascii="Times New Roman" w:hAnsi="Times New Roman"/>
          <w:sz w:val="24"/>
          <w:szCs w:val="24"/>
          <w:shd w:val="clear" w:color="auto" w:fill="FFFFFF"/>
          <w:lang w:eastAsia="ru-RU"/>
        </w:rPr>
        <w:t>, деятельность оператора товарных поставок (ОТП) не имела аналогов ни в России, ни в мире</w:t>
      </w:r>
      <w:r w:rsidR="009F5D88">
        <w:rPr>
          <w:rFonts w:ascii="Times New Roman" w:hAnsi="Times New Roman"/>
          <w:sz w:val="24"/>
          <w:szCs w:val="24"/>
          <w:shd w:val="clear" w:color="auto" w:fill="FFFFFF"/>
          <w:lang w:eastAsia="ru-RU"/>
        </w:rPr>
        <w:t>. П</w:t>
      </w:r>
      <w:r w:rsidR="009F5D88" w:rsidRPr="000F4CBD">
        <w:rPr>
          <w:rFonts w:ascii="Times New Roman" w:hAnsi="Times New Roman"/>
          <w:sz w:val="24"/>
          <w:szCs w:val="24"/>
          <w:shd w:val="clear" w:color="auto" w:fill="FFFFFF"/>
          <w:lang w:eastAsia="ru-RU"/>
        </w:rPr>
        <w:t xml:space="preserve">оэтому вся работа по разработке документации ОТП была реализована «с нуля» с опорой на лучшие практики клирингового, биржевого, депозитарного законодательства и с учетом специфики оборота товаров на внебиржевом рынке. </w:t>
      </w:r>
    </w:p>
    <w:p w14:paraId="3E15467E" w14:textId="77777777" w:rsidR="009F5D88" w:rsidRDefault="009F5D88" w:rsidP="009F5D88">
      <w:pPr>
        <w:ind w:firstLine="708"/>
        <w:jc w:val="both"/>
        <w:rPr>
          <w:rFonts w:ascii="Times New Roman" w:hAnsi="Times New Roman"/>
          <w:sz w:val="24"/>
          <w:szCs w:val="24"/>
          <w:shd w:val="clear" w:color="auto" w:fill="FFFFFF"/>
          <w:lang w:eastAsia="ru-RU"/>
        </w:rPr>
      </w:pPr>
    </w:p>
    <w:p w14:paraId="513E1DD9" w14:textId="72375DE3" w:rsidR="009F5D88" w:rsidRPr="000F4CBD" w:rsidRDefault="005441D2" w:rsidP="005441D2">
      <w:pPr>
        <w:jc w:val="both"/>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 xml:space="preserve">     </w:t>
      </w:r>
      <w:r w:rsidR="009F5D88" w:rsidRPr="000F4CBD">
        <w:rPr>
          <w:rFonts w:ascii="Times New Roman" w:hAnsi="Times New Roman"/>
          <w:sz w:val="24"/>
          <w:szCs w:val="24"/>
          <w:shd w:val="clear" w:color="auto" w:fill="FFFFFF"/>
          <w:lang w:eastAsia="ru-RU"/>
        </w:rPr>
        <w:t>В 2017 году продолжилась активная работа по изменению и дополнению документов ОТП с учетом накопленного опыта по проведению, контролю и учету товарных поставок и специфики внебиржевого рынка</w:t>
      </w:r>
      <w:r w:rsidR="009F5D88">
        <w:rPr>
          <w:rFonts w:ascii="Times New Roman" w:hAnsi="Times New Roman"/>
          <w:sz w:val="24"/>
          <w:szCs w:val="24"/>
          <w:shd w:val="clear" w:color="auto" w:fill="FFFFFF"/>
          <w:lang w:eastAsia="ru-RU"/>
        </w:rPr>
        <w:t>. В ходе этой работы:</w:t>
      </w:r>
    </w:p>
    <w:p w14:paraId="570BF203" w14:textId="77777777" w:rsidR="009F5D88" w:rsidRPr="000F4CBD" w:rsidRDefault="009F5D88" w:rsidP="009F5D88">
      <w:pPr>
        <w:ind w:firstLine="708"/>
        <w:jc w:val="both"/>
        <w:rPr>
          <w:rFonts w:ascii="Times New Roman" w:hAnsi="Times New Roman"/>
          <w:sz w:val="24"/>
          <w:szCs w:val="24"/>
          <w:shd w:val="clear" w:color="auto" w:fill="FFFFFF"/>
          <w:lang w:eastAsia="ru-RU"/>
        </w:rPr>
      </w:pPr>
      <w:r w:rsidRPr="000F4CBD">
        <w:rPr>
          <w:rFonts w:ascii="Times New Roman" w:hAnsi="Times New Roman"/>
          <w:sz w:val="24"/>
          <w:szCs w:val="24"/>
          <w:shd w:val="clear" w:color="auto" w:fill="FFFFFF"/>
          <w:lang w:eastAsia="ru-RU"/>
        </w:rPr>
        <w:t xml:space="preserve">- </w:t>
      </w:r>
      <w:r w:rsidRPr="000F4CBD">
        <w:rPr>
          <w:rFonts w:ascii="Times New Roman" w:hAnsi="Times New Roman"/>
          <w:sz w:val="24"/>
          <w:szCs w:val="24"/>
        </w:rPr>
        <w:t>был учтен опыт железнодорожных отправок пшеницы и разграничены риски соответствия качества и количества товара, заявленного в сделке и полученного на станции назначения между участниками (элеватор, сюрвейер, грузополучатель, экспедитор);</w:t>
      </w:r>
    </w:p>
    <w:p w14:paraId="00503150" w14:textId="77777777" w:rsidR="009F5D88" w:rsidRPr="000F4CBD" w:rsidRDefault="009F5D88" w:rsidP="009F5D88">
      <w:pPr>
        <w:ind w:firstLine="708"/>
        <w:jc w:val="both"/>
        <w:rPr>
          <w:rFonts w:ascii="Times New Roman" w:hAnsi="Times New Roman"/>
          <w:sz w:val="24"/>
          <w:szCs w:val="24"/>
        </w:rPr>
      </w:pPr>
      <w:r w:rsidRPr="000F4CBD">
        <w:rPr>
          <w:rFonts w:ascii="Times New Roman" w:hAnsi="Times New Roman"/>
          <w:sz w:val="24"/>
          <w:szCs w:val="24"/>
        </w:rPr>
        <w:t>- подготовлен функционал краткосрочного и длительного хранения сахара, что позволило более гибко подстроить биржевую инфраструктуру под бизнес-процессы сахарных компаний (участников торгов/клиринга);</w:t>
      </w:r>
    </w:p>
    <w:p w14:paraId="1F8083D6" w14:textId="77777777" w:rsidR="009F5D88" w:rsidRPr="000F4CBD" w:rsidRDefault="009F5D88" w:rsidP="009F5D88">
      <w:pPr>
        <w:ind w:firstLine="708"/>
        <w:jc w:val="both"/>
        <w:rPr>
          <w:rFonts w:ascii="Times New Roman" w:hAnsi="Times New Roman"/>
          <w:sz w:val="24"/>
          <w:szCs w:val="24"/>
        </w:rPr>
      </w:pPr>
      <w:r w:rsidRPr="000F4CBD">
        <w:rPr>
          <w:rFonts w:ascii="Times New Roman" w:hAnsi="Times New Roman"/>
          <w:sz w:val="24"/>
          <w:szCs w:val="24"/>
        </w:rPr>
        <w:t>- разработан механизм установления/снятия лимитов (предельный, согласованный лимиты) и др.</w:t>
      </w:r>
    </w:p>
    <w:p w14:paraId="204E5DF2" w14:textId="77777777" w:rsidR="009F5D88" w:rsidRDefault="009F5D88" w:rsidP="009F5D88">
      <w:pPr>
        <w:ind w:firstLine="708"/>
        <w:jc w:val="both"/>
        <w:rPr>
          <w:rFonts w:ascii="Times New Roman" w:hAnsi="Times New Roman"/>
          <w:sz w:val="24"/>
          <w:szCs w:val="24"/>
        </w:rPr>
      </w:pPr>
    </w:p>
    <w:p w14:paraId="7976CD6D" w14:textId="418E8C23" w:rsidR="009F5D88" w:rsidRDefault="005441D2" w:rsidP="005441D2">
      <w:pPr>
        <w:jc w:val="both"/>
        <w:rPr>
          <w:rFonts w:ascii="Times New Roman" w:hAnsi="Times New Roman"/>
          <w:sz w:val="24"/>
          <w:szCs w:val="24"/>
        </w:rPr>
      </w:pPr>
      <w:r>
        <w:rPr>
          <w:rFonts w:ascii="Times New Roman" w:hAnsi="Times New Roman"/>
          <w:sz w:val="24"/>
          <w:szCs w:val="24"/>
        </w:rPr>
        <w:t xml:space="preserve">     </w:t>
      </w:r>
      <w:r w:rsidR="009F5D88" w:rsidRPr="000F4CBD">
        <w:rPr>
          <w:rFonts w:ascii="Times New Roman" w:hAnsi="Times New Roman"/>
          <w:sz w:val="24"/>
          <w:szCs w:val="24"/>
        </w:rPr>
        <w:t xml:space="preserve">За 2017 год НКЦ </w:t>
      </w:r>
      <w:r w:rsidR="001860BA">
        <w:rPr>
          <w:rFonts w:ascii="Times New Roman" w:hAnsi="Times New Roman"/>
          <w:sz w:val="24"/>
          <w:szCs w:val="24"/>
        </w:rPr>
        <w:t>к</w:t>
      </w:r>
      <w:r w:rsidR="009F5D88" w:rsidRPr="000F4CBD">
        <w:rPr>
          <w:rFonts w:ascii="Times New Roman" w:hAnsi="Times New Roman"/>
          <w:sz w:val="24"/>
          <w:szCs w:val="24"/>
        </w:rPr>
        <w:t xml:space="preserve">ак ОТП совершил более 850 операций перехода прав собственности на товар, 622 операции зачисления/списания товара по товарным счетам участников клиринга/поклажедателей. </w:t>
      </w:r>
    </w:p>
    <w:p w14:paraId="5DB3B77F" w14:textId="77777777" w:rsidR="009F5D88" w:rsidRDefault="009F5D88" w:rsidP="009F5D88">
      <w:pPr>
        <w:ind w:firstLine="708"/>
        <w:jc w:val="both"/>
        <w:rPr>
          <w:rFonts w:ascii="Times New Roman" w:hAnsi="Times New Roman"/>
          <w:sz w:val="24"/>
          <w:szCs w:val="24"/>
        </w:rPr>
      </w:pPr>
    </w:p>
    <w:p w14:paraId="5293685D" w14:textId="0FE4D166" w:rsidR="009F5D88" w:rsidRPr="000F4CBD" w:rsidRDefault="005441D2" w:rsidP="005441D2">
      <w:pPr>
        <w:jc w:val="both"/>
        <w:rPr>
          <w:rFonts w:ascii="Times New Roman" w:hAnsi="Times New Roman"/>
          <w:sz w:val="24"/>
          <w:szCs w:val="24"/>
        </w:rPr>
      </w:pPr>
      <w:r>
        <w:rPr>
          <w:rFonts w:ascii="Times New Roman" w:hAnsi="Times New Roman"/>
          <w:sz w:val="24"/>
          <w:szCs w:val="24"/>
        </w:rPr>
        <w:t xml:space="preserve">     </w:t>
      </w:r>
      <w:r w:rsidR="009F5D88" w:rsidRPr="000F4CBD">
        <w:rPr>
          <w:rFonts w:ascii="Times New Roman" w:hAnsi="Times New Roman"/>
          <w:sz w:val="24"/>
          <w:szCs w:val="24"/>
        </w:rPr>
        <w:t xml:space="preserve">Оперативное взаимодействие с элеваторами/складами по проведению, контролю и учету товарных поставок было бы невозможно без обмена электронными документами. </w:t>
      </w:r>
      <w:r w:rsidR="001860BA">
        <w:rPr>
          <w:rFonts w:ascii="Times New Roman" w:hAnsi="Times New Roman"/>
          <w:sz w:val="24"/>
          <w:szCs w:val="24"/>
        </w:rPr>
        <w:t xml:space="preserve">НКЦ </w:t>
      </w:r>
      <w:r w:rsidR="009F5D88" w:rsidRPr="000F4CBD">
        <w:rPr>
          <w:rFonts w:ascii="Times New Roman" w:hAnsi="Times New Roman"/>
          <w:sz w:val="24"/>
          <w:szCs w:val="24"/>
        </w:rPr>
        <w:t>ведет активную работу по внедрению практики использования элеваторами/складами ЭДО в текущей деятельности. Так, более 60 % аккредитованных элеваторов/складов активно используют ЭДО при взаимодейс</w:t>
      </w:r>
      <w:r w:rsidR="001860BA">
        <w:rPr>
          <w:rFonts w:ascii="Times New Roman" w:hAnsi="Times New Roman"/>
          <w:sz w:val="24"/>
          <w:szCs w:val="24"/>
        </w:rPr>
        <w:t xml:space="preserve">твии и обмене документами с </w:t>
      </w:r>
      <w:r w:rsidR="009F5D88" w:rsidRPr="000F4CBD">
        <w:rPr>
          <w:rFonts w:ascii="Times New Roman" w:hAnsi="Times New Roman"/>
          <w:sz w:val="24"/>
          <w:szCs w:val="24"/>
        </w:rPr>
        <w:t>НКЦ.</w:t>
      </w:r>
    </w:p>
    <w:p w14:paraId="7C17A0D5" w14:textId="77777777" w:rsidR="009F5D88" w:rsidRDefault="009F5D88" w:rsidP="009F5D88">
      <w:pPr>
        <w:jc w:val="both"/>
        <w:rPr>
          <w:rFonts w:ascii="Times New Roman" w:hAnsi="Times New Roman"/>
          <w:sz w:val="24"/>
          <w:szCs w:val="24"/>
        </w:rPr>
      </w:pPr>
    </w:p>
    <w:p w14:paraId="3181FE8B" w14:textId="073B24E9" w:rsidR="009F5D88" w:rsidRPr="000F4CBD" w:rsidRDefault="005441D2" w:rsidP="009F5D88">
      <w:pPr>
        <w:jc w:val="both"/>
        <w:rPr>
          <w:rFonts w:ascii="Times New Roman" w:hAnsi="Times New Roman"/>
          <w:sz w:val="24"/>
          <w:szCs w:val="24"/>
        </w:rPr>
      </w:pPr>
      <w:r>
        <w:rPr>
          <w:rFonts w:ascii="Times New Roman" w:hAnsi="Times New Roman"/>
          <w:sz w:val="24"/>
          <w:szCs w:val="24"/>
        </w:rPr>
        <w:t xml:space="preserve">     </w:t>
      </w:r>
      <w:r w:rsidR="009F5D88" w:rsidRPr="000F4CBD">
        <w:rPr>
          <w:rFonts w:ascii="Times New Roman" w:hAnsi="Times New Roman"/>
          <w:sz w:val="24"/>
          <w:szCs w:val="24"/>
        </w:rPr>
        <w:t xml:space="preserve">По состоянию на конец декабря 2017 г., на товарных счетах участников клиринга/поклажедателей на хранении находилось около 220 000 тонн товара, что позволило достигнуть и превысить порог рентабельности данного вида деятельности (чистый доход ОТП по итогам года составил около </w:t>
      </w:r>
      <w:r w:rsidR="009F5D88" w:rsidRPr="000F4CBD">
        <w:rPr>
          <w:rFonts w:ascii="Times New Roman" w:hAnsi="Times New Roman"/>
          <w:b/>
          <w:bCs/>
          <w:sz w:val="24"/>
          <w:szCs w:val="24"/>
        </w:rPr>
        <w:t>7</w:t>
      </w:r>
      <w:r w:rsidR="009F5D88" w:rsidRPr="000F4CBD">
        <w:rPr>
          <w:rFonts w:ascii="Times New Roman" w:hAnsi="Times New Roman"/>
          <w:b/>
          <w:bCs/>
          <w:color w:val="FF0000"/>
          <w:sz w:val="24"/>
          <w:szCs w:val="24"/>
        </w:rPr>
        <w:t xml:space="preserve"> </w:t>
      </w:r>
      <w:r w:rsidR="009F5D88" w:rsidRPr="000F4CBD">
        <w:rPr>
          <w:rFonts w:ascii="Times New Roman" w:hAnsi="Times New Roman"/>
          <w:sz w:val="24"/>
          <w:szCs w:val="24"/>
        </w:rPr>
        <w:t>млн руб.).</w:t>
      </w:r>
    </w:p>
    <w:p w14:paraId="2D933F5B" w14:textId="77777777" w:rsidR="00266F28" w:rsidRDefault="00266F28" w:rsidP="00722C56">
      <w:pPr>
        <w:pStyle w:val="2"/>
        <w:jc w:val="center"/>
        <w:rPr>
          <w:rFonts w:ascii="Times New Roman" w:hAnsi="Times New Roman" w:cs="Times New Roman"/>
          <w:b/>
          <w:color w:val="000000" w:themeColor="text1"/>
          <w:sz w:val="28"/>
          <w:szCs w:val="28"/>
        </w:rPr>
      </w:pPr>
      <w:bookmarkStart w:id="10" w:name="_Toc510776659"/>
    </w:p>
    <w:p w14:paraId="1EFAC41F" w14:textId="0360A47F" w:rsidR="00D249C7" w:rsidRPr="000F4CBD" w:rsidRDefault="00D249C7" w:rsidP="00722C56">
      <w:pPr>
        <w:pStyle w:val="2"/>
        <w:jc w:val="center"/>
        <w:rPr>
          <w:rFonts w:ascii="Times New Roman" w:eastAsia="Calibri" w:hAnsi="Times New Roman"/>
          <w:b/>
          <w:bCs/>
          <w:sz w:val="28"/>
          <w:szCs w:val="28"/>
        </w:rPr>
      </w:pPr>
      <w:r w:rsidRPr="00EA71B4">
        <w:rPr>
          <w:rFonts w:ascii="Times New Roman" w:hAnsi="Times New Roman" w:cs="Times New Roman"/>
          <w:b/>
          <w:color w:val="000000" w:themeColor="text1"/>
          <w:sz w:val="28"/>
          <w:szCs w:val="28"/>
        </w:rPr>
        <w:t>5.5. Клиринговая деятельность на рынке стандартизированных ПФИ</w:t>
      </w:r>
      <w:bookmarkEnd w:id="10"/>
    </w:p>
    <w:p w14:paraId="4092D866" w14:textId="77777777" w:rsidR="005441D2" w:rsidRDefault="00B11186" w:rsidP="00D249C7">
      <w:pPr>
        <w:spacing w:afterLines="120" w:after="288"/>
        <w:jc w:val="both"/>
        <w:rPr>
          <w:rFonts w:ascii="Times New Roman" w:hAnsi="Times New Roman"/>
          <w:sz w:val="24"/>
          <w:szCs w:val="24"/>
        </w:rPr>
      </w:pPr>
      <w:r>
        <w:rPr>
          <w:rFonts w:ascii="Times New Roman" w:hAnsi="Times New Roman"/>
          <w:sz w:val="24"/>
          <w:szCs w:val="24"/>
        </w:rPr>
        <w:t xml:space="preserve">    </w:t>
      </w:r>
    </w:p>
    <w:p w14:paraId="1542A458" w14:textId="3A046CDB" w:rsidR="00D249C7" w:rsidRPr="000F4CBD" w:rsidRDefault="005441D2" w:rsidP="00D249C7">
      <w:pPr>
        <w:spacing w:afterLines="120" w:after="288"/>
        <w:jc w:val="both"/>
        <w:rPr>
          <w:rFonts w:ascii="Times New Roman" w:hAnsi="Times New Roman"/>
          <w:sz w:val="24"/>
          <w:szCs w:val="24"/>
        </w:rPr>
      </w:pPr>
      <w:r>
        <w:rPr>
          <w:rFonts w:ascii="Times New Roman" w:hAnsi="Times New Roman"/>
          <w:sz w:val="24"/>
          <w:szCs w:val="24"/>
        </w:rPr>
        <w:t xml:space="preserve">     </w:t>
      </w:r>
      <w:r w:rsidR="00B11186">
        <w:rPr>
          <w:rFonts w:ascii="Times New Roman" w:hAnsi="Times New Roman"/>
          <w:sz w:val="24"/>
          <w:szCs w:val="24"/>
        </w:rPr>
        <w:t xml:space="preserve"> </w:t>
      </w:r>
      <w:r w:rsidR="00D249C7" w:rsidRPr="000F4CBD">
        <w:rPr>
          <w:rFonts w:ascii="Times New Roman" w:hAnsi="Times New Roman"/>
          <w:sz w:val="24"/>
          <w:szCs w:val="24"/>
        </w:rPr>
        <w:t>Рынок стандартизированных производных фина</w:t>
      </w:r>
      <w:r w:rsidR="00B11186">
        <w:rPr>
          <w:rFonts w:ascii="Times New Roman" w:hAnsi="Times New Roman"/>
          <w:sz w:val="24"/>
          <w:szCs w:val="24"/>
        </w:rPr>
        <w:t>нсовых инструментов Московской Б</w:t>
      </w:r>
      <w:r w:rsidR="00D249C7" w:rsidRPr="000F4CBD">
        <w:rPr>
          <w:rFonts w:ascii="Times New Roman" w:hAnsi="Times New Roman"/>
          <w:sz w:val="24"/>
          <w:szCs w:val="24"/>
        </w:rPr>
        <w:t>иржи был создан в 2013 году во исполнение решений G20 по усилению роли центрального контрагента на финансовых рынках и</w:t>
      </w:r>
      <w:r w:rsidR="00B11186">
        <w:rPr>
          <w:rFonts w:ascii="Times New Roman" w:hAnsi="Times New Roman"/>
          <w:sz w:val="24"/>
          <w:szCs w:val="24"/>
        </w:rPr>
        <w:t xml:space="preserve"> о</w:t>
      </w:r>
      <w:r w:rsidR="00D249C7" w:rsidRPr="000F4CBD">
        <w:rPr>
          <w:rFonts w:ascii="Times New Roman" w:hAnsi="Times New Roman"/>
          <w:sz w:val="24"/>
          <w:szCs w:val="24"/>
        </w:rPr>
        <w:t xml:space="preserve"> необходимости перевода торгов стандартизированными производными финансовыми инструментами на биржевые площадки. В 2017 году на фоне консолидации российского банковского сектора и снижения ключевой ставки Банка России у участников повысился спрос на инструменты управления процентными и валютными рисками. Это способствовало дальнейшему росту ликвидности рынка стандартизированных ПФИ.</w:t>
      </w:r>
    </w:p>
    <w:p w14:paraId="38A77798" w14:textId="77777777" w:rsidR="00D249C7" w:rsidRPr="000F4CBD" w:rsidRDefault="00B11186" w:rsidP="00B11186">
      <w:pPr>
        <w:spacing w:afterLines="120" w:after="288"/>
        <w:jc w:val="both"/>
        <w:rPr>
          <w:rFonts w:ascii="Times New Roman" w:hAnsi="Times New Roman"/>
          <w:sz w:val="24"/>
          <w:szCs w:val="24"/>
        </w:rPr>
      </w:pPr>
      <w:r>
        <w:rPr>
          <w:rFonts w:ascii="Times New Roman" w:hAnsi="Times New Roman"/>
          <w:sz w:val="24"/>
          <w:szCs w:val="24"/>
        </w:rPr>
        <w:t xml:space="preserve">     </w:t>
      </w:r>
      <w:r w:rsidR="00D249C7" w:rsidRPr="000F4CBD">
        <w:rPr>
          <w:rFonts w:ascii="Times New Roman" w:hAnsi="Times New Roman"/>
          <w:sz w:val="24"/>
          <w:szCs w:val="24"/>
        </w:rPr>
        <w:t xml:space="preserve">Объем торгов на рынке стандартизированных производных финансовых инструментов Московской Биржи в 2017 году вырос в шесть раз, составив 108 млрд рублей. Наибольшая активность была зафиксирована в сделках с валютными, процентными свопами и валютными flex-опционами. В 2017 году было продолжено развитие технологий на рынке стандартизированных ПФИ, в частности, увеличена производительность системы и изменен алгоритм начисления процентов на гарантийное обеспечение. Это позволило участникам снизить издержки и повысить удобство работы на </w:t>
      </w:r>
      <w:r>
        <w:rPr>
          <w:rFonts w:ascii="Times New Roman" w:hAnsi="Times New Roman"/>
          <w:sz w:val="24"/>
          <w:szCs w:val="24"/>
        </w:rPr>
        <w:t>б</w:t>
      </w:r>
      <w:r w:rsidR="00D249C7" w:rsidRPr="000F4CBD">
        <w:rPr>
          <w:rFonts w:ascii="Times New Roman" w:hAnsi="Times New Roman"/>
          <w:sz w:val="24"/>
          <w:szCs w:val="24"/>
        </w:rPr>
        <w:t>ирже.</w:t>
      </w:r>
    </w:p>
    <w:p w14:paraId="0BA3E1D5" w14:textId="77777777" w:rsidR="00D249C7" w:rsidRPr="000F4CBD" w:rsidRDefault="00B11186" w:rsidP="009F5D88">
      <w:pPr>
        <w:jc w:val="both"/>
        <w:rPr>
          <w:rFonts w:ascii="Times New Roman" w:hAnsi="Times New Roman"/>
          <w:sz w:val="24"/>
          <w:szCs w:val="24"/>
        </w:rPr>
      </w:pPr>
      <w:r>
        <w:rPr>
          <w:rFonts w:ascii="Times New Roman" w:hAnsi="Times New Roman"/>
          <w:sz w:val="24"/>
          <w:szCs w:val="24"/>
        </w:rPr>
        <w:lastRenderedPageBreak/>
        <w:t xml:space="preserve">    </w:t>
      </w:r>
      <w:r w:rsidR="00D249C7" w:rsidRPr="000F4CBD">
        <w:rPr>
          <w:rFonts w:ascii="Times New Roman" w:hAnsi="Times New Roman"/>
          <w:sz w:val="24"/>
          <w:szCs w:val="24"/>
        </w:rPr>
        <w:t xml:space="preserve">Реализуя возложенные функции, представители рынка стандартизированных ПФИ активно взаимодействуют с Банком России и с участниками рынка. </w:t>
      </w:r>
    </w:p>
    <w:p w14:paraId="291B532A" w14:textId="77777777" w:rsidR="00D249C7" w:rsidRPr="000F4CBD" w:rsidRDefault="00D249C7" w:rsidP="009F5D88">
      <w:pPr>
        <w:jc w:val="both"/>
        <w:rPr>
          <w:rFonts w:ascii="Times New Roman" w:hAnsi="Times New Roman"/>
          <w:sz w:val="24"/>
          <w:szCs w:val="24"/>
        </w:rPr>
      </w:pPr>
    </w:p>
    <w:p w14:paraId="1852413C" w14:textId="77777777" w:rsidR="00D249C7" w:rsidRPr="000F4CBD" w:rsidRDefault="00B11186" w:rsidP="009F5D88">
      <w:pPr>
        <w:jc w:val="both"/>
        <w:rPr>
          <w:rFonts w:ascii="Times New Roman" w:hAnsi="Times New Roman"/>
          <w:sz w:val="24"/>
          <w:szCs w:val="24"/>
        </w:rPr>
      </w:pPr>
      <w:r>
        <w:rPr>
          <w:rFonts w:ascii="Times New Roman" w:hAnsi="Times New Roman"/>
          <w:sz w:val="24"/>
          <w:szCs w:val="24"/>
        </w:rPr>
        <w:t xml:space="preserve">     </w:t>
      </w:r>
      <w:r w:rsidR="00D249C7" w:rsidRPr="000F4CBD">
        <w:rPr>
          <w:rFonts w:ascii="Times New Roman" w:hAnsi="Times New Roman"/>
          <w:sz w:val="24"/>
          <w:szCs w:val="24"/>
        </w:rPr>
        <w:t>В рамках взаимодействия с Банком России по управлению рисками на внебиржевом рынке ПФИ:</w:t>
      </w:r>
    </w:p>
    <w:p w14:paraId="269D5F82" w14:textId="77777777" w:rsidR="00D249C7" w:rsidRPr="000F4CBD" w:rsidRDefault="00D249C7" w:rsidP="009F5D88">
      <w:pPr>
        <w:jc w:val="both"/>
        <w:rPr>
          <w:rFonts w:ascii="Times New Roman" w:hAnsi="Times New Roman"/>
          <w:sz w:val="24"/>
          <w:szCs w:val="24"/>
        </w:rPr>
      </w:pPr>
      <w:r w:rsidRPr="000F4CBD">
        <w:rPr>
          <w:rFonts w:ascii="Times New Roman" w:hAnsi="Times New Roman"/>
          <w:sz w:val="24"/>
          <w:szCs w:val="24"/>
        </w:rPr>
        <w:t>- обсуждались вопросы обязательности клиринга с центральным контрагентом по внебиржевым ПФИ, в частности, проект нормативного документа, разработанного Банком России, регулирующего обязательность клиринга с центральным контрагентом по внебиржевым ПФИ</w:t>
      </w:r>
      <w:r w:rsidR="00B11186">
        <w:rPr>
          <w:rFonts w:ascii="Times New Roman" w:hAnsi="Times New Roman"/>
          <w:sz w:val="24"/>
          <w:szCs w:val="24"/>
        </w:rPr>
        <w:t>;</w:t>
      </w:r>
    </w:p>
    <w:p w14:paraId="7E65C75A" w14:textId="77777777" w:rsidR="00D249C7" w:rsidRPr="000F4CBD" w:rsidRDefault="00D249C7" w:rsidP="009F5D88">
      <w:pPr>
        <w:jc w:val="both"/>
        <w:rPr>
          <w:rFonts w:ascii="Times New Roman" w:hAnsi="Times New Roman"/>
          <w:sz w:val="24"/>
          <w:szCs w:val="24"/>
        </w:rPr>
      </w:pPr>
      <w:r w:rsidRPr="000F4CBD">
        <w:rPr>
          <w:rFonts w:ascii="Times New Roman" w:hAnsi="Times New Roman"/>
          <w:sz w:val="24"/>
          <w:szCs w:val="24"/>
        </w:rPr>
        <w:t xml:space="preserve">- обсуждался консультативный доклад Банка России об обязательности маржирования внебиржевых ПФИ. </w:t>
      </w:r>
    </w:p>
    <w:p w14:paraId="219DD2B1" w14:textId="77777777" w:rsidR="00D249C7" w:rsidRPr="000F4CBD" w:rsidRDefault="00D249C7" w:rsidP="009F5D88">
      <w:pPr>
        <w:jc w:val="both"/>
        <w:rPr>
          <w:rFonts w:ascii="Times New Roman" w:hAnsi="Times New Roman"/>
          <w:sz w:val="24"/>
          <w:szCs w:val="24"/>
        </w:rPr>
      </w:pPr>
    </w:p>
    <w:p w14:paraId="3EA881AE" w14:textId="77777777" w:rsidR="00D249C7" w:rsidRPr="000F4CBD" w:rsidRDefault="00B11186" w:rsidP="009F5D88">
      <w:pPr>
        <w:jc w:val="both"/>
        <w:rPr>
          <w:rFonts w:ascii="Times New Roman" w:hAnsi="Times New Roman"/>
          <w:sz w:val="24"/>
          <w:szCs w:val="24"/>
        </w:rPr>
      </w:pPr>
      <w:r>
        <w:rPr>
          <w:rFonts w:ascii="Times New Roman" w:hAnsi="Times New Roman"/>
          <w:sz w:val="24"/>
          <w:szCs w:val="24"/>
        </w:rPr>
        <w:t xml:space="preserve">     </w:t>
      </w:r>
      <w:r w:rsidR="00D249C7" w:rsidRPr="000F4CBD">
        <w:rPr>
          <w:rFonts w:ascii="Times New Roman" w:hAnsi="Times New Roman"/>
          <w:sz w:val="24"/>
          <w:szCs w:val="24"/>
        </w:rPr>
        <w:t>При работе с участниками</w:t>
      </w:r>
      <w:r>
        <w:rPr>
          <w:rFonts w:ascii="Times New Roman" w:hAnsi="Times New Roman"/>
          <w:sz w:val="24"/>
          <w:szCs w:val="24"/>
        </w:rPr>
        <w:t xml:space="preserve"> </w:t>
      </w:r>
      <w:r w:rsidR="00D249C7" w:rsidRPr="000F4CBD">
        <w:rPr>
          <w:rFonts w:ascii="Times New Roman" w:hAnsi="Times New Roman"/>
          <w:sz w:val="24"/>
          <w:szCs w:val="24"/>
        </w:rPr>
        <w:t xml:space="preserve"> сотрудники рынка осуществляют работу, направленную на повышение эффективности взаимодействия.</w:t>
      </w:r>
    </w:p>
    <w:p w14:paraId="6183BE96" w14:textId="77777777" w:rsidR="00D249C7" w:rsidRPr="000F4CBD" w:rsidRDefault="00D249C7" w:rsidP="009F5D88">
      <w:pPr>
        <w:jc w:val="both"/>
        <w:rPr>
          <w:rFonts w:ascii="Times New Roman" w:hAnsi="Times New Roman"/>
          <w:sz w:val="24"/>
          <w:szCs w:val="24"/>
        </w:rPr>
      </w:pPr>
      <w:r w:rsidRPr="000F4CBD">
        <w:rPr>
          <w:rFonts w:ascii="Times New Roman" w:hAnsi="Times New Roman"/>
          <w:sz w:val="24"/>
          <w:szCs w:val="24"/>
        </w:rPr>
        <w:t xml:space="preserve">В фокусе работы: </w:t>
      </w:r>
    </w:p>
    <w:p w14:paraId="16335A2F" w14:textId="77777777" w:rsidR="00D249C7" w:rsidRPr="000F4CBD" w:rsidRDefault="00D249C7" w:rsidP="009F5D88">
      <w:pPr>
        <w:jc w:val="both"/>
        <w:rPr>
          <w:rFonts w:ascii="Times New Roman" w:hAnsi="Times New Roman"/>
          <w:sz w:val="24"/>
          <w:szCs w:val="24"/>
        </w:rPr>
      </w:pPr>
      <w:r w:rsidRPr="000F4CBD">
        <w:rPr>
          <w:rFonts w:ascii="Times New Roman" w:hAnsi="Times New Roman"/>
          <w:sz w:val="24"/>
          <w:szCs w:val="24"/>
        </w:rPr>
        <w:t>∙</w:t>
      </w:r>
      <w:r w:rsidR="00B11186">
        <w:rPr>
          <w:rFonts w:ascii="Times New Roman" w:hAnsi="Times New Roman"/>
          <w:sz w:val="24"/>
          <w:szCs w:val="24"/>
        </w:rPr>
        <w:t xml:space="preserve"> о</w:t>
      </w:r>
      <w:r w:rsidRPr="000F4CBD">
        <w:rPr>
          <w:rFonts w:ascii="Times New Roman" w:hAnsi="Times New Roman"/>
          <w:sz w:val="24"/>
          <w:szCs w:val="24"/>
        </w:rPr>
        <w:t>пыт управления процентным риском в частном банке;</w:t>
      </w:r>
    </w:p>
    <w:p w14:paraId="4B1780CF" w14:textId="77777777" w:rsidR="00D249C7" w:rsidRPr="000F4CBD" w:rsidRDefault="00D249C7" w:rsidP="009F5D88">
      <w:pPr>
        <w:jc w:val="both"/>
        <w:rPr>
          <w:rFonts w:ascii="Times New Roman" w:hAnsi="Times New Roman"/>
          <w:sz w:val="24"/>
          <w:szCs w:val="24"/>
        </w:rPr>
      </w:pPr>
      <w:r w:rsidRPr="000F4CBD">
        <w:rPr>
          <w:rFonts w:ascii="Times New Roman" w:hAnsi="Times New Roman"/>
          <w:sz w:val="24"/>
          <w:szCs w:val="24"/>
        </w:rPr>
        <w:t>∙</w:t>
      </w:r>
      <w:r w:rsidR="00B11186">
        <w:rPr>
          <w:rFonts w:ascii="Times New Roman" w:hAnsi="Times New Roman"/>
          <w:sz w:val="24"/>
          <w:szCs w:val="24"/>
        </w:rPr>
        <w:t xml:space="preserve"> х</w:t>
      </w:r>
      <w:r w:rsidRPr="000F4CBD">
        <w:rPr>
          <w:rFonts w:ascii="Times New Roman" w:hAnsi="Times New Roman"/>
          <w:sz w:val="24"/>
          <w:szCs w:val="24"/>
        </w:rPr>
        <w:t>еджирование процентных рисков в казначействе;</w:t>
      </w:r>
    </w:p>
    <w:p w14:paraId="5FB566D4" w14:textId="77777777" w:rsidR="00D249C7" w:rsidRPr="000F4CBD" w:rsidRDefault="00D249C7" w:rsidP="009F5D88">
      <w:pPr>
        <w:jc w:val="both"/>
        <w:rPr>
          <w:rFonts w:ascii="Times New Roman" w:hAnsi="Times New Roman"/>
          <w:sz w:val="24"/>
          <w:szCs w:val="24"/>
        </w:rPr>
      </w:pPr>
      <w:r w:rsidRPr="000F4CBD">
        <w:rPr>
          <w:rFonts w:ascii="Times New Roman" w:hAnsi="Times New Roman"/>
          <w:sz w:val="24"/>
          <w:szCs w:val="24"/>
        </w:rPr>
        <w:t>∙</w:t>
      </w:r>
      <w:r w:rsidR="00B11186">
        <w:rPr>
          <w:rFonts w:ascii="Times New Roman" w:hAnsi="Times New Roman"/>
          <w:sz w:val="24"/>
          <w:szCs w:val="24"/>
        </w:rPr>
        <w:t xml:space="preserve"> о</w:t>
      </w:r>
      <w:r w:rsidRPr="000F4CBD">
        <w:rPr>
          <w:rFonts w:ascii="Times New Roman" w:hAnsi="Times New Roman"/>
          <w:sz w:val="24"/>
          <w:szCs w:val="24"/>
        </w:rPr>
        <w:t xml:space="preserve">бсуждение с участниками финансового рынка подходов по реализации принятых Россией в рамках G20 обязательств в части поэтапного введения требования об обязательном клиринге процентных деривативов. </w:t>
      </w:r>
    </w:p>
    <w:p w14:paraId="4D36C6DB" w14:textId="77777777" w:rsidR="00B11186" w:rsidRDefault="00D249C7" w:rsidP="009F5D88">
      <w:pPr>
        <w:ind w:firstLine="567"/>
        <w:jc w:val="both"/>
        <w:rPr>
          <w:rFonts w:ascii="Times New Roman" w:hAnsi="Times New Roman"/>
          <w:noProof/>
          <w:sz w:val="24"/>
          <w:szCs w:val="24"/>
        </w:rPr>
      </w:pPr>
      <w:r w:rsidRPr="000F4CBD">
        <w:rPr>
          <w:rFonts w:ascii="Times New Roman" w:hAnsi="Times New Roman"/>
          <w:noProof/>
          <w:sz w:val="24"/>
          <w:szCs w:val="24"/>
        </w:rPr>
        <w:t xml:space="preserve">     </w:t>
      </w:r>
    </w:p>
    <w:p w14:paraId="4977925B" w14:textId="5841F824" w:rsidR="00D249C7" w:rsidRPr="000F4CBD" w:rsidRDefault="00B11186" w:rsidP="009F5D88">
      <w:pPr>
        <w:jc w:val="both"/>
        <w:rPr>
          <w:rFonts w:ascii="Times New Roman" w:hAnsi="Times New Roman"/>
          <w:bCs/>
          <w:sz w:val="24"/>
          <w:szCs w:val="24"/>
        </w:rPr>
      </w:pPr>
      <w:r>
        <w:rPr>
          <w:rFonts w:ascii="Times New Roman" w:hAnsi="Times New Roman"/>
          <w:noProof/>
          <w:sz w:val="24"/>
          <w:szCs w:val="24"/>
        </w:rPr>
        <w:t xml:space="preserve">      </w:t>
      </w:r>
      <w:r w:rsidR="00D249C7" w:rsidRPr="000F4CBD">
        <w:rPr>
          <w:rFonts w:ascii="Times New Roman" w:hAnsi="Times New Roman"/>
          <w:bCs/>
          <w:sz w:val="24"/>
          <w:szCs w:val="24"/>
        </w:rPr>
        <w:t xml:space="preserve">Комиссионное вознаграждение, полученное НКЦ за клиринговое обслуживание на срочном рынке за 2017 год, </w:t>
      </w:r>
      <w:r>
        <w:rPr>
          <w:rFonts w:ascii="Times New Roman" w:hAnsi="Times New Roman"/>
          <w:bCs/>
          <w:sz w:val="24"/>
          <w:szCs w:val="24"/>
        </w:rPr>
        <w:t xml:space="preserve"> </w:t>
      </w:r>
      <w:r w:rsidR="00D249C7" w:rsidRPr="000F4CBD">
        <w:rPr>
          <w:rFonts w:ascii="Times New Roman" w:hAnsi="Times New Roman"/>
          <w:bCs/>
          <w:sz w:val="24"/>
          <w:szCs w:val="24"/>
        </w:rPr>
        <w:t>составило</w:t>
      </w:r>
      <w:r w:rsidR="001860BA">
        <w:rPr>
          <w:rFonts w:ascii="Times New Roman" w:hAnsi="Times New Roman"/>
          <w:bCs/>
          <w:sz w:val="24"/>
          <w:szCs w:val="24"/>
        </w:rPr>
        <w:t xml:space="preserve"> </w:t>
      </w:r>
      <w:r w:rsidR="00D249C7" w:rsidRPr="000F4CBD">
        <w:rPr>
          <w:rFonts w:ascii="Times New Roman" w:hAnsi="Times New Roman"/>
          <w:bCs/>
          <w:sz w:val="24"/>
          <w:szCs w:val="24"/>
        </w:rPr>
        <w:t xml:space="preserve"> 1 913 тыс. руб., что в 3 раза превышает аналогичный показатель за 2016 год – 632 тыс. руб.</w:t>
      </w:r>
    </w:p>
    <w:p w14:paraId="3A618049" w14:textId="77777777" w:rsidR="005C60A3" w:rsidRDefault="005C60A3" w:rsidP="00001094">
      <w:pPr>
        <w:widowControl w:val="0"/>
        <w:tabs>
          <w:tab w:val="left" w:pos="8820"/>
        </w:tabs>
        <w:overflowPunct w:val="0"/>
        <w:autoSpaceDE w:val="0"/>
        <w:autoSpaceDN w:val="0"/>
        <w:adjustRightInd w:val="0"/>
        <w:ind w:right="76"/>
        <w:jc w:val="center"/>
        <w:textAlignment w:val="baseline"/>
        <w:rPr>
          <w:rFonts w:ascii="Times New Roman" w:eastAsia="Times New Roman" w:hAnsi="Times New Roman"/>
          <w:b/>
          <w:sz w:val="28"/>
          <w:szCs w:val="28"/>
          <w:lang w:eastAsia="ru-RU"/>
        </w:rPr>
      </w:pPr>
    </w:p>
    <w:p w14:paraId="1DEE2975" w14:textId="606C09BD" w:rsidR="00447135" w:rsidRPr="007A0F11" w:rsidRDefault="00001094" w:rsidP="00447135">
      <w:pPr>
        <w:widowControl w:val="0"/>
        <w:overflowPunct w:val="0"/>
        <w:autoSpaceDE w:val="0"/>
        <w:autoSpaceDN w:val="0"/>
        <w:adjustRightInd w:val="0"/>
        <w:ind w:firstLine="360"/>
        <w:jc w:val="center"/>
        <w:textAlignment w:val="baseline"/>
        <w:outlineLvl w:val="0"/>
        <w:rPr>
          <w:rFonts w:ascii="Times New Roman" w:eastAsia="Times New Roman" w:hAnsi="Times New Roman"/>
          <w:sz w:val="32"/>
          <w:szCs w:val="32"/>
          <w:lang w:eastAsia="ru-RU"/>
        </w:rPr>
      </w:pPr>
      <w:bookmarkStart w:id="11" w:name="_Toc510776660"/>
      <w:r w:rsidRPr="007A0F11">
        <w:rPr>
          <w:rFonts w:ascii="Times New Roman" w:eastAsia="Times New Roman" w:hAnsi="Times New Roman" w:cs="Arial"/>
          <w:b/>
          <w:sz w:val="32"/>
          <w:szCs w:val="32"/>
          <w:lang w:eastAsia="ru-RU"/>
        </w:rPr>
        <w:t>6. Собственные операции на финансовых рынках</w:t>
      </w:r>
      <w:bookmarkEnd w:id="11"/>
    </w:p>
    <w:p w14:paraId="44FDE2B2" w14:textId="77777777" w:rsidR="00447135" w:rsidRDefault="00447135"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p>
    <w:p w14:paraId="4254BE00" w14:textId="2BBE7792"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xml:space="preserve"> В 2017 году на проводимые НКЦ операции на финансовых рынках по-прежнему оказывали влияние продолжающееся снижение объема денежного обеспечения участников клиринга и ожидания финансовым рынком понижения Банком России ключевой ставки по российским рублям.</w:t>
      </w:r>
    </w:p>
    <w:p w14:paraId="4809EC94"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p>
    <w:p w14:paraId="3FC5B6CB"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xml:space="preserve"> В 2017 году продолжилось уменьшение объема обеспечения участников клиринга в рублях и в долларах США (см. Таблицу 1), что, вероятно, обусловлено оптимизацией участниками клиринга параметров своего обеспечения по торгам на рынках Московской Биржи. Об этом, в частности, свидетельствует тот факт, что объем обеспечения участников клиринга в евро, имеющего отрицательные ставки на денежном рынке, практически не изменился, при значительном уменьшении объемов обеспечения в рублях и долларах США, имеющих положительные ставки на денежном рынке. </w:t>
      </w:r>
    </w:p>
    <w:p w14:paraId="1F025919" w14:textId="77777777" w:rsidR="00001094" w:rsidRPr="00001094" w:rsidRDefault="00001094" w:rsidP="00001094">
      <w:pPr>
        <w:widowControl w:val="0"/>
        <w:overflowPunct w:val="0"/>
        <w:autoSpaceDE w:val="0"/>
        <w:autoSpaceDN w:val="0"/>
        <w:adjustRightInd w:val="0"/>
        <w:ind w:firstLine="360"/>
        <w:jc w:val="right"/>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1532"/>
        <w:gridCol w:w="1418"/>
        <w:gridCol w:w="1546"/>
      </w:tblGrid>
      <w:tr w:rsidR="00001094" w:rsidRPr="00001094" w14:paraId="01BBB7F9" w14:textId="77777777" w:rsidTr="008D4996">
        <w:trPr>
          <w:jc w:val="center"/>
        </w:trPr>
        <w:tc>
          <w:tcPr>
            <w:tcW w:w="4552" w:type="dxa"/>
            <w:shd w:val="clear" w:color="auto" w:fill="auto"/>
          </w:tcPr>
          <w:p w14:paraId="3820D545"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b/>
                <w:sz w:val="24"/>
                <w:szCs w:val="24"/>
                <w:lang w:eastAsia="ru-RU"/>
              </w:rPr>
            </w:pPr>
            <w:r w:rsidRPr="00001094">
              <w:rPr>
                <w:rFonts w:ascii="Times New Roman" w:eastAsia="Times New Roman" w:hAnsi="Times New Roman"/>
                <w:b/>
                <w:sz w:val="24"/>
                <w:szCs w:val="24"/>
                <w:lang w:eastAsia="ru-RU"/>
              </w:rPr>
              <w:t>Обеспечение участников клиринга, среднегодовое значение</w:t>
            </w:r>
          </w:p>
        </w:tc>
        <w:tc>
          <w:tcPr>
            <w:tcW w:w="1532" w:type="dxa"/>
            <w:shd w:val="clear" w:color="auto" w:fill="auto"/>
          </w:tcPr>
          <w:p w14:paraId="5EA292F4"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b/>
                <w:sz w:val="24"/>
                <w:szCs w:val="24"/>
                <w:lang w:eastAsia="ru-RU"/>
              </w:rPr>
            </w:pPr>
            <w:r w:rsidRPr="00001094">
              <w:rPr>
                <w:rFonts w:ascii="Times New Roman" w:eastAsia="Times New Roman" w:hAnsi="Times New Roman"/>
                <w:b/>
                <w:sz w:val="24"/>
                <w:szCs w:val="24"/>
                <w:lang w:val="en-US" w:eastAsia="ru-RU"/>
              </w:rPr>
              <w:t>RUB</w:t>
            </w:r>
            <w:r w:rsidRPr="00001094">
              <w:rPr>
                <w:rFonts w:ascii="Times New Roman" w:eastAsia="Times New Roman" w:hAnsi="Times New Roman"/>
                <w:b/>
                <w:sz w:val="24"/>
                <w:szCs w:val="24"/>
                <w:lang w:eastAsia="ru-RU"/>
              </w:rPr>
              <w:t>, млн</w:t>
            </w:r>
          </w:p>
        </w:tc>
        <w:tc>
          <w:tcPr>
            <w:tcW w:w="1418" w:type="dxa"/>
            <w:shd w:val="clear" w:color="auto" w:fill="auto"/>
          </w:tcPr>
          <w:p w14:paraId="1DEC8125"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b/>
                <w:sz w:val="24"/>
                <w:szCs w:val="24"/>
                <w:lang w:eastAsia="ru-RU"/>
              </w:rPr>
            </w:pPr>
            <w:r w:rsidRPr="00001094">
              <w:rPr>
                <w:rFonts w:ascii="Times New Roman" w:eastAsia="Times New Roman" w:hAnsi="Times New Roman"/>
                <w:b/>
                <w:sz w:val="24"/>
                <w:szCs w:val="24"/>
                <w:lang w:val="en-US" w:eastAsia="ru-RU"/>
              </w:rPr>
              <w:t>USD</w:t>
            </w:r>
            <w:r w:rsidRPr="00001094">
              <w:rPr>
                <w:rFonts w:ascii="Times New Roman" w:eastAsia="Times New Roman" w:hAnsi="Times New Roman"/>
                <w:b/>
                <w:sz w:val="24"/>
                <w:szCs w:val="24"/>
                <w:lang w:eastAsia="ru-RU"/>
              </w:rPr>
              <w:t>, млн</w:t>
            </w:r>
          </w:p>
        </w:tc>
        <w:tc>
          <w:tcPr>
            <w:tcW w:w="1546" w:type="dxa"/>
            <w:shd w:val="clear" w:color="auto" w:fill="auto"/>
          </w:tcPr>
          <w:p w14:paraId="15232E81"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b/>
                <w:sz w:val="24"/>
                <w:szCs w:val="24"/>
                <w:lang w:eastAsia="ru-RU"/>
              </w:rPr>
            </w:pPr>
            <w:r w:rsidRPr="00001094">
              <w:rPr>
                <w:rFonts w:ascii="Times New Roman" w:eastAsia="Times New Roman" w:hAnsi="Times New Roman"/>
                <w:b/>
                <w:sz w:val="24"/>
                <w:szCs w:val="24"/>
                <w:lang w:val="en-US" w:eastAsia="ru-RU"/>
              </w:rPr>
              <w:t>EUR</w:t>
            </w:r>
            <w:r w:rsidRPr="00001094">
              <w:rPr>
                <w:rFonts w:ascii="Times New Roman" w:eastAsia="Times New Roman" w:hAnsi="Times New Roman"/>
                <w:b/>
                <w:sz w:val="24"/>
                <w:szCs w:val="24"/>
                <w:lang w:eastAsia="ru-RU"/>
              </w:rPr>
              <w:t>, млн</w:t>
            </w:r>
          </w:p>
        </w:tc>
      </w:tr>
      <w:tr w:rsidR="00001094" w:rsidRPr="00001094" w14:paraId="0291D4F0" w14:textId="77777777" w:rsidTr="008D4996">
        <w:trPr>
          <w:jc w:val="center"/>
        </w:trPr>
        <w:tc>
          <w:tcPr>
            <w:tcW w:w="4552" w:type="dxa"/>
            <w:shd w:val="clear" w:color="auto" w:fill="auto"/>
          </w:tcPr>
          <w:p w14:paraId="198D8C46"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2015</w:t>
            </w:r>
          </w:p>
        </w:tc>
        <w:tc>
          <w:tcPr>
            <w:tcW w:w="1532" w:type="dxa"/>
            <w:shd w:val="clear" w:color="auto" w:fill="auto"/>
          </w:tcPr>
          <w:p w14:paraId="664B117A"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80 689</w:t>
            </w:r>
          </w:p>
        </w:tc>
        <w:tc>
          <w:tcPr>
            <w:tcW w:w="1418" w:type="dxa"/>
            <w:shd w:val="clear" w:color="auto" w:fill="auto"/>
          </w:tcPr>
          <w:p w14:paraId="68EA6111"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6 090</w:t>
            </w:r>
          </w:p>
        </w:tc>
        <w:tc>
          <w:tcPr>
            <w:tcW w:w="1546" w:type="dxa"/>
            <w:shd w:val="clear" w:color="auto" w:fill="auto"/>
          </w:tcPr>
          <w:p w14:paraId="029AAAA9"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4 891</w:t>
            </w:r>
          </w:p>
        </w:tc>
      </w:tr>
      <w:tr w:rsidR="00001094" w:rsidRPr="00001094" w14:paraId="745AF8C5" w14:textId="77777777" w:rsidTr="008D4996">
        <w:trPr>
          <w:jc w:val="center"/>
        </w:trPr>
        <w:tc>
          <w:tcPr>
            <w:tcW w:w="4552" w:type="dxa"/>
            <w:shd w:val="clear" w:color="auto" w:fill="auto"/>
          </w:tcPr>
          <w:p w14:paraId="2FA2AFDE"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2016</w:t>
            </w:r>
          </w:p>
        </w:tc>
        <w:tc>
          <w:tcPr>
            <w:tcW w:w="1532" w:type="dxa"/>
            <w:shd w:val="clear" w:color="auto" w:fill="auto"/>
          </w:tcPr>
          <w:p w14:paraId="0F41965D"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74 258</w:t>
            </w:r>
          </w:p>
        </w:tc>
        <w:tc>
          <w:tcPr>
            <w:tcW w:w="1418" w:type="dxa"/>
            <w:shd w:val="clear" w:color="auto" w:fill="auto"/>
          </w:tcPr>
          <w:p w14:paraId="62321AE4"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4 139</w:t>
            </w:r>
          </w:p>
        </w:tc>
        <w:tc>
          <w:tcPr>
            <w:tcW w:w="1546" w:type="dxa"/>
            <w:shd w:val="clear" w:color="auto" w:fill="auto"/>
          </w:tcPr>
          <w:p w14:paraId="373E8401"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5 128</w:t>
            </w:r>
          </w:p>
        </w:tc>
      </w:tr>
      <w:tr w:rsidR="00001094" w:rsidRPr="00001094" w14:paraId="53E87AA4" w14:textId="77777777" w:rsidTr="008D4996">
        <w:trPr>
          <w:jc w:val="center"/>
        </w:trPr>
        <w:tc>
          <w:tcPr>
            <w:tcW w:w="4552" w:type="dxa"/>
            <w:shd w:val="clear" w:color="auto" w:fill="auto"/>
          </w:tcPr>
          <w:p w14:paraId="610698AC"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2017</w:t>
            </w:r>
          </w:p>
        </w:tc>
        <w:tc>
          <w:tcPr>
            <w:tcW w:w="1532" w:type="dxa"/>
            <w:shd w:val="clear" w:color="auto" w:fill="auto"/>
          </w:tcPr>
          <w:p w14:paraId="551BE91B"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val="en-US" w:eastAsia="ru-RU"/>
              </w:rPr>
            </w:pPr>
            <w:r w:rsidRPr="00001094">
              <w:rPr>
                <w:rFonts w:ascii="Times New Roman" w:eastAsia="Times New Roman" w:hAnsi="Times New Roman"/>
                <w:sz w:val="24"/>
                <w:szCs w:val="24"/>
                <w:lang w:val="en-US" w:eastAsia="ru-RU"/>
              </w:rPr>
              <w:t>54 365</w:t>
            </w:r>
          </w:p>
        </w:tc>
        <w:tc>
          <w:tcPr>
            <w:tcW w:w="1418" w:type="dxa"/>
            <w:shd w:val="clear" w:color="auto" w:fill="auto"/>
          </w:tcPr>
          <w:p w14:paraId="2ACA9CDB"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val="en-US" w:eastAsia="ru-RU"/>
              </w:rPr>
            </w:pPr>
            <w:r w:rsidRPr="00001094">
              <w:rPr>
                <w:rFonts w:ascii="Times New Roman" w:eastAsia="Times New Roman" w:hAnsi="Times New Roman"/>
                <w:sz w:val="24"/>
                <w:szCs w:val="24"/>
                <w:lang w:val="en-US" w:eastAsia="ru-RU"/>
              </w:rPr>
              <w:t>3 003</w:t>
            </w:r>
          </w:p>
        </w:tc>
        <w:tc>
          <w:tcPr>
            <w:tcW w:w="1546" w:type="dxa"/>
            <w:shd w:val="clear" w:color="auto" w:fill="auto"/>
          </w:tcPr>
          <w:p w14:paraId="39F0548D"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val="en-US" w:eastAsia="ru-RU"/>
              </w:rPr>
            </w:pPr>
            <w:r w:rsidRPr="00001094">
              <w:rPr>
                <w:rFonts w:ascii="Times New Roman" w:eastAsia="Times New Roman" w:hAnsi="Times New Roman"/>
                <w:sz w:val="24"/>
                <w:szCs w:val="24"/>
                <w:lang w:eastAsia="ru-RU"/>
              </w:rPr>
              <w:t xml:space="preserve">5 </w:t>
            </w:r>
            <w:r w:rsidRPr="00001094">
              <w:rPr>
                <w:rFonts w:ascii="Times New Roman" w:eastAsia="Times New Roman" w:hAnsi="Times New Roman"/>
                <w:sz w:val="24"/>
                <w:szCs w:val="24"/>
                <w:lang w:val="en-US" w:eastAsia="ru-RU"/>
              </w:rPr>
              <w:t>349</w:t>
            </w:r>
          </w:p>
        </w:tc>
      </w:tr>
      <w:tr w:rsidR="00001094" w:rsidRPr="00001094" w14:paraId="0637EB57" w14:textId="77777777" w:rsidTr="008D4996">
        <w:trPr>
          <w:jc w:val="center"/>
        </w:trPr>
        <w:tc>
          <w:tcPr>
            <w:tcW w:w="4552" w:type="dxa"/>
            <w:shd w:val="clear" w:color="auto" w:fill="auto"/>
          </w:tcPr>
          <w:p w14:paraId="18B5C21E"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Изменение</w:t>
            </w:r>
            <w:r w:rsidRPr="00001094">
              <w:rPr>
                <w:rFonts w:ascii="Times New Roman" w:eastAsia="Times New Roman" w:hAnsi="Times New Roman"/>
                <w:sz w:val="24"/>
                <w:szCs w:val="24"/>
                <w:lang w:val="en-US" w:eastAsia="ru-RU"/>
              </w:rPr>
              <w:t xml:space="preserve"> 2017/2016</w:t>
            </w:r>
            <w:r w:rsidRPr="00001094">
              <w:rPr>
                <w:rFonts w:ascii="Times New Roman" w:eastAsia="Times New Roman" w:hAnsi="Times New Roman"/>
                <w:sz w:val="24"/>
                <w:szCs w:val="24"/>
                <w:lang w:eastAsia="ru-RU"/>
              </w:rPr>
              <w:t>, млн</w:t>
            </w:r>
          </w:p>
        </w:tc>
        <w:tc>
          <w:tcPr>
            <w:tcW w:w="1532" w:type="dxa"/>
            <w:shd w:val="clear" w:color="auto" w:fill="auto"/>
          </w:tcPr>
          <w:p w14:paraId="0FE4B8E4"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val="en-US" w:eastAsia="ru-RU"/>
              </w:rPr>
            </w:pPr>
            <w:r w:rsidRPr="00001094">
              <w:rPr>
                <w:rFonts w:ascii="Times New Roman" w:eastAsia="Times New Roman" w:hAnsi="Times New Roman"/>
                <w:sz w:val="24"/>
                <w:szCs w:val="24"/>
                <w:lang w:eastAsia="ru-RU"/>
              </w:rPr>
              <w:t xml:space="preserve">- </w:t>
            </w:r>
            <w:r w:rsidRPr="00001094">
              <w:rPr>
                <w:rFonts w:ascii="Times New Roman" w:eastAsia="Times New Roman" w:hAnsi="Times New Roman"/>
                <w:sz w:val="24"/>
                <w:szCs w:val="24"/>
                <w:lang w:val="en-US" w:eastAsia="ru-RU"/>
              </w:rPr>
              <w:t>19</w:t>
            </w:r>
            <w:r w:rsidRPr="00001094">
              <w:rPr>
                <w:rFonts w:ascii="Times New Roman" w:eastAsia="Times New Roman" w:hAnsi="Times New Roman"/>
                <w:sz w:val="24"/>
                <w:szCs w:val="24"/>
                <w:lang w:eastAsia="ru-RU"/>
              </w:rPr>
              <w:t> </w:t>
            </w:r>
            <w:r w:rsidRPr="00001094">
              <w:rPr>
                <w:rFonts w:ascii="Times New Roman" w:eastAsia="Times New Roman" w:hAnsi="Times New Roman"/>
                <w:sz w:val="24"/>
                <w:szCs w:val="24"/>
                <w:lang w:val="en-US" w:eastAsia="ru-RU"/>
              </w:rPr>
              <w:t>893</w:t>
            </w:r>
          </w:p>
        </w:tc>
        <w:tc>
          <w:tcPr>
            <w:tcW w:w="1418" w:type="dxa"/>
            <w:shd w:val="clear" w:color="auto" w:fill="auto"/>
          </w:tcPr>
          <w:p w14:paraId="5495BAF3"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val="en-US" w:eastAsia="ru-RU"/>
              </w:rPr>
            </w:pPr>
            <w:r w:rsidRPr="00001094">
              <w:rPr>
                <w:rFonts w:ascii="Times New Roman" w:eastAsia="Times New Roman" w:hAnsi="Times New Roman"/>
                <w:sz w:val="24"/>
                <w:szCs w:val="24"/>
                <w:lang w:eastAsia="ru-RU"/>
              </w:rPr>
              <w:t xml:space="preserve">-1 </w:t>
            </w:r>
            <w:r w:rsidRPr="00001094">
              <w:rPr>
                <w:rFonts w:ascii="Times New Roman" w:eastAsia="Times New Roman" w:hAnsi="Times New Roman"/>
                <w:sz w:val="24"/>
                <w:szCs w:val="24"/>
                <w:lang w:val="en-US" w:eastAsia="ru-RU"/>
              </w:rPr>
              <w:t>136</w:t>
            </w:r>
          </w:p>
        </w:tc>
        <w:tc>
          <w:tcPr>
            <w:tcW w:w="1546" w:type="dxa"/>
            <w:shd w:val="clear" w:color="auto" w:fill="auto"/>
          </w:tcPr>
          <w:p w14:paraId="0F31D7FE"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val="en-US" w:eastAsia="ru-RU"/>
              </w:rPr>
            </w:pPr>
            <w:r w:rsidRPr="00001094">
              <w:rPr>
                <w:rFonts w:ascii="Times New Roman" w:eastAsia="Times New Roman" w:hAnsi="Times New Roman"/>
                <w:sz w:val="24"/>
                <w:szCs w:val="24"/>
                <w:lang w:eastAsia="ru-RU"/>
              </w:rPr>
              <w:t>+2</w:t>
            </w:r>
            <w:r w:rsidRPr="00001094">
              <w:rPr>
                <w:rFonts w:ascii="Times New Roman" w:eastAsia="Times New Roman" w:hAnsi="Times New Roman"/>
                <w:sz w:val="24"/>
                <w:szCs w:val="24"/>
                <w:lang w:val="en-US" w:eastAsia="ru-RU"/>
              </w:rPr>
              <w:t>21</w:t>
            </w:r>
          </w:p>
        </w:tc>
      </w:tr>
      <w:tr w:rsidR="00001094" w:rsidRPr="00001094" w14:paraId="50461509" w14:textId="77777777" w:rsidTr="008D4996">
        <w:trPr>
          <w:jc w:val="center"/>
        </w:trPr>
        <w:tc>
          <w:tcPr>
            <w:tcW w:w="4552" w:type="dxa"/>
            <w:shd w:val="clear" w:color="auto" w:fill="auto"/>
          </w:tcPr>
          <w:p w14:paraId="2A4C27B2"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Изменение</w:t>
            </w:r>
            <w:r w:rsidRPr="00001094">
              <w:rPr>
                <w:rFonts w:ascii="Times New Roman" w:eastAsia="Times New Roman" w:hAnsi="Times New Roman"/>
                <w:sz w:val="24"/>
                <w:szCs w:val="24"/>
                <w:lang w:val="en-US" w:eastAsia="ru-RU"/>
              </w:rPr>
              <w:t xml:space="preserve"> 2017/2016</w:t>
            </w:r>
            <w:r w:rsidRPr="00001094">
              <w:rPr>
                <w:rFonts w:ascii="Times New Roman" w:eastAsia="Times New Roman" w:hAnsi="Times New Roman"/>
                <w:sz w:val="24"/>
                <w:szCs w:val="24"/>
                <w:lang w:eastAsia="ru-RU"/>
              </w:rPr>
              <w:t>, %</w:t>
            </w:r>
          </w:p>
        </w:tc>
        <w:tc>
          <w:tcPr>
            <w:tcW w:w="1532" w:type="dxa"/>
            <w:shd w:val="clear" w:color="auto" w:fill="auto"/>
          </w:tcPr>
          <w:p w14:paraId="469BAF41"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-27%</w:t>
            </w:r>
          </w:p>
        </w:tc>
        <w:tc>
          <w:tcPr>
            <w:tcW w:w="1418" w:type="dxa"/>
            <w:shd w:val="clear" w:color="auto" w:fill="auto"/>
          </w:tcPr>
          <w:p w14:paraId="5D9F376A"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w:t>
            </w:r>
            <w:r w:rsidRPr="00001094">
              <w:rPr>
                <w:rFonts w:ascii="Times New Roman" w:eastAsia="Times New Roman" w:hAnsi="Times New Roman"/>
                <w:sz w:val="24"/>
                <w:szCs w:val="24"/>
                <w:lang w:val="en-US" w:eastAsia="ru-RU"/>
              </w:rPr>
              <w:t>27</w:t>
            </w:r>
            <w:r w:rsidRPr="00001094">
              <w:rPr>
                <w:rFonts w:ascii="Times New Roman" w:eastAsia="Times New Roman" w:hAnsi="Times New Roman"/>
                <w:sz w:val="24"/>
                <w:szCs w:val="24"/>
                <w:lang w:eastAsia="ru-RU"/>
              </w:rPr>
              <w:t>%</w:t>
            </w:r>
          </w:p>
        </w:tc>
        <w:tc>
          <w:tcPr>
            <w:tcW w:w="1546" w:type="dxa"/>
            <w:shd w:val="clear" w:color="auto" w:fill="auto"/>
          </w:tcPr>
          <w:p w14:paraId="401DBF70"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w:t>
            </w:r>
            <w:r w:rsidRPr="00001094">
              <w:rPr>
                <w:rFonts w:ascii="Times New Roman" w:eastAsia="Times New Roman" w:hAnsi="Times New Roman"/>
                <w:sz w:val="24"/>
                <w:szCs w:val="24"/>
                <w:lang w:val="en-US" w:eastAsia="ru-RU"/>
              </w:rPr>
              <w:t>4</w:t>
            </w:r>
            <w:r w:rsidRPr="00001094">
              <w:rPr>
                <w:rFonts w:ascii="Times New Roman" w:eastAsia="Times New Roman" w:hAnsi="Times New Roman"/>
                <w:sz w:val="24"/>
                <w:szCs w:val="24"/>
                <w:lang w:eastAsia="ru-RU"/>
              </w:rPr>
              <w:t>%</w:t>
            </w:r>
          </w:p>
        </w:tc>
      </w:tr>
    </w:tbl>
    <w:p w14:paraId="2BA1E2F2" w14:textId="77777777" w:rsidR="00001094" w:rsidRPr="00001094" w:rsidRDefault="00001094" w:rsidP="00001094">
      <w:pPr>
        <w:widowControl w:val="0"/>
        <w:overflowPunct w:val="0"/>
        <w:autoSpaceDE w:val="0"/>
        <w:autoSpaceDN w:val="0"/>
        <w:adjustRightInd w:val="0"/>
        <w:jc w:val="both"/>
        <w:textAlignment w:val="baseline"/>
        <w:rPr>
          <w:rFonts w:ascii="Times New Roman" w:eastAsia="Times New Roman" w:hAnsi="Times New Roman"/>
          <w:sz w:val="24"/>
          <w:szCs w:val="24"/>
          <w:lang w:eastAsia="ru-RU"/>
        </w:rPr>
      </w:pPr>
    </w:p>
    <w:p w14:paraId="7C8C2E3C"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Таким образом</w:t>
      </w:r>
      <w:r w:rsidR="001930D5">
        <w:rPr>
          <w:rFonts w:ascii="Times New Roman" w:eastAsia="Times New Roman" w:hAnsi="Times New Roman"/>
          <w:sz w:val="24"/>
          <w:szCs w:val="24"/>
          <w:lang w:eastAsia="ru-RU"/>
        </w:rPr>
        <w:t>,</w:t>
      </w:r>
      <w:r w:rsidR="00A75FAE">
        <w:rPr>
          <w:rFonts w:ascii="Times New Roman" w:eastAsia="Times New Roman" w:hAnsi="Times New Roman"/>
          <w:sz w:val="24"/>
          <w:szCs w:val="24"/>
          <w:lang w:eastAsia="ru-RU"/>
        </w:rPr>
        <w:t xml:space="preserve"> уже</w:t>
      </w:r>
      <w:r w:rsidRPr="00001094">
        <w:rPr>
          <w:rFonts w:ascii="Times New Roman" w:eastAsia="Times New Roman" w:hAnsi="Times New Roman"/>
          <w:sz w:val="24"/>
          <w:szCs w:val="24"/>
          <w:lang w:eastAsia="ru-RU"/>
        </w:rPr>
        <w:t xml:space="preserve"> в 2016 году сформировались факторы, обусловившие ожидания снижения доходов </w:t>
      </w:r>
      <w:r w:rsidR="001930D5">
        <w:rPr>
          <w:rFonts w:ascii="Times New Roman" w:eastAsia="Times New Roman" w:hAnsi="Times New Roman"/>
          <w:sz w:val="24"/>
          <w:szCs w:val="24"/>
          <w:lang w:eastAsia="ru-RU"/>
        </w:rPr>
        <w:t>НКЦ</w:t>
      </w:r>
      <w:r w:rsidRPr="00001094">
        <w:rPr>
          <w:rFonts w:ascii="Times New Roman" w:eastAsia="Times New Roman" w:hAnsi="Times New Roman"/>
          <w:sz w:val="24"/>
          <w:szCs w:val="24"/>
          <w:lang w:eastAsia="ru-RU"/>
        </w:rPr>
        <w:t xml:space="preserve"> от операций на финансовых рынках. В этих условиях в 2017 году основные усилия при проведении операций на финансовых рынках были сосредоточены на изменении структуры активов в пользу более доходных финансовых инструментов.</w:t>
      </w:r>
    </w:p>
    <w:p w14:paraId="28D6A936"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lastRenderedPageBreak/>
        <w:t xml:space="preserve">Доля ценных бумаг в рублевых активах увеличилась с 74 до 77% в среднегодовом выражении по сравнению с 2016 годом. </w:t>
      </w:r>
    </w:p>
    <w:p w14:paraId="4E26485F"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Увеличение доли ценных бумаг также произошло и в валютных активах: с 12,5 до 17,5% (см. Таблицу 2)</w:t>
      </w:r>
    </w:p>
    <w:p w14:paraId="2DB3307E" w14:textId="77777777" w:rsidR="00001094" w:rsidRPr="00001094" w:rsidRDefault="00001094" w:rsidP="00001094">
      <w:pPr>
        <w:widowControl w:val="0"/>
        <w:overflowPunct w:val="0"/>
        <w:autoSpaceDE w:val="0"/>
        <w:autoSpaceDN w:val="0"/>
        <w:adjustRightInd w:val="0"/>
        <w:ind w:firstLine="360"/>
        <w:jc w:val="right"/>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2268"/>
        <w:gridCol w:w="2453"/>
      </w:tblGrid>
      <w:tr w:rsidR="00001094" w:rsidRPr="00001094" w14:paraId="2BC4C8E9" w14:textId="77777777" w:rsidTr="008D4996">
        <w:trPr>
          <w:jc w:val="center"/>
        </w:trPr>
        <w:tc>
          <w:tcPr>
            <w:tcW w:w="4156" w:type="dxa"/>
            <w:shd w:val="clear" w:color="auto" w:fill="auto"/>
          </w:tcPr>
          <w:p w14:paraId="4E580C4B"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b/>
                <w:sz w:val="24"/>
                <w:szCs w:val="24"/>
                <w:lang w:eastAsia="ru-RU"/>
              </w:rPr>
            </w:pPr>
            <w:r w:rsidRPr="00001094">
              <w:rPr>
                <w:rFonts w:ascii="Times New Roman" w:eastAsia="Times New Roman" w:hAnsi="Times New Roman"/>
                <w:b/>
                <w:sz w:val="24"/>
                <w:szCs w:val="24"/>
                <w:lang w:eastAsia="ru-RU"/>
              </w:rPr>
              <w:t>Объем портфеля еврооблигаций (среднегодовое значение)</w:t>
            </w:r>
          </w:p>
        </w:tc>
        <w:tc>
          <w:tcPr>
            <w:tcW w:w="2268" w:type="dxa"/>
            <w:shd w:val="clear" w:color="auto" w:fill="auto"/>
          </w:tcPr>
          <w:p w14:paraId="22DC6DC4"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b/>
                <w:sz w:val="24"/>
                <w:szCs w:val="24"/>
                <w:lang w:eastAsia="ru-RU"/>
              </w:rPr>
            </w:pPr>
            <w:r w:rsidRPr="00001094">
              <w:rPr>
                <w:rFonts w:ascii="Times New Roman" w:eastAsia="Times New Roman" w:hAnsi="Times New Roman"/>
                <w:b/>
                <w:sz w:val="24"/>
                <w:szCs w:val="24"/>
                <w:lang w:val="en-US" w:eastAsia="ru-RU"/>
              </w:rPr>
              <w:t>USD</w:t>
            </w:r>
            <w:r w:rsidRPr="00001094">
              <w:rPr>
                <w:rFonts w:ascii="Times New Roman" w:eastAsia="Times New Roman" w:hAnsi="Times New Roman"/>
                <w:b/>
                <w:sz w:val="24"/>
                <w:szCs w:val="24"/>
                <w:lang w:eastAsia="ru-RU"/>
              </w:rPr>
              <w:t xml:space="preserve"> в рублевом эквиваленте, млн</w:t>
            </w:r>
          </w:p>
        </w:tc>
        <w:tc>
          <w:tcPr>
            <w:tcW w:w="2453" w:type="dxa"/>
            <w:shd w:val="clear" w:color="auto" w:fill="auto"/>
          </w:tcPr>
          <w:p w14:paraId="7D6BCDD8"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b/>
                <w:sz w:val="24"/>
                <w:szCs w:val="24"/>
                <w:lang w:eastAsia="ru-RU"/>
              </w:rPr>
            </w:pPr>
            <w:r w:rsidRPr="00001094">
              <w:rPr>
                <w:rFonts w:ascii="Times New Roman" w:eastAsia="Times New Roman" w:hAnsi="Times New Roman"/>
                <w:b/>
                <w:sz w:val="24"/>
                <w:szCs w:val="24"/>
                <w:lang w:val="en-US" w:eastAsia="ru-RU"/>
              </w:rPr>
              <w:t>EUR</w:t>
            </w:r>
            <w:r w:rsidRPr="00001094">
              <w:rPr>
                <w:rFonts w:ascii="Times New Roman" w:eastAsia="Times New Roman" w:hAnsi="Times New Roman"/>
                <w:b/>
                <w:sz w:val="24"/>
                <w:szCs w:val="24"/>
                <w:lang w:eastAsia="ru-RU"/>
              </w:rPr>
              <w:t xml:space="preserve"> в рублевом эквиваленте, млн</w:t>
            </w:r>
          </w:p>
        </w:tc>
      </w:tr>
      <w:tr w:rsidR="00001094" w:rsidRPr="00001094" w14:paraId="67217AE8" w14:textId="77777777" w:rsidTr="008D4996">
        <w:trPr>
          <w:jc w:val="center"/>
        </w:trPr>
        <w:tc>
          <w:tcPr>
            <w:tcW w:w="4156" w:type="dxa"/>
            <w:shd w:val="clear" w:color="auto" w:fill="auto"/>
          </w:tcPr>
          <w:p w14:paraId="375C6CC9"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2015</w:t>
            </w:r>
          </w:p>
        </w:tc>
        <w:tc>
          <w:tcPr>
            <w:tcW w:w="2268" w:type="dxa"/>
            <w:shd w:val="clear" w:color="auto" w:fill="auto"/>
          </w:tcPr>
          <w:p w14:paraId="6FC62233"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19 056</w:t>
            </w:r>
          </w:p>
        </w:tc>
        <w:tc>
          <w:tcPr>
            <w:tcW w:w="2453" w:type="dxa"/>
            <w:shd w:val="clear" w:color="auto" w:fill="auto"/>
          </w:tcPr>
          <w:p w14:paraId="1F1AEDCC"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896</w:t>
            </w:r>
          </w:p>
        </w:tc>
      </w:tr>
      <w:tr w:rsidR="00001094" w:rsidRPr="00001094" w14:paraId="36DEE2A4" w14:textId="77777777" w:rsidTr="008D4996">
        <w:trPr>
          <w:jc w:val="center"/>
        </w:trPr>
        <w:tc>
          <w:tcPr>
            <w:tcW w:w="4156" w:type="dxa"/>
            <w:shd w:val="clear" w:color="auto" w:fill="auto"/>
          </w:tcPr>
          <w:p w14:paraId="0A750148"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2016</w:t>
            </w:r>
          </w:p>
        </w:tc>
        <w:tc>
          <w:tcPr>
            <w:tcW w:w="2268" w:type="dxa"/>
            <w:shd w:val="clear" w:color="auto" w:fill="auto"/>
          </w:tcPr>
          <w:p w14:paraId="45BEE951"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71 765</w:t>
            </w:r>
          </w:p>
        </w:tc>
        <w:tc>
          <w:tcPr>
            <w:tcW w:w="2453" w:type="dxa"/>
            <w:shd w:val="clear" w:color="auto" w:fill="auto"/>
          </w:tcPr>
          <w:p w14:paraId="4809B12D"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10 318</w:t>
            </w:r>
          </w:p>
        </w:tc>
      </w:tr>
      <w:tr w:rsidR="00001094" w:rsidRPr="00001094" w14:paraId="77272056" w14:textId="77777777" w:rsidTr="008D4996">
        <w:trPr>
          <w:jc w:val="center"/>
        </w:trPr>
        <w:tc>
          <w:tcPr>
            <w:tcW w:w="4156" w:type="dxa"/>
            <w:shd w:val="clear" w:color="auto" w:fill="auto"/>
          </w:tcPr>
          <w:p w14:paraId="1FA97882"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2017</w:t>
            </w:r>
          </w:p>
        </w:tc>
        <w:tc>
          <w:tcPr>
            <w:tcW w:w="2268" w:type="dxa"/>
            <w:shd w:val="clear" w:color="auto" w:fill="auto"/>
          </w:tcPr>
          <w:p w14:paraId="4380DF47"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69 685</w:t>
            </w:r>
          </w:p>
        </w:tc>
        <w:tc>
          <w:tcPr>
            <w:tcW w:w="2453" w:type="dxa"/>
            <w:shd w:val="clear" w:color="auto" w:fill="auto"/>
          </w:tcPr>
          <w:p w14:paraId="42028EA5"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24 300</w:t>
            </w:r>
          </w:p>
        </w:tc>
      </w:tr>
      <w:tr w:rsidR="00001094" w:rsidRPr="00001094" w14:paraId="42F2E27C" w14:textId="77777777" w:rsidTr="008D4996">
        <w:trPr>
          <w:jc w:val="center"/>
        </w:trPr>
        <w:tc>
          <w:tcPr>
            <w:tcW w:w="4156" w:type="dxa"/>
            <w:shd w:val="clear" w:color="auto" w:fill="auto"/>
          </w:tcPr>
          <w:p w14:paraId="33107FA0"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xml:space="preserve">Изменение </w:t>
            </w:r>
            <w:r w:rsidRPr="00001094">
              <w:rPr>
                <w:rFonts w:ascii="Times New Roman" w:eastAsia="Times New Roman" w:hAnsi="Times New Roman"/>
                <w:sz w:val="24"/>
                <w:szCs w:val="24"/>
                <w:lang w:val="en-US" w:eastAsia="ru-RU"/>
              </w:rPr>
              <w:t>2017/2016</w:t>
            </w:r>
            <w:r w:rsidRPr="00001094">
              <w:rPr>
                <w:rFonts w:ascii="Times New Roman" w:eastAsia="Times New Roman" w:hAnsi="Times New Roman"/>
                <w:sz w:val="24"/>
                <w:szCs w:val="24"/>
                <w:lang w:eastAsia="ru-RU"/>
              </w:rPr>
              <w:t>, млн рублей</w:t>
            </w:r>
          </w:p>
        </w:tc>
        <w:tc>
          <w:tcPr>
            <w:tcW w:w="2268" w:type="dxa"/>
            <w:shd w:val="clear" w:color="auto" w:fill="auto"/>
          </w:tcPr>
          <w:p w14:paraId="1AFCE4AF"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- 2 080</w:t>
            </w:r>
          </w:p>
        </w:tc>
        <w:tc>
          <w:tcPr>
            <w:tcW w:w="2453" w:type="dxa"/>
            <w:shd w:val="clear" w:color="auto" w:fill="auto"/>
          </w:tcPr>
          <w:p w14:paraId="72DDD2F4"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+ 13 982</w:t>
            </w:r>
          </w:p>
        </w:tc>
      </w:tr>
      <w:tr w:rsidR="00001094" w:rsidRPr="00001094" w14:paraId="2D0800E2" w14:textId="77777777" w:rsidTr="008D4996">
        <w:trPr>
          <w:jc w:val="center"/>
        </w:trPr>
        <w:tc>
          <w:tcPr>
            <w:tcW w:w="4156" w:type="dxa"/>
            <w:shd w:val="clear" w:color="auto" w:fill="auto"/>
          </w:tcPr>
          <w:p w14:paraId="7AE79505"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xml:space="preserve">Изменение </w:t>
            </w:r>
            <w:r w:rsidRPr="00001094">
              <w:rPr>
                <w:rFonts w:ascii="Times New Roman" w:eastAsia="Times New Roman" w:hAnsi="Times New Roman"/>
                <w:sz w:val="24"/>
                <w:szCs w:val="24"/>
                <w:lang w:val="en-US" w:eastAsia="ru-RU"/>
              </w:rPr>
              <w:t>2017/2016</w:t>
            </w:r>
            <w:r w:rsidRPr="00001094">
              <w:rPr>
                <w:rFonts w:ascii="Times New Roman" w:eastAsia="Times New Roman" w:hAnsi="Times New Roman"/>
                <w:sz w:val="24"/>
                <w:szCs w:val="24"/>
                <w:lang w:eastAsia="ru-RU"/>
              </w:rPr>
              <w:t>, %</w:t>
            </w:r>
          </w:p>
        </w:tc>
        <w:tc>
          <w:tcPr>
            <w:tcW w:w="2268" w:type="dxa"/>
            <w:shd w:val="clear" w:color="auto" w:fill="auto"/>
          </w:tcPr>
          <w:p w14:paraId="214CE930"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-3%</w:t>
            </w:r>
          </w:p>
        </w:tc>
        <w:tc>
          <w:tcPr>
            <w:tcW w:w="2453" w:type="dxa"/>
            <w:shd w:val="clear" w:color="auto" w:fill="auto"/>
          </w:tcPr>
          <w:p w14:paraId="1E9AA065"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+ 136%</w:t>
            </w:r>
          </w:p>
        </w:tc>
      </w:tr>
    </w:tbl>
    <w:p w14:paraId="2716AECD"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p>
    <w:p w14:paraId="2C3CBA00"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Важно отметить, что вопреки снижению пассивов почти на треть, объемы портфелей ценных бумаг в рублях и долларах США изменились незначительно, а дюрация портфелей выросла. Это означает сокращение малодоходных активов до востребования или активов рублевого денежного рынка, не имеющих существенных перспектив при снижении ключевой ставки Банком России. При этом существенно был увеличен объем портфеля ценных бумаг, номинированных в евро, что при сохраняющемся высоком уровне обеспечения участников клиринга в евро является одним из наименее рискованных вложений с точки зрения ликвидности.</w:t>
      </w:r>
    </w:p>
    <w:p w14:paraId="30B86F70"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p>
    <w:p w14:paraId="13DBCE70" w14:textId="600A77D5"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xml:space="preserve"> Повышение доходности валютных активов в 2017 году также достигалось за счет операций обратного РЕПО (см. Таблицу 3). Увеличение объемов РЕПО в долларах США стимулировалось, в числе прочего, ростом рыночных ставок. При этом операции РЕПО в евро практически свелись к нулю из-за отсутствия рыночного спроса на данный инструмент.</w:t>
      </w:r>
    </w:p>
    <w:p w14:paraId="728B5888" w14:textId="77777777" w:rsidR="00001094" w:rsidRPr="00001094" w:rsidRDefault="00001094" w:rsidP="00001094">
      <w:pPr>
        <w:widowControl w:val="0"/>
        <w:overflowPunct w:val="0"/>
        <w:autoSpaceDE w:val="0"/>
        <w:autoSpaceDN w:val="0"/>
        <w:adjustRightInd w:val="0"/>
        <w:ind w:firstLine="360"/>
        <w:jc w:val="right"/>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2268"/>
        <w:gridCol w:w="2453"/>
      </w:tblGrid>
      <w:tr w:rsidR="00001094" w:rsidRPr="00001094" w14:paraId="1E0F353F" w14:textId="77777777" w:rsidTr="008D4996">
        <w:trPr>
          <w:jc w:val="center"/>
        </w:trPr>
        <w:tc>
          <w:tcPr>
            <w:tcW w:w="4156" w:type="dxa"/>
            <w:shd w:val="clear" w:color="auto" w:fill="auto"/>
          </w:tcPr>
          <w:p w14:paraId="66D03BEF"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b/>
                <w:sz w:val="24"/>
                <w:szCs w:val="24"/>
                <w:lang w:eastAsia="ru-RU"/>
              </w:rPr>
            </w:pPr>
            <w:r w:rsidRPr="00001094">
              <w:rPr>
                <w:rFonts w:ascii="Times New Roman" w:eastAsia="Times New Roman" w:hAnsi="Times New Roman"/>
                <w:b/>
                <w:sz w:val="24"/>
                <w:szCs w:val="24"/>
                <w:lang w:eastAsia="ru-RU"/>
              </w:rPr>
              <w:t>Объем портфеля обратного РЕПО (среднегодовое значение)</w:t>
            </w:r>
          </w:p>
        </w:tc>
        <w:tc>
          <w:tcPr>
            <w:tcW w:w="2268" w:type="dxa"/>
            <w:shd w:val="clear" w:color="auto" w:fill="auto"/>
          </w:tcPr>
          <w:p w14:paraId="5D983AA1"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b/>
                <w:sz w:val="24"/>
                <w:szCs w:val="24"/>
                <w:lang w:eastAsia="ru-RU"/>
              </w:rPr>
            </w:pPr>
            <w:r w:rsidRPr="00001094">
              <w:rPr>
                <w:rFonts w:ascii="Times New Roman" w:eastAsia="Times New Roman" w:hAnsi="Times New Roman"/>
                <w:b/>
                <w:sz w:val="24"/>
                <w:szCs w:val="24"/>
                <w:lang w:val="en-US" w:eastAsia="ru-RU"/>
              </w:rPr>
              <w:t>USD</w:t>
            </w:r>
            <w:r w:rsidRPr="00001094">
              <w:rPr>
                <w:rFonts w:ascii="Times New Roman" w:eastAsia="Times New Roman" w:hAnsi="Times New Roman"/>
                <w:b/>
                <w:sz w:val="24"/>
                <w:szCs w:val="24"/>
                <w:lang w:eastAsia="ru-RU"/>
              </w:rPr>
              <w:t xml:space="preserve"> в рублевом эквиваленте, млн</w:t>
            </w:r>
          </w:p>
        </w:tc>
        <w:tc>
          <w:tcPr>
            <w:tcW w:w="2453" w:type="dxa"/>
            <w:shd w:val="clear" w:color="auto" w:fill="auto"/>
          </w:tcPr>
          <w:p w14:paraId="340E2787"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b/>
                <w:sz w:val="24"/>
                <w:szCs w:val="24"/>
                <w:lang w:eastAsia="ru-RU"/>
              </w:rPr>
            </w:pPr>
            <w:r w:rsidRPr="00001094">
              <w:rPr>
                <w:rFonts w:ascii="Times New Roman" w:eastAsia="Times New Roman" w:hAnsi="Times New Roman"/>
                <w:b/>
                <w:sz w:val="24"/>
                <w:szCs w:val="24"/>
                <w:lang w:val="en-US" w:eastAsia="ru-RU"/>
              </w:rPr>
              <w:t>EUR</w:t>
            </w:r>
            <w:r w:rsidRPr="00001094">
              <w:rPr>
                <w:rFonts w:ascii="Times New Roman" w:eastAsia="Times New Roman" w:hAnsi="Times New Roman"/>
                <w:b/>
                <w:sz w:val="24"/>
                <w:szCs w:val="24"/>
                <w:lang w:eastAsia="ru-RU"/>
              </w:rPr>
              <w:t xml:space="preserve"> в рублевом эквиваленте, млн</w:t>
            </w:r>
          </w:p>
        </w:tc>
      </w:tr>
      <w:tr w:rsidR="00001094" w:rsidRPr="00001094" w14:paraId="3D83EDCF" w14:textId="77777777" w:rsidTr="008D4996">
        <w:trPr>
          <w:jc w:val="center"/>
        </w:trPr>
        <w:tc>
          <w:tcPr>
            <w:tcW w:w="4156" w:type="dxa"/>
            <w:shd w:val="clear" w:color="auto" w:fill="auto"/>
          </w:tcPr>
          <w:p w14:paraId="487A6523"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2015</w:t>
            </w:r>
          </w:p>
        </w:tc>
        <w:tc>
          <w:tcPr>
            <w:tcW w:w="2268" w:type="dxa"/>
            <w:shd w:val="clear" w:color="auto" w:fill="auto"/>
          </w:tcPr>
          <w:p w14:paraId="1A86D2D9"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14 895</w:t>
            </w:r>
          </w:p>
        </w:tc>
        <w:tc>
          <w:tcPr>
            <w:tcW w:w="2453" w:type="dxa"/>
            <w:shd w:val="clear" w:color="auto" w:fill="auto"/>
          </w:tcPr>
          <w:p w14:paraId="41538E39"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10 940</w:t>
            </w:r>
          </w:p>
        </w:tc>
      </w:tr>
      <w:tr w:rsidR="00001094" w:rsidRPr="00001094" w14:paraId="43932A45" w14:textId="77777777" w:rsidTr="008D4996">
        <w:trPr>
          <w:jc w:val="center"/>
        </w:trPr>
        <w:tc>
          <w:tcPr>
            <w:tcW w:w="4156" w:type="dxa"/>
            <w:shd w:val="clear" w:color="auto" w:fill="auto"/>
          </w:tcPr>
          <w:p w14:paraId="0946F485"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2016</w:t>
            </w:r>
          </w:p>
        </w:tc>
        <w:tc>
          <w:tcPr>
            <w:tcW w:w="2268" w:type="dxa"/>
            <w:shd w:val="clear" w:color="auto" w:fill="auto"/>
          </w:tcPr>
          <w:p w14:paraId="021F4F63"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34 424</w:t>
            </w:r>
          </w:p>
        </w:tc>
        <w:tc>
          <w:tcPr>
            <w:tcW w:w="2453" w:type="dxa"/>
            <w:shd w:val="clear" w:color="auto" w:fill="auto"/>
          </w:tcPr>
          <w:p w14:paraId="06353DDE"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9 662</w:t>
            </w:r>
          </w:p>
        </w:tc>
      </w:tr>
      <w:tr w:rsidR="00001094" w:rsidRPr="00001094" w14:paraId="5532D92C" w14:textId="77777777" w:rsidTr="008D4996">
        <w:trPr>
          <w:jc w:val="center"/>
        </w:trPr>
        <w:tc>
          <w:tcPr>
            <w:tcW w:w="4156" w:type="dxa"/>
            <w:shd w:val="clear" w:color="auto" w:fill="auto"/>
          </w:tcPr>
          <w:p w14:paraId="7FC96182"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2017</w:t>
            </w:r>
          </w:p>
        </w:tc>
        <w:tc>
          <w:tcPr>
            <w:tcW w:w="2268" w:type="dxa"/>
            <w:shd w:val="clear" w:color="auto" w:fill="auto"/>
          </w:tcPr>
          <w:p w14:paraId="6BAEC1F1"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42 988</w:t>
            </w:r>
          </w:p>
        </w:tc>
        <w:tc>
          <w:tcPr>
            <w:tcW w:w="2453" w:type="dxa"/>
            <w:shd w:val="clear" w:color="auto" w:fill="auto"/>
          </w:tcPr>
          <w:p w14:paraId="2A53355C"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501</w:t>
            </w:r>
          </w:p>
        </w:tc>
      </w:tr>
      <w:tr w:rsidR="00001094" w:rsidRPr="00001094" w14:paraId="459B1BC9" w14:textId="77777777" w:rsidTr="008D4996">
        <w:trPr>
          <w:jc w:val="center"/>
        </w:trPr>
        <w:tc>
          <w:tcPr>
            <w:tcW w:w="4156" w:type="dxa"/>
            <w:shd w:val="clear" w:color="auto" w:fill="auto"/>
          </w:tcPr>
          <w:p w14:paraId="1AC24328"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xml:space="preserve">Изменение </w:t>
            </w:r>
            <w:r w:rsidRPr="00001094">
              <w:rPr>
                <w:rFonts w:ascii="Times New Roman" w:eastAsia="Times New Roman" w:hAnsi="Times New Roman"/>
                <w:sz w:val="24"/>
                <w:szCs w:val="24"/>
                <w:lang w:val="en-US" w:eastAsia="ru-RU"/>
              </w:rPr>
              <w:t>2017/2016</w:t>
            </w:r>
            <w:r w:rsidRPr="00001094">
              <w:rPr>
                <w:rFonts w:ascii="Times New Roman" w:eastAsia="Times New Roman" w:hAnsi="Times New Roman"/>
                <w:sz w:val="24"/>
                <w:szCs w:val="24"/>
                <w:lang w:eastAsia="ru-RU"/>
              </w:rPr>
              <w:t>, млн рублей</w:t>
            </w:r>
          </w:p>
        </w:tc>
        <w:tc>
          <w:tcPr>
            <w:tcW w:w="2268" w:type="dxa"/>
            <w:shd w:val="clear" w:color="auto" w:fill="auto"/>
          </w:tcPr>
          <w:p w14:paraId="299704AA"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+ 8 564</w:t>
            </w:r>
          </w:p>
        </w:tc>
        <w:tc>
          <w:tcPr>
            <w:tcW w:w="2453" w:type="dxa"/>
            <w:shd w:val="clear" w:color="auto" w:fill="auto"/>
          </w:tcPr>
          <w:p w14:paraId="219AAAE7"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- 9 161</w:t>
            </w:r>
          </w:p>
        </w:tc>
      </w:tr>
      <w:tr w:rsidR="00001094" w:rsidRPr="00001094" w14:paraId="563B007B" w14:textId="77777777" w:rsidTr="008D4996">
        <w:trPr>
          <w:jc w:val="center"/>
        </w:trPr>
        <w:tc>
          <w:tcPr>
            <w:tcW w:w="4156" w:type="dxa"/>
            <w:shd w:val="clear" w:color="auto" w:fill="auto"/>
          </w:tcPr>
          <w:p w14:paraId="6A85CCE0"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xml:space="preserve">Изменение </w:t>
            </w:r>
            <w:r w:rsidRPr="00001094">
              <w:rPr>
                <w:rFonts w:ascii="Times New Roman" w:eastAsia="Times New Roman" w:hAnsi="Times New Roman"/>
                <w:sz w:val="24"/>
                <w:szCs w:val="24"/>
                <w:lang w:val="en-US" w:eastAsia="ru-RU"/>
              </w:rPr>
              <w:t>2017/2016</w:t>
            </w:r>
            <w:r w:rsidRPr="00001094">
              <w:rPr>
                <w:rFonts w:ascii="Times New Roman" w:eastAsia="Times New Roman" w:hAnsi="Times New Roman"/>
                <w:sz w:val="24"/>
                <w:szCs w:val="24"/>
                <w:lang w:eastAsia="ru-RU"/>
              </w:rPr>
              <w:t>, %</w:t>
            </w:r>
          </w:p>
        </w:tc>
        <w:tc>
          <w:tcPr>
            <w:tcW w:w="2268" w:type="dxa"/>
            <w:shd w:val="clear" w:color="auto" w:fill="auto"/>
          </w:tcPr>
          <w:p w14:paraId="2A11ABEE"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+ 25%</w:t>
            </w:r>
          </w:p>
        </w:tc>
        <w:tc>
          <w:tcPr>
            <w:tcW w:w="2453" w:type="dxa"/>
            <w:shd w:val="clear" w:color="auto" w:fill="auto"/>
          </w:tcPr>
          <w:p w14:paraId="02FD9B49" w14:textId="77777777" w:rsidR="00001094" w:rsidRPr="00001094" w:rsidRDefault="00001094" w:rsidP="00001094">
            <w:pPr>
              <w:widowControl w:val="0"/>
              <w:overflowPunct w:val="0"/>
              <w:autoSpaceDE w:val="0"/>
              <w:autoSpaceDN w:val="0"/>
              <w:adjustRightInd w:val="0"/>
              <w:jc w:val="center"/>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- 95%</w:t>
            </w:r>
          </w:p>
        </w:tc>
      </w:tr>
    </w:tbl>
    <w:p w14:paraId="308E5B09"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p>
    <w:p w14:paraId="60472569"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xml:space="preserve"> Существенные изменения в 2017 году произошли в части кредитного качества активов. Причиной </w:t>
      </w:r>
      <w:r w:rsidR="001930D5">
        <w:rPr>
          <w:rFonts w:ascii="Times New Roman" w:eastAsia="Times New Roman" w:hAnsi="Times New Roman"/>
          <w:sz w:val="24"/>
          <w:szCs w:val="24"/>
          <w:lang w:eastAsia="ru-RU"/>
        </w:rPr>
        <w:t xml:space="preserve">этому </w:t>
      </w:r>
      <w:r w:rsidRPr="00001094">
        <w:rPr>
          <w:rFonts w:ascii="Times New Roman" w:eastAsia="Times New Roman" w:hAnsi="Times New Roman"/>
          <w:sz w:val="24"/>
          <w:szCs w:val="24"/>
          <w:lang w:eastAsia="ru-RU"/>
        </w:rPr>
        <w:t>послужили внесенные в Указание Банка России №2919-У от 03 декабря 2012г. «Об оценке качества управления кредитной организации, осуществляющей функции центрального контрагента» изменения, касающиеся ограничений по рейтингам эмитентов и контрагентов, с которыми центральный контрагент может совершать собственные операции на финансовых рынках. Основное изменение заключалось в замене требования о наличии у российских контрагентов/эмитентов рейтингов международных рейтинговых агентств на требование о наличии рейтингов российских рейтинговых агентств. При этом процесс получения российскими компаниями рейтингов российских рейтинговых агентств в 2017 году по сути только начался</w:t>
      </w:r>
      <w:r w:rsidR="001930D5">
        <w:rPr>
          <w:rFonts w:ascii="Times New Roman" w:eastAsia="Times New Roman" w:hAnsi="Times New Roman"/>
          <w:sz w:val="24"/>
          <w:szCs w:val="24"/>
          <w:lang w:eastAsia="ru-RU"/>
        </w:rPr>
        <w:t>,</w:t>
      </w:r>
      <w:r w:rsidRPr="00001094">
        <w:rPr>
          <w:rFonts w:ascii="Times New Roman" w:eastAsia="Times New Roman" w:hAnsi="Times New Roman"/>
          <w:sz w:val="24"/>
          <w:szCs w:val="24"/>
          <w:lang w:eastAsia="ru-RU"/>
        </w:rPr>
        <w:t xml:space="preserve"> и это создало трудности при работе с портфелем ценных бумаг в части приобретения новых выпусков. Указанное обстоятельство будет оказывать негативное влияние и </w:t>
      </w:r>
      <w:r w:rsidR="001930D5">
        <w:rPr>
          <w:rFonts w:ascii="Times New Roman" w:eastAsia="Times New Roman" w:hAnsi="Times New Roman"/>
          <w:sz w:val="24"/>
          <w:szCs w:val="24"/>
          <w:lang w:eastAsia="ru-RU"/>
        </w:rPr>
        <w:t xml:space="preserve">в </w:t>
      </w:r>
      <w:r w:rsidRPr="00001094">
        <w:rPr>
          <w:rFonts w:ascii="Times New Roman" w:eastAsia="Times New Roman" w:hAnsi="Times New Roman"/>
          <w:sz w:val="24"/>
          <w:szCs w:val="24"/>
          <w:lang w:eastAsia="ru-RU"/>
        </w:rPr>
        <w:t>последующий год, вплоть до получения всеми качественными российскими эмитентами рейтингов российских рейтинговых агентств.</w:t>
      </w:r>
    </w:p>
    <w:p w14:paraId="24730F61"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p>
    <w:p w14:paraId="6D21B4BB"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color w:val="000000"/>
          <w:sz w:val="24"/>
          <w:szCs w:val="24"/>
          <w:lang w:eastAsia="ru-RU"/>
        </w:rPr>
      </w:pPr>
      <w:r w:rsidRPr="00001094">
        <w:rPr>
          <w:rFonts w:ascii="Times New Roman" w:eastAsia="Times New Roman" w:hAnsi="Times New Roman"/>
          <w:sz w:val="24"/>
          <w:szCs w:val="24"/>
          <w:lang w:eastAsia="ru-RU"/>
        </w:rPr>
        <w:t xml:space="preserve"> В 2017 году увеличился объем операций с драгоценными металлами в рамках сопровождения клиринговой деятельности.</w:t>
      </w:r>
      <w:r w:rsidR="00C52172">
        <w:rPr>
          <w:rFonts w:ascii="Times New Roman" w:eastAsia="Times New Roman" w:hAnsi="Times New Roman"/>
          <w:sz w:val="24"/>
          <w:szCs w:val="24"/>
          <w:lang w:eastAsia="ru-RU"/>
        </w:rPr>
        <w:t xml:space="preserve"> </w:t>
      </w:r>
      <w:r w:rsidRPr="00001094">
        <w:rPr>
          <w:rFonts w:ascii="Times New Roman" w:eastAsia="Times New Roman" w:hAnsi="Times New Roman"/>
          <w:sz w:val="24"/>
          <w:szCs w:val="24"/>
          <w:lang w:eastAsia="ru-RU"/>
        </w:rPr>
        <w:t xml:space="preserve">Объем операций </w:t>
      </w:r>
      <w:r w:rsidRPr="00001094">
        <w:rPr>
          <w:rFonts w:ascii="Times New Roman" w:eastAsia="Times New Roman" w:hAnsi="Times New Roman"/>
          <w:sz w:val="24"/>
          <w:szCs w:val="24"/>
          <w:lang w:val="en-US" w:eastAsia="ru-RU"/>
        </w:rPr>
        <w:t>Location</w:t>
      </w:r>
      <w:r w:rsidRPr="00001094">
        <w:rPr>
          <w:rFonts w:ascii="Times New Roman" w:eastAsia="Times New Roman" w:hAnsi="Times New Roman"/>
          <w:sz w:val="24"/>
          <w:szCs w:val="24"/>
          <w:lang w:eastAsia="ru-RU"/>
        </w:rPr>
        <w:t xml:space="preserve"> </w:t>
      </w:r>
      <w:r w:rsidRPr="00001094">
        <w:rPr>
          <w:rFonts w:ascii="Times New Roman" w:eastAsia="Times New Roman" w:hAnsi="Times New Roman"/>
          <w:sz w:val="24"/>
          <w:szCs w:val="24"/>
          <w:lang w:val="en-US" w:eastAsia="ru-RU"/>
        </w:rPr>
        <w:t>SWAP</w:t>
      </w:r>
      <w:r w:rsidRPr="00001094">
        <w:rPr>
          <w:rFonts w:ascii="Times New Roman" w:eastAsia="Times New Roman" w:hAnsi="Times New Roman"/>
          <w:sz w:val="24"/>
          <w:szCs w:val="24"/>
          <w:lang w:eastAsia="ru-RU"/>
        </w:rPr>
        <w:t xml:space="preserve"> с золотом вырос на 157% (до 514 кг.), а объем операций приема/выдачи физического золота на 195% (до 1725кг.).</w:t>
      </w:r>
      <w:r w:rsidR="00C52172">
        <w:rPr>
          <w:rFonts w:ascii="Times New Roman" w:eastAsia="Times New Roman" w:hAnsi="Times New Roman"/>
          <w:sz w:val="24"/>
          <w:szCs w:val="24"/>
          <w:lang w:eastAsia="ru-RU"/>
        </w:rPr>
        <w:t xml:space="preserve"> </w:t>
      </w:r>
      <w:r w:rsidRPr="00001094">
        <w:rPr>
          <w:rFonts w:ascii="Times New Roman" w:eastAsia="Times New Roman" w:hAnsi="Times New Roman"/>
          <w:sz w:val="24"/>
          <w:szCs w:val="24"/>
          <w:lang w:eastAsia="ru-RU"/>
        </w:rPr>
        <w:t xml:space="preserve">Также с целью более эффективного </w:t>
      </w:r>
      <w:r w:rsidRPr="00001094">
        <w:rPr>
          <w:rFonts w:ascii="Times New Roman" w:eastAsia="Times New Roman" w:hAnsi="Times New Roman"/>
          <w:sz w:val="24"/>
          <w:szCs w:val="24"/>
          <w:lang w:eastAsia="ru-RU"/>
        </w:rPr>
        <w:lastRenderedPageBreak/>
        <w:t>использования остатков драгоценных металлов на обезличенных металлических счетах НКЦ начал проводить операции по размещению золота в депозиты. Общая сумма размещенных депозитов составила 11259 кг золота.</w:t>
      </w:r>
    </w:p>
    <w:p w14:paraId="411F687D"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p>
    <w:p w14:paraId="6CF8554E"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xml:space="preserve"> В рамках распространения функций дефолт-менеджмента на все рынки Московской Биржи в 2017 году было проведено тестирование дефолт-менеджмента на товарном рынке. </w:t>
      </w:r>
    </w:p>
    <w:p w14:paraId="7E07D85A" w14:textId="18ED3B59" w:rsidR="00001094" w:rsidRPr="00001094" w:rsidRDefault="00001094" w:rsidP="00447135">
      <w:pPr>
        <w:widowControl w:val="0"/>
        <w:overflowPunct w:val="0"/>
        <w:autoSpaceDE w:val="0"/>
        <w:autoSpaceDN w:val="0"/>
        <w:adjustRightInd w:val="0"/>
        <w:jc w:val="both"/>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Количество и объем операций на финансовых рынках в рамках процедур дефолт-менеджмента увеличилось по сравнению с 2016 годом (см. Таблицу 4, Рисунок 1), что в значительной мере является отражением роста биржевых рынков, на которых НКЦ осуществляет функции центрального контрагента. При этом часть операций по закрытию позиций связана с продолжающимся в связи с отзывом Банком России лицензий у кредитных организаций сокращением числа участников клиринга. Следует отметить, что количество и объем операций дефолт-менеджмента являются незначительными как по отношению к объему торгов на биржевых рынках, так и по отношению к активам НКЦ, и не оказывают существенного влияния на надежность центрального контрагента.</w:t>
      </w:r>
    </w:p>
    <w:p w14:paraId="0E0402FD"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p>
    <w:p w14:paraId="4AF354FD"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xml:space="preserve">        </w:t>
      </w:r>
      <w:r w:rsidRPr="00001094">
        <w:rPr>
          <w:rFonts w:ascii="Times New Roman" w:eastAsia="Times New Roman" w:hAnsi="Times New Roman"/>
          <w:sz w:val="24"/>
          <w:szCs w:val="24"/>
          <w:lang w:eastAsia="ru-RU"/>
        </w:rPr>
        <w:tab/>
      </w:r>
      <w:r w:rsidRPr="00001094">
        <w:rPr>
          <w:rFonts w:ascii="Times New Roman" w:eastAsia="Times New Roman" w:hAnsi="Times New Roman"/>
          <w:sz w:val="24"/>
          <w:szCs w:val="24"/>
          <w:lang w:eastAsia="ru-RU"/>
        </w:rPr>
        <w:tab/>
      </w:r>
      <w:r w:rsidRPr="00001094">
        <w:rPr>
          <w:rFonts w:ascii="Times New Roman" w:eastAsia="Times New Roman" w:hAnsi="Times New Roman"/>
          <w:sz w:val="24"/>
          <w:szCs w:val="24"/>
          <w:lang w:eastAsia="ru-RU"/>
        </w:rPr>
        <w:tab/>
      </w:r>
      <w:r w:rsidRPr="00001094">
        <w:rPr>
          <w:rFonts w:ascii="Times New Roman" w:eastAsia="Times New Roman" w:hAnsi="Times New Roman"/>
          <w:sz w:val="24"/>
          <w:szCs w:val="24"/>
          <w:lang w:eastAsia="ru-RU"/>
        </w:rPr>
        <w:tab/>
      </w:r>
      <w:r w:rsidRPr="00001094">
        <w:rPr>
          <w:rFonts w:ascii="Times New Roman" w:eastAsia="Times New Roman" w:hAnsi="Times New Roman"/>
          <w:sz w:val="24"/>
          <w:szCs w:val="24"/>
          <w:lang w:eastAsia="ru-RU"/>
        </w:rPr>
        <w:tab/>
      </w:r>
      <w:r w:rsidRPr="00001094">
        <w:rPr>
          <w:rFonts w:ascii="Times New Roman" w:eastAsia="Times New Roman" w:hAnsi="Times New Roman"/>
          <w:sz w:val="24"/>
          <w:szCs w:val="24"/>
          <w:lang w:eastAsia="ru-RU"/>
        </w:rPr>
        <w:tab/>
      </w:r>
      <w:r w:rsidRPr="00001094">
        <w:rPr>
          <w:rFonts w:ascii="Times New Roman" w:eastAsia="Times New Roman" w:hAnsi="Times New Roman"/>
          <w:sz w:val="24"/>
          <w:szCs w:val="24"/>
          <w:lang w:eastAsia="ru-RU"/>
        </w:rPr>
        <w:tab/>
      </w:r>
      <w:r w:rsidRPr="00001094">
        <w:rPr>
          <w:rFonts w:ascii="Times New Roman" w:eastAsia="Times New Roman" w:hAnsi="Times New Roman"/>
          <w:sz w:val="24"/>
          <w:szCs w:val="24"/>
          <w:lang w:eastAsia="ru-RU"/>
        </w:rPr>
        <w:tab/>
      </w:r>
      <w:r w:rsidRPr="00001094">
        <w:rPr>
          <w:rFonts w:ascii="Times New Roman" w:eastAsia="Times New Roman" w:hAnsi="Times New Roman"/>
          <w:sz w:val="24"/>
          <w:szCs w:val="24"/>
          <w:lang w:eastAsia="ru-RU"/>
        </w:rPr>
        <w:tab/>
      </w:r>
      <w:r w:rsidRPr="00001094">
        <w:rPr>
          <w:rFonts w:ascii="Times New Roman" w:eastAsia="Times New Roman" w:hAnsi="Times New Roman"/>
          <w:sz w:val="24"/>
          <w:szCs w:val="24"/>
          <w:lang w:eastAsia="ru-RU"/>
        </w:rPr>
        <w:tab/>
        <w:t>Таблица 4.</w:t>
      </w:r>
    </w:p>
    <w:tbl>
      <w:tblPr>
        <w:tblW w:w="902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1571"/>
        <w:gridCol w:w="1341"/>
        <w:gridCol w:w="1667"/>
        <w:gridCol w:w="1341"/>
      </w:tblGrid>
      <w:tr w:rsidR="00001094" w:rsidRPr="00001094" w14:paraId="1FBA4C2D" w14:textId="77777777" w:rsidTr="00447135">
        <w:trPr>
          <w:trHeight w:val="780"/>
        </w:trPr>
        <w:tc>
          <w:tcPr>
            <w:tcW w:w="3100" w:type="dxa"/>
            <w:shd w:val="clear" w:color="auto" w:fill="auto"/>
            <w:vAlign w:val="center"/>
            <w:hideMark/>
          </w:tcPr>
          <w:p w14:paraId="741046C6" w14:textId="77777777" w:rsidR="00001094" w:rsidRPr="00001094" w:rsidRDefault="00001094" w:rsidP="00001094">
            <w:pPr>
              <w:jc w:val="center"/>
              <w:rPr>
                <w:rFonts w:ascii="Times New Roman" w:eastAsia="Times New Roman" w:hAnsi="Times New Roman"/>
                <w:color w:val="000000"/>
                <w:sz w:val="24"/>
                <w:szCs w:val="24"/>
                <w:lang w:eastAsia="ru-RU"/>
              </w:rPr>
            </w:pPr>
            <w:r w:rsidRPr="00001094">
              <w:rPr>
                <w:rFonts w:ascii="Times New Roman" w:eastAsia="Times New Roman" w:hAnsi="Times New Roman"/>
                <w:color w:val="000000"/>
                <w:sz w:val="24"/>
                <w:szCs w:val="24"/>
                <w:lang w:eastAsia="ru-RU"/>
              </w:rPr>
              <w:t>Операции</w:t>
            </w:r>
          </w:p>
        </w:tc>
        <w:tc>
          <w:tcPr>
            <w:tcW w:w="1571" w:type="dxa"/>
            <w:shd w:val="clear" w:color="auto" w:fill="auto"/>
            <w:vAlign w:val="center"/>
            <w:hideMark/>
          </w:tcPr>
          <w:p w14:paraId="2F78041B" w14:textId="77777777" w:rsidR="00001094" w:rsidRPr="00001094" w:rsidRDefault="00001094" w:rsidP="00001094">
            <w:pPr>
              <w:jc w:val="center"/>
              <w:rPr>
                <w:rFonts w:ascii="Times New Roman" w:eastAsia="Times New Roman" w:hAnsi="Times New Roman"/>
                <w:color w:val="000000"/>
                <w:sz w:val="24"/>
                <w:szCs w:val="24"/>
                <w:lang w:eastAsia="ru-RU"/>
              </w:rPr>
            </w:pPr>
            <w:r w:rsidRPr="00001094">
              <w:rPr>
                <w:rFonts w:ascii="Times New Roman" w:eastAsia="Times New Roman" w:hAnsi="Times New Roman"/>
                <w:color w:val="000000"/>
                <w:sz w:val="24"/>
                <w:szCs w:val="24"/>
                <w:lang w:eastAsia="ru-RU"/>
              </w:rPr>
              <w:t>Кол-во операций</w:t>
            </w:r>
          </w:p>
        </w:tc>
        <w:tc>
          <w:tcPr>
            <w:tcW w:w="1341" w:type="dxa"/>
            <w:shd w:val="clear" w:color="auto" w:fill="auto"/>
            <w:vAlign w:val="center"/>
            <w:hideMark/>
          </w:tcPr>
          <w:p w14:paraId="2A42421F" w14:textId="77777777" w:rsidR="00001094" w:rsidRPr="00001094" w:rsidRDefault="00001094" w:rsidP="00001094">
            <w:pPr>
              <w:jc w:val="center"/>
              <w:rPr>
                <w:rFonts w:ascii="Times New Roman" w:eastAsia="Times New Roman" w:hAnsi="Times New Roman"/>
                <w:color w:val="000000"/>
                <w:sz w:val="24"/>
                <w:szCs w:val="24"/>
                <w:lang w:eastAsia="ru-RU"/>
              </w:rPr>
            </w:pPr>
            <w:r w:rsidRPr="00001094">
              <w:rPr>
                <w:rFonts w:ascii="Times New Roman" w:eastAsia="Times New Roman" w:hAnsi="Times New Roman"/>
                <w:color w:val="000000"/>
                <w:sz w:val="24"/>
                <w:szCs w:val="24"/>
                <w:lang w:eastAsia="ru-RU"/>
              </w:rPr>
              <w:t>Изменение к 2016, %</w:t>
            </w:r>
          </w:p>
        </w:tc>
        <w:tc>
          <w:tcPr>
            <w:tcW w:w="1667" w:type="dxa"/>
            <w:shd w:val="clear" w:color="auto" w:fill="auto"/>
            <w:vAlign w:val="center"/>
            <w:hideMark/>
          </w:tcPr>
          <w:p w14:paraId="4AEF6F96" w14:textId="77777777" w:rsidR="00001094" w:rsidRPr="00001094" w:rsidRDefault="00001094" w:rsidP="00001094">
            <w:pPr>
              <w:jc w:val="center"/>
              <w:rPr>
                <w:rFonts w:ascii="Times New Roman" w:eastAsia="Times New Roman" w:hAnsi="Times New Roman"/>
                <w:color w:val="000000"/>
                <w:sz w:val="24"/>
                <w:szCs w:val="24"/>
                <w:lang w:eastAsia="ru-RU"/>
              </w:rPr>
            </w:pPr>
            <w:r w:rsidRPr="00001094">
              <w:rPr>
                <w:rFonts w:ascii="Times New Roman" w:eastAsia="Times New Roman" w:hAnsi="Times New Roman"/>
                <w:color w:val="000000"/>
                <w:sz w:val="24"/>
                <w:szCs w:val="24"/>
                <w:lang w:eastAsia="ru-RU"/>
              </w:rPr>
              <w:t>Объем, млн рублей</w:t>
            </w:r>
          </w:p>
        </w:tc>
        <w:tc>
          <w:tcPr>
            <w:tcW w:w="1341" w:type="dxa"/>
            <w:shd w:val="clear" w:color="auto" w:fill="auto"/>
            <w:vAlign w:val="center"/>
            <w:hideMark/>
          </w:tcPr>
          <w:p w14:paraId="5E989C8A" w14:textId="77777777" w:rsidR="00001094" w:rsidRPr="00001094" w:rsidRDefault="00001094" w:rsidP="00001094">
            <w:pPr>
              <w:jc w:val="center"/>
              <w:rPr>
                <w:rFonts w:ascii="Times New Roman" w:eastAsia="Times New Roman" w:hAnsi="Times New Roman"/>
                <w:color w:val="000000"/>
                <w:sz w:val="24"/>
                <w:szCs w:val="24"/>
                <w:lang w:eastAsia="ru-RU"/>
              </w:rPr>
            </w:pPr>
            <w:r w:rsidRPr="00001094">
              <w:rPr>
                <w:rFonts w:ascii="Times New Roman" w:eastAsia="Times New Roman" w:hAnsi="Times New Roman"/>
                <w:color w:val="000000"/>
                <w:sz w:val="24"/>
                <w:szCs w:val="24"/>
                <w:lang w:eastAsia="ru-RU"/>
              </w:rPr>
              <w:t>Изменение к 2016, %</w:t>
            </w:r>
          </w:p>
        </w:tc>
      </w:tr>
      <w:tr w:rsidR="00001094" w:rsidRPr="00001094" w14:paraId="7E04CB0F" w14:textId="77777777" w:rsidTr="00447135">
        <w:trPr>
          <w:trHeight w:val="255"/>
        </w:trPr>
        <w:tc>
          <w:tcPr>
            <w:tcW w:w="9020" w:type="dxa"/>
            <w:gridSpan w:val="5"/>
            <w:shd w:val="clear" w:color="000000" w:fill="CCFFFF"/>
            <w:vAlign w:val="center"/>
            <w:hideMark/>
          </w:tcPr>
          <w:p w14:paraId="49091F5B" w14:textId="77777777" w:rsidR="00001094" w:rsidRPr="00001094" w:rsidRDefault="00001094" w:rsidP="00001094">
            <w:pPr>
              <w:jc w:val="center"/>
              <w:rPr>
                <w:rFonts w:ascii="Times New Roman" w:eastAsia="Times New Roman" w:hAnsi="Times New Roman"/>
                <w:color w:val="000000"/>
                <w:sz w:val="24"/>
                <w:szCs w:val="24"/>
                <w:lang w:eastAsia="ru-RU"/>
              </w:rPr>
            </w:pPr>
            <w:r w:rsidRPr="00001094">
              <w:rPr>
                <w:rFonts w:ascii="Times New Roman" w:eastAsia="Times New Roman" w:hAnsi="Times New Roman"/>
                <w:color w:val="000000"/>
                <w:sz w:val="24"/>
                <w:szCs w:val="24"/>
                <w:lang w:eastAsia="ru-RU"/>
              </w:rPr>
              <w:t>Валютный рынок</w:t>
            </w:r>
          </w:p>
        </w:tc>
      </w:tr>
      <w:tr w:rsidR="00001094" w:rsidRPr="00001094" w14:paraId="7A675416" w14:textId="77777777" w:rsidTr="00447135">
        <w:trPr>
          <w:trHeight w:val="255"/>
        </w:trPr>
        <w:tc>
          <w:tcPr>
            <w:tcW w:w="3100" w:type="dxa"/>
            <w:shd w:val="clear" w:color="auto" w:fill="auto"/>
            <w:vAlign w:val="center"/>
            <w:hideMark/>
          </w:tcPr>
          <w:p w14:paraId="18EEF8F6" w14:textId="77777777" w:rsidR="00001094" w:rsidRPr="00001094" w:rsidRDefault="00001094" w:rsidP="00001094">
            <w:pPr>
              <w:rPr>
                <w:rFonts w:ascii="Times New Roman" w:eastAsia="Times New Roman" w:hAnsi="Times New Roman"/>
                <w:i/>
                <w:iCs/>
                <w:color w:val="000000"/>
                <w:sz w:val="20"/>
                <w:szCs w:val="20"/>
                <w:lang w:eastAsia="ru-RU"/>
              </w:rPr>
            </w:pPr>
            <w:r w:rsidRPr="00001094">
              <w:rPr>
                <w:rFonts w:ascii="Times New Roman" w:eastAsia="Times New Roman" w:hAnsi="Times New Roman"/>
                <w:i/>
                <w:iCs/>
                <w:color w:val="000000"/>
                <w:sz w:val="20"/>
                <w:szCs w:val="20"/>
                <w:lang w:eastAsia="ru-RU"/>
              </w:rPr>
              <w:t>Перенос позиций (СВОП)</w:t>
            </w:r>
          </w:p>
        </w:tc>
        <w:tc>
          <w:tcPr>
            <w:tcW w:w="1571" w:type="dxa"/>
            <w:shd w:val="clear" w:color="auto" w:fill="auto"/>
            <w:vAlign w:val="center"/>
            <w:hideMark/>
          </w:tcPr>
          <w:p w14:paraId="22D1A83F" w14:textId="77777777" w:rsidR="00001094" w:rsidRPr="00001094" w:rsidRDefault="00001094" w:rsidP="00001094">
            <w:pPr>
              <w:jc w:val="right"/>
              <w:rPr>
                <w:rFonts w:ascii="Times New Roman" w:eastAsia="Times New Roman" w:hAnsi="Times New Roman"/>
                <w:color w:val="000000"/>
                <w:sz w:val="24"/>
                <w:szCs w:val="24"/>
                <w:lang w:eastAsia="ru-RU"/>
              </w:rPr>
            </w:pPr>
            <w:r w:rsidRPr="00001094">
              <w:rPr>
                <w:rFonts w:ascii="Times New Roman" w:eastAsia="Times New Roman" w:hAnsi="Times New Roman"/>
                <w:color w:val="000000"/>
                <w:sz w:val="24"/>
                <w:szCs w:val="24"/>
                <w:lang w:eastAsia="ru-RU"/>
              </w:rPr>
              <w:t> </w:t>
            </w:r>
          </w:p>
        </w:tc>
        <w:tc>
          <w:tcPr>
            <w:tcW w:w="1341" w:type="dxa"/>
            <w:shd w:val="clear" w:color="auto" w:fill="auto"/>
            <w:vAlign w:val="center"/>
            <w:hideMark/>
          </w:tcPr>
          <w:p w14:paraId="6030392C" w14:textId="77777777" w:rsidR="00001094" w:rsidRPr="00001094" w:rsidRDefault="00001094" w:rsidP="00001094">
            <w:pPr>
              <w:jc w:val="right"/>
              <w:rPr>
                <w:rFonts w:ascii="Times New Roman" w:eastAsia="Times New Roman" w:hAnsi="Times New Roman"/>
                <w:color w:val="000000"/>
                <w:sz w:val="24"/>
                <w:szCs w:val="24"/>
                <w:lang w:eastAsia="ru-RU"/>
              </w:rPr>
            </w:pPr>
            <w:r w:rsidRPr="00001094">
              <w:rPr>
                <w:rFonts w:ascii="Times New Roman" w:eastAsia="Times New Roman" w:hAnsi="Times New Roman"/>
                <w:color w:val="000000"/>
                <w:sz w:val="24"/>
                <w:szCs w:val="24"/>
                <w:lang w:eastAsia="ru-RU"/>
              </w:rPr>
              <w:t> </w:t>
            </w:r>
          </w:p>
        </w:tc>
        <w:tc>
          <w:tcPr>
            <w:tcW w:w="1667" w:type="dxa"/>
            <w:shd w:val="clear" w:color="auto" w:fill="auto"/>
            <w:vAlign w:val="center"/>
            <w:hideMark/>
          </w:tcPr>
          <w:p w14:paraId="350E4758" w14:textId="77777777" w:rsidR="00001094" w:rsidRPr="00001094" w:rsidRDefault="00001094" w:rsidP="00001094">
            <w:pPr>
              <w:jc w:val="right"/>
              <w:rPr>
                <w:rFonts w:ascii="Times New Roman" w:eastAsia="Times New Roman" w:hAnsi="Times New Roman"/>
                <w:color w:val="000000"/>
                <w:sz w:val="24"/>
                <w:szCs w:val="24"/>
                <w:lang w:eastAsia="ru-RU"/>
              </w:rPr>
            </w:pPr>
            <w:r w:rsidRPr="00001094">
              <w:rPr>
                <w:rFonts w:ascii="Times New Roman" w:eastAsia="Times New Roman" w:hAnsi="Times New Roman"/>
                <w:color w:val="000000"/>
                <w:sz w:val="24"/>
                <w:szCs w:val="24"/>
                <w:lang w:eastAsia="ru-RU"/>
              </w:rPr>
              <w:t> </w:t>
            </w:r>
          </w:p>
        </w:tc>
        <w:tc>
          <w:tcPr>
            <w:tcW w:w="1341" w:type="dxa"/>
            <w:shd w:val="clear" w:color="auto" w:fill="auto"/>
            <w:vAlign w:val="center"/>
            <w:hideMark/>
          </w:tcPr>
          <w:p w14:paraId="7FD3C631" w14:textId="77777777" w:rsidR="00001094" w:rsidRPr="00001094" w:rsidRDefault="00001094" w:rsidP="00001094">
            <w:pPr>
              <w:jc w:val="right"/>
              <w:rPr>
                <w:rFonts w:ascii="Times New Roman" w:eastAsia="Times New Roman" w:hAnsi="Times New Roman"/>
                <w:color w:val="000000"/>
                <w:sz w:val="24"/>
                <w:szCs w:val="24"/>
                <w:lang w:eastAsia="ru-RU"/>
              </w:rPr>
            </w:pPr>
            <w:r w:rsidRPr="00001094">
              <w:rPr>
                <w:rFonts w:ascii="Times New Roman" w:eastAsia="Times New Roman" w:hAnsi="Times New Roman"/>
                <w:color w:val="000000"/>
                <w:sz w:val="24"/>
                <w:szCs w:val="24"/>
                <w:lang w:eastAsia="ru-RU"/>
              </w:rPr>
              <w:t> </w:t>
            </w:r>
          </w:p>
        </w:tc>
      </w:tr>
      <w:tr w:rsidR="00001094" w:rsidRPr="00001094" w14:paraId="421FD071" w14:textId="77777777" w:rsidTr="00447135">
        <w:trPr>
          <w:trHeight w:val="255"/>
        </w:trPr>
        <w:tc>
          <w:tcPr>
            <w:tcW w:w="3100" w:type="dxa"/>
            <w:shd w:val="clear" w:color="auto" w:fill="auto"/>
            <w:vAlign w:val="center"/>
            <w:hideMark/>
          </w:tcPr>
          <w:p w14:paraId="6911CDCB"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USD</w:t>
            </w:r>
          </w:p>
        </w:tc>
        <w:tc>
          <w:tcPr>
            <w:tcW w:w="1571" w:type="dxa"/>
            <w:shd w:val="clear" w:color="auto" w:fill="auto"/>
            <w:vAlign w:val="center"/>
            <w:hideMark/>
          </w:tcPr>
          <w:p w14:paraId="6B10E40C"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256</w:t>
            </w:r>
          </w:p>
        </w:tc>
        <w:tc>
          <w:tcPr>
            <w:tcW w:w="1341" w:type="dxa"/>
            <w:shd w:val="clear" w:color="auto" w:fill="auto"/>
            <w:vAlign w:val="center"/>
            <w:hideMark/>
          </w:tcPr>
          <w:p w14:paraId="02099181"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25%</w:t>
            </w:r>
          </w:p>
        </w:tc>
        <w:tc>
          <w:tcPr>
            <w:tcW w:w="1667" w:type="dxa"/>
            <w:shd w:val="clear" w:color="auto" w:fill="auto"/>
            <w:vAlign w:val="center"/>
            <w:hideMark/>
          </w:tcPr>
          <w:p w14:paraId="441FC021"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84 645</w:t>
            </w:r>
          </w:p>
        </w:tc>
        <w:tc>
          <w:tcPr>
            <w:tcW w:w="1341" w:type="dxa"/>
            <w:shd w:val="clear" w:color="auto" w:fill="auto"/>
            <w:vAlign w:val="center"/>
            <w:hideMark/>
          </w:tcPr>
          <w:p w14:paraId="111A89A9"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13%</w:t>
            </w:r>
          </w:p>
        </w:tc>
      </w:tr>
      <w:tr w:rsidR="00001094" w:rsidRPr="00001094" w14:paraId="57A65456" w14:textId="77777777" w:rsidTr="00447135">
        <w:trPr>
          <w:trHeight w:val="255"/>
        </w:trPr>
        <w:tc>
          <w:tcPr>
            <w:tcW w:w="3100" w:type="dxa"/>
            <w:shd w:val="clear" w:color="auto" w:fill="auto"/>
            <w:vAlign w:val="center"/>
            <w:hideMark/>
          </w:tcPr>
          <w:p w14:paraId="598C53CB"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EUR</w:t>
            </w:r>
          </w:p>
        </w:tc>
        <w:tc>
          <w:tcPr>
            <w:tcW w:w="1571" w:type="dxa"/>
            <w:shd w:val="clear" w:color="auto" w:fill="auto"/>
            <w:vAlign w:val="center"/>
            <w:hideMark/>
          </w:tcPr>
          <w:p w14:paraId="77777D4B"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71</w:t>
            </w:r>
          </w:p>
        </w:tc>
        <w:tc>
          <w:tcPr>
            <w:tcW w:w="1341" w:type="dxa"/>
            <w:shd w:val="clear" w:color="auto" w:fill="auto"/>
            <w:vAlign w:val="center"/>
            <w:hideMark/>
          </w:tcPr>
          <w:p w14:paraId="3E0E8B53"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-39%</w:t>
            </w:r>
          </w:p>
        </w:tc>
        <w:tc>
          <w:tcPr>
            <w:tcW w:w="1667" w:type="dxa"/>
            <w:shd w:val="clear" w:color="auto" w:fill="auto"/>
            <w:vAlign w:val="center"/>
            <w:hideMark/>
          </w:tcPr>
          <w:p w14:paraId="4F03CA57"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12 100</w:t>
            </w:r>
          </w:p>
        </w:tc>
        <w:tc>
          <w:tcPr>
            <w:tcW w:w="1341" w:type="dxa"/>
            <w:shd w:val="clear" w:color="auto" w:fill="auto"/>
            <w:vAlign w:val="center"/>
            <w:hideMark/>
          </w:tcPr>
          <w:p w14:paraId="5F76479E"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42%</w:t>
            </w:r>
          </w:p>
        </w:tc>
      </w:tr>
      <w:tr w:rsidR="00001094" w:rsidRPr="00001094" w14:paraId="29DB847A" w14:textId="77777777" w:rsidTr="00447135">
        <w:trPr>
          <w:trHeight w:val="255"/>
        </w:trPr>
        <w:tc>
          <w:tcPr>
            <w:tcW w:w="3100" w:type="dxa"/>
            <w:shd w:val="clear" w:color="auto" w:fill="auto"/>
            <w:vAlign w:val="center"/>
            <w:hideMark/>
          </w:tcPr>
          <w:p w14:paraId="22FE3C37"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CNY</w:t>
            </w:r>
          </w:p>
        </w:tc>
        <w:tc>
          <w:tcPr>
            <w:tcW w:w="1571" w:type="dxa"/>
            <w:shd w:val="clear" w:color="auto" w:fill="auto"/>
            <w:vAlign w:val="center"/>
            <w:hideMark/>
          </w:tcPr>
          <w:p w14:paraId="0E58BCB6"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16</w:t>
            </w:r>
          </w:p>
        </w:tc>
        <w:tc>
          <w:tcPr>
            <w:tcW w:w="1341" w:type="dxa"/>
            <w:shd w:val="clear" w:color="auto" w:fill="auto"/>
            <w:vAlign w:val="center"/>
            <w:hideMark/>
          </w:tcPr>
          <w:p w14:paraId="7D4C4477"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-24%</w:t>
            </w:r>
          </w:p>
        </w:tc>
        <w:tc>
          <w:tcPr>
            <w:tcW w:w="1667" w:type="dxa"/>
            <w:shd w:val="clear" w:color="auto" w:fill="auto"/>
            <w:vAlign w:val="center"/>
            <w:hideMark/>
          </w:tcPr>
          <w:p w14:paraId="71EB8BD4"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273</w:t>
            </w:r>
          </w:p>
        </w:tc>
        <w:tc>
          <w:tcPr>
            <w:tcW w:w="1341" w:type="dxa"/>
            <w:shd w:val="clear" w:color="auto" w:fill="auto"/>
            <w:vAlign w:val="center"/>
            <w:hideMark/>
          </w:tcPr>
          <w:p w14:paraId="746034EE"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-82%</w:t>
            </w:r>
          </w:p>
        </w:tc>
      </w:tr>
      <w:tr w:rsidR="00001094" w:rsidRPr="00001094" w14:paraId="10298E83" w14:textId="77777777" w:rsidTr="00447135">
        <w:trPr>
          <w:trHeight w:val="255"/>
        </w:trPr>
        <w:tc>
          <w:tcPr>
            <w:tcW w:w="3100" w:type="dxa"/>
            <w:shd w:val="clear" w:color="auto" w:fill="auto"/>
            <w:vAlign w:val="center"/>
            <w:hideMark/>
          </w:tcPr>
          <w:p w14:paraId="6575F317"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GBP</w:t>
            </w:r>
          </w:p>
        </w:tc>
        <w:tc>
          <w:tcPr>
            <w:tcW w:w="1571" w:type="dxa"/>
            <w:shd w:val="clear" w:color="auto" w:fill="auto"/>
            <w:vAlign w:val="center"/>
            <w:hideMark/>
          </w:tcPr>
          <w:p w14:paraId="78FBB116"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10</w:t>
            </w:r>
          </w:p>
        </w:tc>
        <w:tc>
          <w:tcPr>
            <w:tcW w:w="1341" w:type="dxa"/>
            <w:shd w:val="clear" w:color="auto" w:fill="auto"/>
            <w:vAlign w:val="center"/>
            <w:hideMark/>
          </w:tcPr>
          <w:p w14:paraId="6AC5A33C"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667" w:type="dxa"/>
            <w:shd w:val="clear" w:color="auto" w:fill="auto"/>
            <w:vAlign w:val="center"/>
            <w:hideMark/>
          </w:tcPr>
          <w:p w14:paraId="3B141395"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158</w:t>
            </w:r>
          </w:p>
        </w:tc>
        <w:tc>
          <w:tcPr>
            <w:tcW w:w="1341" w:type="dxa"/>
            <w:shd w:val="clear" w:color="auto" w:fill="auto"/>
            <w:vAlign w:val="center"/>
            <w:hideMark/>
          </w:tcPr>
          <w:p w14:paraId="0C400C6E"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r>
      <w:tr w:rsidR="00001094" w:rsidRPr="00001094" w14:paraId="68AF6C83" w14:textId="77777777" w:rsidTr="00447135">
        <w:trPr>
          <w:trHeight w:val="255"/>
        </w:trPr>
        <w:tc>
          <w:tcPr>
            <w:tcW w:w="3100" w:type="dxa"/>
            <w:shd w:val="clear" w:color="auto" w:fill="auto"/>
            <w:vAlign w:val="center"/>
            <w:hideMark/>
          </w:tcPr>
          <w:p w14:paraId="254CF40F"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HKD</w:t>
            </w:r>
          </w:p>
        </w:tc>
        <w:tc>
          <w:tcPr>
            <w:tcW w:w="1571" w:type="dxa"/>
            <w:shd w:val="clear" w:color="auto" w:fill="auto"/>
            <w:vAlign w:val="center"/>
            <w:hideMark/>
          </w:tcPr>
          <w:p w14:paraId="143BAD55"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w:t>
            </w:r>
          </w:p>
        </w:tc>
        <w:tc>
          <w:tcPr>
            <w:tcW w:w="1341" w:type="dxa"/>
            <w:shd w:val="clear" w:color="auto" w:fill="auto"/>
            <w:vAlign w:val="center"/>
            <w:hideMark/>
          </w:tcPr>
          <w:p w14:paraId="50754D1A"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667" w:type="dxa"/>
            <w:shd w:val="clear" w:color="auto" w:fill="auto"/>
            <w:vAlign w:val="center"/>
            <w:hideMark/>
          </w:tcPr>
          <w:p w14:paraId="3F1BB344"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7</w:t>
            </w:r>
          </w:p>
        </w:tc>
        <w:tc>
          <w:tcPr>
            <w:tcW w:w="1341" w:type="dxa"/>
            <w:shd w:val="clear" w:color="auto" w:fill="auto"/>
            <w:vAlign w:val="center"/>
            <w:hideMark/>
          </w:tcPr>
          <w:p w14:paraId="24B902DC"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r>
      <w:tr w:rsidR="00001094" w:rsidRPr="00001094" w14:paraId="0A0DDDA0" w14:textId="77777777" w:rsidTr="00447135">
        <w:trPr>
          <w:trHeight w:val="255"/>
        </w:trPr>
        <w:tc>
          <w:tcPr>
            <w:tcW w:w="3100" w:type="dxa"/>
            <w:shd w:val="clear" w:color="auto" w:fill="auto"/>
            <w:vAlign w:val="center"/>
            <w:hideMark/>
          </w:tcPr>
          <w:p w14:paraId="2CE2DF71"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BYR</w:t>
            </w:r>
          </w:p>
        </w:tc>
        <w:tc>
          <w:tcPr>
            <w:tcW w:w="1571" w:type="dxa"/>
            <w:shd w:val="clear" w:color="auto" w:fill="auto"/>
            <w:vAlign w:val="center"/>
            <w:hideMark/>
          </w:tcPr>
          <w:p w14:paraId="16A2C393"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w:t>
            </w:r>
          </w:p>
        </w:tc>
        <w:tc>
          <w:tcPr>
            <w:tcW w:w="1341" w:type="dxa"/>
            <w:shd w:val="clear" w:color="auto" w:fill="auto"/>
            <w:vAlign w:val="center"/>
            <w:hideMark/>
          </w:tcPr>
          <w:p w14:paraId="7D35A9DA"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667" w:type="dxa"/>
            <w:shd w:val="clear" w:color="auto" w:fill="auto"/>
            <w:vAlign w:val="center"/>
            <w:hideMark/>
          </w:tcPr>
          <w:p w14:paraId="0EC20D07"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w:t>
            </w:r>
          </w:p>
        </w:tc>
        <w:tc>
          <w:tcPr>
            <w:tcW w:w="1341" w:type="dxa"/>
            <w:shd w:val="clear" w:color="auto" w:fill="auto"/>
            <w:vAlign w:val="center"/>
            <w:hideMark/>
          </w:tcPr>
          <w:p w14:paraId="457A90B2"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r>
      <w:tr w:rsidR="00001094" w:rsidRPr="00001094" w14:paraId="3D748368" w14:textId="77777777" w:rsidTr="00447135">
        <w:trPr>
          <w:trHeight w:val="255"/>
        </w:trPr>
        <w:tc>
          <w:tcPr>
            <w:tcW w:w="3100" w:type="dxa"/>
            <w:shd w:val="clear" w:color="auto" w:fill="auto"/>
            <w:vAlign w:val="center"/>
            <w:hideMark/>
          </w:tcPr>
          <w:p w14:paraId="50FBF840"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CHF</w:t>
            </w:r>
          </w:p>
        </w:tc>
        <w:tc>
          <w:tcPr>
            <w:tcW w:w="1571" w:type="dxa"/>
            <w:shd w:val="clear" w:color="auto" w:fill="auto"/>
            <w:vAlign w:val="center"/>
            <w:hideMark/>
          </w:tcPr>
          <w:p w14:paraId="6D6F80C5"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13</w:t>
            </w:r>
          </w:p>
        </w:tc>
        <w:tc>
          <w:tcPr>
            <w:tcW w:w="1341" w:type="dxa"/>
            <w:shd w:val="clear" w:color="auto" w:fill="auto"/>
            <w:vAlign w:val="center"/>
            <w:hideMark/>
          </w:tcPr>
          <w:p w14:paraId="69ABF761"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667" w:type="dxa"/>
            <w:shd w:val="clear" w:color="auto" w:fill="auto"/>
            <w:vAlign w:val="center"/>
            <w:hideMark/>
          </w:tcPr>
          <w:p w14:paraId="053E4126"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123</w:t>
            </w:r>
          </w:p>
        </w:tc>
        <w:tc>
          <w:tcPr>
            <w:tcW w:w="1341" w:type="dxa"/>
            <w:shd w:val="clear" w:color="auto" w:fill="auto"/>
            <w:vAlign w:val="center"/>
            <w:hideMark/>
          </w:tcPr>
          <w:p w14:paraId="4055FA6A"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r>
      <w:tr w:rsidR="00001094" w:rsidRPr="00001094" w14:paraId="0E44A864" w14:textId="77777777" w:rsidTr="00447135">
        <w:trPr>
          <w:trHeight w:val="255"/>
        </w:trPr>
        <w:tc>
          <w:tcPr>
            <w:tcW w:w="3100" w:type="dxa"/>
            <w:shd w:val="clear" w:color="auto" w:fill="auto"/>
            <w:vAlign w:val="center"/>
            <w:hideMark/>
          </w:tcPr>
          <w:p w14:paraId="39E210E3"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GLD</w:t>
            </w:r>
          </w:p>
        </w:tc>
        <w:tc>
          <w:tcPr>
            <w:tcW w:w="1571" w:type="dxa"/>
            <w:shd w:val="clear" w:color="auto" w:fill="auto"/>
            <w:vAlign w:val="center"/>
            <w:hideMark/>
          </w:tcPr>
          <w:p w14:paraId="30AEA1B8"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w:t>
            </w:r>
          </w:p>
        </w:tc>
        <w:tc>
          <w:tcPr>
            <w:tcW w:w="1341" w:type="dxa"/>
            <w:shd w:val="clear" w:color="auto" w:fill="auto"/>
            <w:vAlign w:val="center"/>
            <w:hideMark/>
          </w:tcPr>
          <w:p w14:paraId="367ECDBC"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667" w:type="dxa"/>
            <w:shd w:val="clear" w:color="auto" w:fill="auto"/>
            <w:vAlign w:val="center"/>
            <w:hideMark/>
          </w:tcPr>
          <w:p w14:paraId="39A7807C"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69</w:t>
            </w:r>
          </w:p>
        </w:tc>
        <w:tc>
          <w:tcPr>
            <w:tcW w:w="1341" w:type="dxa"/>
            <w:shd w:val="clear" w:color="auto" w:fill="auto"/>
            <w:vAlign w:val="center"/>
            <w:hideMark/>
          </w:tcPr>
          <w:p w14:paraId="69F8F10E"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r>
      <w:tr w:rsidR="00001094" w:rsidRPr="00001094" w14:paraId="2DA6BA13" w14:textId="77777777" w:rsidTr="00447135">
        <w:trPr>
          <w:trHeight w:val="255"/>
        </w:trPr>
        <w:tc>
          <w:tcPr>
            <w:tcW w:w="3100" w:type="dxa"/>
            <w:shd w:val="clear" w:color="auto" w:fill="auto"/>
            <w:vAlign w:val="center"/>
            <w:hideMark/>
          </w:tcPr>
          <w:p w14:paraId="7AFCB2EE"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EURUSD_TOD</w:t>
            </w:r>
          </w:p>
        </w:tc>
        <w:tc>
          <w:tcPr>
            <w:tcW w:w="1571" w:type="dxa"/>
            <w:shd w:val="clear" w:color="auto" w:fill="auto"/>
            <w:vAlign w:val="center"/>
            <w:hideMark/>
          </w:tcPr>
          <w:p w14:paraId="4B6953EA"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73</w:t>
            </w:r>
          </w:p>
        </w:tc>
        <w:tc>
          <w:tcPr>
            <w:tcW w:w="1341" w:type="dxa"/>
            <w:shd w:val="clear" w:color="auto" w:fill="auto"/>
            <w:vAlign w:val="center"/>
            <w:hideMark/>
          </w:tcPr>
          <w:p w14:paraId="22C510CD"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667" w:type="dxa"/>
            <w:shd w:val="clear" w:color="auto" w:fill="auto"/>
            <w:vAlign w:val="center"/>
            <w:hideMark/>
          </w:tcPr>
          <w:p w14:paraId="7D224550"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26 454</w:t>
            </w:r>
          </w:p>
        </w:tc>
        <w:tc>
          <w:tcPr>
            <w:tcW w:w="1341" w:type="dxa"/>
            <w:shd w:val="clear" w:color="auto" w:fill="auto"/>
            <w:vAlign w:val="center"/>
            <w:hideMark/>
          </w:tcPr>
          <w:p w14:paraId="26C9FAC9"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r>
      <w:tr w:rsidR="00001094" w:rsidRPr="00001094" w14:paraId="19A62F3A" w14:textId="77777777" w:rsidTr="00447135">
        <w:trPr>
          <w:trHeight w:val="570"/>
        </w:trPr>
        <w:tc>
          <w:tcPr>
            <w:tcW w:w="3100" w:type="dxa"/>
            <w:shd w:val="clear" w:color="auto" w:fill="auto"/>
            <w:vAlign w:val="center"/>
            <w:hideMark/>
          </w:tcPr>
          <w:p w14:paraId="703D488F" w14:textId="77777777" w:rsidR="00001094" w:rsidRPr="00001094" w:rsidRDefault="00001094" w:rsidP="00001094">
            <w:pPr>
              <w:rPr>
                <w:rFonts w:ascii="Times New Roman" w:eastAsia="Times New Roman" w:hAnsi="Times New Roman"/>
                <w:i/>
                <w:iCs/>
                <w:color w:val="000000"/>
                <w:sz w:val="20"/>
                <w:szCs w:val="20"/>
                <w:lang w:eastAsia="ru-RU"/>
              </w:rPr>
            </w:pPr>
            <w:r w:rsidRPr="00001094">
              <w:rPr>
                <w:rFonts w:ascii="Times New Roman" w:eastAsia="Times New Roman" w:hAnsi="Times New Roman"/>
                <w:i/>
                <w:iCs/>
                <w:color w:val="000000"/>
                <w:sz w:val="20"/>
                <w:szCs w:val="20"/>
                <w:lang w:eastAsia="ru-RU"/>
              </w:rPr>
              <w:t xml:space="preserve">Регулирование маржинальных требований </w:t>
            </w:r>
          </w:p>
        </w:tc>
        <w:tc>
          <w:tcPr>
            <w:tcW w:w="1571" w:type="dxa"/>
            <w:shd w:val="clear" w:color="auto" w:fill="auto"/>
            <w:vAlign w:val="center"/>
            <w:hideMark/>
          </w:tcPr>
          <w:p w14:paraId="7A159819"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341" w:type="dxa"/>
            <w:shd w:val="clear" w:color="auto" w:fill="auto"/>
            <w:vAlign w:val="center"/>
            <w:hideMark/>
          </w:tcPr>
          <w:p w14:paraId="2978E48E"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667" w:type="dxa"/>
            <w:shd w:val="clear" w:color="auto" w:fill="auto"/>
            <w:vAlign w:val="center"/>
            <w:hideMark/>
          </w:tcPr>
          <w:p w14:paraId="1DE4DD9A"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341" w:type="dxa"/>
            <w:shd w:val="clear" w:color="auto" w:fill="auto"/>
            <w:vAlign w:val="center"/>
            <w:hideMark/>
          </w:tcPr>
          <w:p w14:paraId="70161164"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r>
      <w:tr w:rsidR="00001094" w:rsidRPr="00001094" w14:paraId="7502E52B" w14:textId="77777777" w:rsidTr="00447135">
        <w:trPr>
          <w:trHeight w:val="255"/>
        </w:trPr>
        <w:tc>
          <w:tcPr>
            <w:tcW w:w="3100" w:type="dxa"/>
            <w:shd w:val="clear" w:color="auto" w:fill="auto"/>
            <w:vAlign w:val="center"/>
            <w:hideMark/>
          </w:tcPr>
          <w:p w14:paraId="176E8E54"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RUB</w:t>
            </w:r>
          </w:p>
        </w:tc>
        <w:tc>
          <w:tcPr>
            <w:tcW w:w="1571" w:type="dxa"/>
            <w:shd w:val="clear" w:color="auto" w:fill="auto"/>
            <w:vAlign w:val="center"/>
            <w:hideMark/>
          </w:tcPr>
          <w:p w14:paraId="0756E038"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14</w:t>
            </w:r>
          </w:p>
        </w:tc>
        <w:tc>
          <w:tcPr>
            <w:tcW w:w="1341" w:type="dxa"/>
            <w:shd w:val="clear" w:color="auto" w:fill="auto"/>
            <w:vAlign w:val="center"/>
            <w:hideMark/>
          </w:tcPr>
          <w:p w14:paraId="2AE4848F"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-59%</w:t>
            </w:r>
          </w:p>
        </w:tc>
        <w:tc>
          <w:tcPr>
            <w:tcW w:w="1667" w:type="dxa"/>
            <w:shd w:val="clear" w:color="auto" w:fill="auto"/>
            <w:vAlign w:val="center"/>
            <w:hideMark/>
          </w:tcPr>
          <w:p w14:paraId="1BBE2EFA"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2 409</w:t>
            </w:r>
          </w:p>
        </w:tc>
        <w:tc>
          <w:tcPr>
            <w:tcW w:w="1341" w:type="dxa"/>
            <w:shd w:val="clear" w:color="auto" w:fill="auto"/>
            <w:vAlign w:val="center"/>
            <w:hideMark/>
          </w:tcPr>
          <w:p w14:paraId="6A1CFC2B"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164%</w:t>
            </w:r>
          </w:p>
        </w:tc>
      </w:tr>
      <w:tr w:rsidR="00001094" w:rsidRPr="00001094" w14:paraId="62EE2667" w14:textId="77777777" w:rsidTr="00447135">
        <w:trPr>
          <w:trHeight w:val="255"/>
        </w:trPr>
        <w:tc>
          <w:tcPr>
            <w:tcW w:w="3100" w:type="dxa"/>
            <w:shd w:val="clear" w:color="auto" w:fill="auto"/>
            <w:vAlign w:val="center"/>
            <w:hideMark/>
          </w:tcPr>
          <w:p w14:paraId="0B1EA3E0" w14:textId="77777777" w:rsidR="00001094" w:rsidRPr="00001094" w:rsidRDefault="00001094" w:rsidP="00001094">
            <w:pPr>
              <w:rPr>
                <w:rFonts w:ascii="Times New Roman" w:eastAsia="Times New Roman" w:hAnsi="Times New Roman"/>
                <w:i/>
                <w:iCs/>
                <w:color w:val="000000"/>
                <w:sz w:val="20"/>
                <w:szCs w:val="20"/>
                <w:lang w:eastAsia="ru-RU"/>
              </w:rPr>
            </w:pPr>
            <w:r w:rsidRPr="00001094">
              <w:rPr>
                <w:rFonts w:ascii="Times New Roman" w:eastAsia="Times New Roman" w:hAnsi="Times New Roman"/>
                <w:i/>
                <w:iCs/>
                <w:color w:val="000000"/>
                <w:sz w:val="20"/>
                <w:szCs w:val="20"/>
                <w:lang w:eastAsia="ru-RU"/>
              </w:rPr>
              <w:t>Закрытие позиций</w:t>
            </w:r>
          </w:p>
        </w:tc>
        <w:tc>
          <w:tcPr>
            <w:tcW w:w="1571" w:type="dxa"/>
            <w:shd w:val="clear" w:color="auto" w:fill="auto"/>
            <w:vAlign w:val="center"/>
            <w:hideMark/>
          </w:tcPr>
          <w:p w14:paraId="31818897"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341" w:type="dxa"/>
            <w:shd w:val="clear" w:color="auto" w:fill="auto"/>
            <w:vAlign w:val="center"/>
            <w:hideMark/>
          </w:tcPr>
          <w:p w14:paraId="5161D5E2"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667" w:type="dxa"/>
            <w:shd w:val="clear" w:color="auto" w:fill="auto"/>
            <w:vAlign w:val="center"/>
            <w:hideMark/>
          </w:tcPr>
          <w:p w14:paraId="31570E74"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341" w:type="dxa"/>
            <w:shd w:val="clear" w:color="auto" w:fill="auto"/>
            <w:vAlign w:val="center"/>
            <w:hideMark/>
          </w:tcPr>
          <w:p w14:paraId="73D23953"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r>
      <w:tr w:rsidR="00001094" w:rsidRPr="00001094" w14:paraId="46B3BB72" w14:textId="77777777" w:rsidTr="00447135">
        <w:trPr>
          <w:trHeight w:val="255"/>
        </w:trPr>
        <w:tc>
          <w:tcPr>
            <w:tcW w:w="3100" w:type="dxa"/>
            <w:shd w:val="clear" w:color="auto" w:fill="auto"/>
            <w:vAlign w:val="center"/>
            <w:hideMark/>
          </w:tcPr>
          <w:p w14:paraId="654423FE"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USD</w:t>
            </w:r>
          </w:p>
        </w:tc>
        <w:tc>
          <w:tcPr>
            <w:tcW w:w="1571" w:type="dxa"/>
            <w:shd w:val="clear" w:color="auto" w:fill="auto"/>
            <w:vAlign w:val="center"/>
            <w:hideMark/>
          </w:tcPr>
          <w:p w14:paraId="0225BAAB"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17</w:t>
            </w:r>
          </w:p>
        </w:tc>
        <w:tc>
          <w:tcPr>
            <w:tcW w:w="1341" w:type="dxa"/>
            <w:shd w:val="clear" w:color="auto" w:fill="auto"/>
            <w:vAlign w:val="center"/>
            <w:hideMark/>
          </w:tcPr>
          <w:p w14:paraId="7C76DB1A"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89%</w:t>
            </w:r>
          </w:p>
        </w:tc>
        <w:tc>
          <w:tcPr>
            <w:tcW w:w="1667" w:type="dxa"/>
            <w:shd w:val="clear" w:color="auto" w:fill="auto"/>
            <w:vAlign w:val="center"/>
            <w:hideMark/>
          </w:tcPr>
          <w:p w14:paraId="76C0825C"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5 888</w:t>
            </w:r>
          </w:p>
        </w:tc>
        <w:tc>
          <w:tcPr>
            <w:tcW w:w="1341" w:type="dxa"/>
            <w:shd w:val="clear" w:color="auto" w:fill="auto"/>
            <w:vAlign w:val="center"/>
            <w:hideMark/>
          </w:tcPr>
          <w:p w14:paraId="5255F563"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640%</w:t>
            </w:r>
          </w:p>
        </w:tc>
      </w:tr>
      <w:tr w:rsidR="00001094" w:rsidRPr="00001094" w14:paraId="5EDB927F" w14:textId="77777777" w:rsidTr="00447135">
        <w:trPr>
          <w:trHeight w:val="255"/>
        </w:trPr>
        <w:tc>
          <w:tcPr>
            <w:tcW w:w="3100" w:type="dxa"/>
            <w:shd w:val="clear" w:color="auto" w:fill="auto"/>
            <w:vAlign w:val="center"/>
            <w:hideMark/>
          </w:tcPr>
          <w:p w14:paraId="782ACE24"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EUR</w:t>
            </w:r>
          </w:p>
        </w:tc>
        <w:tc>
          <w:tcPr>
            <w:tcW w:w="1571" w:type="dxa"/>
            <w:shd w:val="clear" w:color="auto" w:fill="auto"/>
            <w:vAlign w:val="center"/>
            <w:hideMark/>
          </w:tcPr>
          <w:p w14:paraId="1D333118"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12</w:t>
            </w:r>
          </w:p>
        </w:tc>
        <w:tc>
          <w:tcPr>
            <w:tcW w:w="1341" w:type="dxa"/>
            <w:shd w:val="clear" w:color="auto" w:fill="auto"/>
            <w:vAlign w:val="center"/>
            <w:hideMark/>
          </w:tcPr>
          <w:p w14:paraId="4FEF1C7E"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100%</w:t>
            </w:r>
          </w:p>
        </w:tc>
        <w:tc>
          <w:tcPr>
            <w:tcW w:w="1667" w:type="dxa"/>
            <w:shd w:val="clear" w:color="auto" w:fill="auto"/>
            <w:vAlign w:val="center"/>
            <w:hideMark/>
          </w:tcPr>
          <w:p w14:paraId="2324DF26"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2 281</w:t>
            </w:r>
          </w:p>
        </w:tc>
        <w:tc>
          <w:tcPr>
            <w:tcW w:w="1341" w:type="dxa"/>
            <w:shd w:val="clear" w:color="auto" w:fill="auto"/>
            <w:vAlign w:val="center"/>
            <w:hideMark/>
          </w:tcPr>
          <w:p w14:paraId="58917252"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72%</w:t>
            </w:r>
          </w:p>
        </w:tc>
      </w:tr>
      <w:tr w:rsidR="00001094" w:rsidRPr="00001094" w14:paraId="73407701" w14:textId="77777777" w:rsidTr="00447135">
        <w:trPr>
          <w:trHeight w:val="255"/>
        </w:trPr>
        <w:tc>
          <w:tcPr>
            <w:tcW w:w="3100" w:type="dxa"/>
            <w:shd w:val="clear" w:color="auto" w:fill="auto"/>
            <w:vAlign w:val="center"/>
            <w:hideMark/>
          </w:tcPr>
          <w:p w14:paraId="289002C1"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CHF</w:t>
            </w:r>
          </w:p>
        </w:tc>
        <w:tc>
          <w:tcPr>
            <w:tcW w:w="1571" w:type="dxa"/>
            <w:shd w:val="clear" w:color="auto" w:fill="auto"/>
            <w:vAlign w:val="center"/>
            <w:hideMark/>
          </w:tcPr>
          <w:p w14:paraId="37C6802E"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w:t>
            </w:r>
          </w:p>
        </w:tc>
        <w:tc>
          <w:tcPr>
            <w:tcW w:w="1341" w:type="dxa"/>
            <w:shd w:val="clear" w:color="auto" w:fill="auto"/>
            <w:vAlign w:val="center"/>
            <w:hideMark/>
          </w:tcPr>
          <w:p w14:paraId="553024EC"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667" w:type="dxa"/>
            <w:shd w:val="clear" w:color="auto" w:fill="auto"/>
            <w:vAlign w:val="center"/>
            <w:hideMark/>
          </w:tcPr>
          <w:p w14:paraId="33056520"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0</w:t>
            </w:r>
          </w:p>
        </w:tc>
        <w:tc>
          <w:tcPr>
            <w:tcW w:w="1341" w:type="dxa"/>
            <w:shd w:val="clear" w:color="auto" w:fill="auto"/>
            <w:vAlign w:val="center"/>
            <w:hideMark/>
          </w:tcPr>
          <w:p w14:paraId="71054BF9"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r>
      <w:tr w:rsidR="00001094" w:rsidRPr="00001094" w14:paraId="1A6CA9FD" w14:textId="77777777" w:rsidTr="00447135">
        <w:trPr>
          <w:trHeight w:val="255"/>
        </w:trPr>
        <w:tc>
          <w:tcPr>
            <w:tcW w:w="3100" w:type="dxa"/>
            <w:shd w:val="clear" w:color="auto" w:fill="auto"/>
            <w:vAlign w:val="center"/>
            <w:hideMark/>
          </w:tcPr>
          <w:p w14:paraId="0B2262C5"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GBP</w:t>
            </w:r>
          </w:p>
        </w:tc>
        <w:tc>
          <w:tcPr>
            <w:tcW w:w="1571" w:type="dxa"/>
            <w:shd w:val="clear" w:color="auto" w:fill="auto"/>
            <w:vAlign w:val="center"/>
            <w:hideMark/>
          </w:tcPr>
          <w:p w14:paraId="4133C75B"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w:t>
            </w:r>
          </w:p>
        </w:tc>
        <w:tc>
          <w:tcPr>
            <w:tcW w:w="1341" w:type="dxa"/>
            <w:shd w:val="clear" w:color="auto" w:fill="auto"/>
            <w:vAlign w:val="center"/>
            <w:hideMark/>
          </w:tcPr>
          <w:p w14:paraId="7A73B2D7"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667" w:type="dxa"/>
            <w:shd w:val="clear" w:color="auto" w:fill="auto"/>
            <w:vAlign w:val="center"/>
            <w:hideMark/>
          </w:tcPr>
          <w:p w14:paraId="43A0D891"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0</w:t>
            </w:r>
          </w:p>
        </w:tc>
        <w:tc>
          <w:tcPr>
            <w:tcW w:w="1341" w:type="dxa"/>
            <w:shd w:val="clear" w:color="auto" w:fill="auto"/>
            <w:vAlign w:val="center"/>
            <w:hideMark/>
          </w:tcPr>
          <w:p w14:paraId="0CA11343"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r>
      <w:tr w:rsidR="00001094" w:rsidRPr="00001094" w14:paraId="5F85BB50" w14:textId="77777777" w:rsidTr="00447135">
        <w:trPr>
          <w:trHeight w:val="255"/>
        </w:trPr>
        <w:tc>
          <w:tcPr>
            <w:tcW w:w="3100" w:type="dxa"/>
            <w:shd w:val="clear" w:color="auto" w:fill="auto"/>
            <w:vAlign w:val="center"/>
            <w:hideMark/>
          </w:tcPr>
          <w:p w14:paraId="55C20EAC"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CNY</w:t>
            </w:r>
          </w:p>
        </w:tc>
        <w:tc>
          <w:tcPr>
            <w:tcW w:w="1571" w:type="dxa"/>
            <w:shd w:val="clear" w:color="auto" w:fill="auto"/>
            <w:vAlign w:val="center"/>
            <w:hideMark/>
          </w:tcPr>
          <w:p w14:paraId="10B9CC6E"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5</w:t>
            </w:r>
          </w:p>
        </w:tc>
        <w:tc>
          <w:tcPr>
            <w:tcW w:w="1341" w:type="dxa"/>
            <w:shd w:val="clear" w:color="auto" w:fill="auto"/>
            <w:vAlign w:val="center"/>
            <w:hideMark/>
          </w:tcPr>
          <w:p w14:paraId="42E459AC"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667" w:type="dxa"/>
            <w:shd w:val="clear" w:color="auto" w:fill="auto"/>
            <w:vAlign w:val="center"/>
            <w:hideMark/>
          </w:tcPr>
          <w:p w14:paraId="4D5100C9"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0</w:t>
            </w:r>
          </w:p>
        </w:tc>
        <w:tc>
          <w:tcPr>
            <w:tcW w:w="1341" w:type="dxa"/>
            <w:shd w:val="clear" w:color="auto" w:fill="auto"/>
            <w:vAlign w:val="center"/>
            <w:hideMark/>
          </w:tcPr>
          <w:p w14:paraId="37980F0A"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r>
      <w:tr w:rsidR="00001094" w:rsidRPr="00001094" w14:paraId="6421B3EA" w14:textId="77777777" w:rsidTr="00447135">
        <w:trPr>
          <w:trHeight w:val="255"/>
        </w:trPr>
        <w:tc>
          <w:tcPr>
            <w:tcW w:w="9020" w:type="dxa"/>
            <w:gridSpan w:val="5"/>
            <w:shd w:val="clear" w:color="000000" w:fill="CCFFFF"/>
            <w:vAlign w:val="center"/>
            <w:hideMark/>
          </w:tcPr>
          <w:p w14:paraId="286FCD3F" w14:textId="77777777" w:rsidR="00001094" w:rsidRPr="00001094" w:rsidRDefault="00001094" w:rsidP="00001094">
            <w:pPr>
              <w:jc w:val="center"/>
              <w:rPr>
                <w:rFonts w:ascii="Times New Roman" w:eastAsia="Times New Roman" w:hAnsi="Times New Roman"/>
                <w:color w:val="000000"/>
                <w:sz w:val="24"/>
                <w:szCs w:val="24"/>
                <w:lang w:eastAsia="ru-RU"/>
              </w:rPr>
            </w:pPr>
            <w:r w:rsidRPr="00001094">
              <w:rPr>
                <w:rFonts w:ascii="Times New Roman" w:eastAsia="Times New Roman" w:hAnsi="Times New Roman"/>
                <w:color w:val="000000"/>
                <w:sz w:val="24"/>
                <w:szCs w:val="24"/>
                <w:lang w:eastAsia="ru-RU"/>
              </w:rPr>
              <w:t>Фондовый рынок</w:t>
            </w:r>
          </w:p>
        </w:tc>
      </w:tr>
      <w:tr w:rsidR="00001094" w:rsidRPr="00001094" w14:paraId="5E4C44F7" w14:textId="77777777" w:rsidTr="00447135">
        <w:trPr>
          <w:trHeight w:val="255"/>
        </w:trPr>
        <w:tc>
          <w:tcPr>
            <w:tcW w:w="3100" w:type="dxa"/>
            <w:shd w:val="clear" w:color="auto" w:fill="auto"/>
            <w:vAlign w:val="center"/>
            <w:hideMark/>
          </w:tcPr>
          <w:p w14:paraId="7C000387" w14:textId="77777777" w:rsidR="00001094" w:rsidRPr="00001094" w:rsidRDefault="00001094" w:rsidP="00001094">
            <w:pPr>
              <w:rPr>
                <w:rFonts w:ascii="Times New Roman" w:eastAsia="Times New Roman" w:hAnsi="Times New Roman"/>
                <w:i/>
                <w:iCs/>
                <w:color w:val="000000"/>
                <w:sz w:val="20"/>
                <w:szCs w:val="20"/>
                <w:lang w:eastAsia="ru-RU"/>
              </w:rPr>
            </w:pPr>
            <w:r w:rsidRPr="00001094">
              <w:rPr>
                <w:rFonts w:ascii="Times New Roman" w:eastAsia="Times New Roman" w:hAnsi="Times New Roman"/>
                <w:i/>
                <w:iCs/>
                <w:color w:val="000000"/>
                <w:sz w:val="20"/>
                <w:szCs w:val="20"/>
                <w:lang w:eastAsia="ru-RU"/>
              </w:rPr>
              <w:t>Перенос позиций (РЕПО+СВОП+К/П)</w:t>
            </w:r>
          </w:p>
        </w:tc>
        <w:tc>
          <w:tcPr>
            <w:tcW w:w="1571" w:type="dxa"/>
            <w:shd w:val="clear" w:color="auto" w:fill="auto"/>
            <w:vAlign w:val="center"/>
            <w:hideMark/>
          </w:tcPr>
          <w:p w14:paraId="279444FC"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341" w:type="dxa"/>
            <w:shd w:val="clear" w:color="auto" w:fill="auto"/>
            <w:vAlign w:val="center"/>
            <w:hideMark/>
          </w:tcPr>
          <w:p w14:paraId="7E274398"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667" w:type="dxa"/>
            <w:shd w:val="clear" w:color="auto" w:fill="auto"/>
            <w:vAlign w:val="center"/>
            <w:hideMark/>
          </w:tcPr>
          <w:p w14:paraId="43592C6F"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341" w:type="dxa"/>
            <w:shd w:val="clear" w:color="auto" w:fill="auto"/>
            <w:vAlign w:val="center"/>
            <w:hideMark/>
          </w:tcPr>
          <w:p w14:paraId="4F0A6EDF"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r>
      <w:tr w:rsidR="00001094" w:rsidRPr="00001094" w14:paraId="728FA66D" w14:textId="77777777" w:rsidTr="00447135">
        <w:trPr>
          <w:trHeight w:val="255"/>
        </w:trPr>
        <w:tc>
          <w:tcPr>
            <w:tcW w:w="3100" w:type="dxa"/>
            <w:shd w:val="clear" w:color="auto" w:fill="auto"/>
            <w:vAlign w:val="center"/>
            <w:hideMark/>
          </w:tcPr>
          <w:p w14:paraId="2EFE9D69"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RUB</w:t>
            </w:r>
          </w:p>
        </w:tc>
        <w:tc>
          <w:tcPr>
            <w:tcW w:w="1571" w:type="dxa"/>
            <w:shd w:val="clear" w:color="auto" w:fill="auto"/>
            <w:vAlign w:val="center"/>
            <w:hideMark/>
          </w:tcPr>
          <w:p w14:paraId="78E98B46"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757</w:t>
            </w:r>
          </w:p>
        </w:tc>
        <w:tc>
          <w:tcPr>
            <w:tcW w:w="1341" w:type="dxa"/>
            <w:shd w:val="clear" w:color="auto" w:fill="auto"/>
            <w:vAlign w:val="center"/>
            <w:hideMark/>
          </w:tcPr>
          <w:p w14:paraId="3290FD3C"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41%</w:t>
            </w:r>
          </w:p>
        </w:tc>
        <w:tc>
          <w:tcPr>
            <w:tcW w:w="1667" w:type="dxa"/>
            <w:shd w:val="clear" w:color="auto" w:fill="auto"/>
            <w:vAlign w:val="center"/>
            <w:hideMark/>
          </w:tcPr>
          <w:p w14:paraId="7F4FA38F"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90 103</w:t>
            </w:r>
          </w:p>
        </w:tc>
        <w:tc>
          <w:tcPr>
            <w:tcW w:w="1341" w:type="dxa"/>
            <w:shd w:val="clear" w:color="auto" w:fill="auto"/>
            <w:vAlign w:val="center"/>
            <w:hideMark/>
          </w:tcPr>
          <w:p w14:paraId="2D42B111"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142%</w:t>
            </w:r>
          </w:p>
        </w:tc>
      </w:tr>
      <w:tr w:rsidR="00001094" w:rsidRPr="00001094" w14:paraId="1606586E" w14:textId="77777777" w:rsidTr="00447135">
        <w:trPr>
          <w:trHeight w:val="255"/>
        </w:trPr>
        <w:tc>
          <w:tcPr>
            <w:tcW w:w="3100" w:type="dxa"/>
            <w:shd w:val="clear" w:color="auto" w:fill="auto"/>
            <w:vAlign w:val="center"/>
            <w:hideMark/>
          </w:tcPr>
          <w:p w14:paraId="0BF087DB" w14:textId="77777777" w:rsidR="00001094" w:rsidRPr="00001094" w:rsidRDefault="00001094" w:rsidP="00001094">
            <w:pPr>
              <w:rPr>
                <w:rFonts w:ascii="Times New Roman" w:eastAsia="Times New Roman" w:hAnsi="Times New Roman"/>
                <w:i/>
                <w:iCs/>
                <w:color w:val="000000"/>
                <w:sz w:val="20"/>
                <w:szCs w:val="20"/>
                <w:lang w:eastAsia="ru-RU"/>
              </w:rPr>
            </w:pPr>
            <w:r w:rsidRPr="00001094">
              <w:rPr>
                <w:rFonts w:ascii="Times New Roman" w:eastAsia="Times New Roman" w:hAnsi="Times New Roman"/>
                <w:i/>
                <w:iCs/>
                <w:color w:val="000000"/>
                <w:sz w:val="20"/>
                <w:szCs w:val="20"/>
                <w:lang w:eastAsia="ru-RU"/>
              </w:rPr>
              <w:t>Закрытие позиций (Купля-продажа+ЛН+Т+2)</w:t>
            </w:r>
          </w:p>
        </w:tc>
        <w:tc>
          <w:tcPr>
            <w:tcW w:w="1571" w:type="dxa"/>
            <w:shd w:val="clear" w:color="auto" w:fill="auto"/>
            <w:vAlign w:val="center"/>
            <w:hideMark/>
          </w:tcPr>
          <w:p w14:paraId="25989189"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341" w:type="dxa"/>
            <w:shd w:val="clear" w:color="auto" w:fill="auto"/>
            <w:vAlign w:val="center"/>
            <w:hideMark/>
          </w:tcPr>
          <w:p w14:paraId="6913F85A"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667" w:type="dxa"/>
            <w:shd w:val="clear" w:color="auto" w:fill="auto"/>
            <w:vAlign w:val="center"/>
            <w:hideMark/>
          </w:tcPr>
          <w:p w14:paraId="3E2B8EC1"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341" w:type="dxa"/>
            <w:shd w:val="clear" w:color="auto" w:fill="auto"/>
            <w:vAlign w:val="center"/>
            <w:hideMark/>
          </w:tcPr>
          <w:p w14:paraId="281057D5"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r>
      <w:tr w:rsidR="00001094" w:rsidRPr="00001094" w14:paraId="1D49DDA7" w14:textId="77777777" w:rsidTr="00447135">
        <w:trPr>
          <w:trHeight w:val="255"/>
        </w:trPr>
        <w:tc>
          <w:tcPr>
            <w:tcW w:w="3100" w:type="dxa"/>
            <w:shd w:val="clear" w:color="auto" w:fill="auto"/>
            <w:vAlign w:val="center"/>
            <w:hideMark/>
          </w:tcPr>
          <w:p w14:paraId="0C7B2378"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RUB</w:t>
            </w:r>
          </w:p>
        </w:tc>
        <w:tc>
          <w:tcPr>
            <w:tcW w:w="1571" w:type="dxa"/>
            <w:shd w:val="clear" w:color="auto" w:fill="auto"/>
            <w:vAlign w:val="center"/>
            <w:hideMark/>
          </w:tcPr>
          <w:p w14:paraId="6B0C6C36"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6</w:t>
            </w:r>
          </w:p>
        </w:tc>
        <w:tc>
          <w:tcPr>
            <w:tcW w:w="1341" w:type="dxa"/>
            <w:shd w:val="clear" w:color="auto" w:fill="auto"/>
            <w:vAlign w:val="center"/>
            <w:hideMark/>
          </w:tcPr>
          <w:p w14:paraId="56A0479B"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-54%</w:t>
            </w:r>
          </w:p>
        </w:tc>
        <w:tc>
          <w:tcPr>
            <w:tcW w:w="1667" w:type="dxa"/>
            <w:shd w:val="clear" w:color="auto" w:fill="auto"/>
            <w:vAlign w:val="center"/>
            <w:hideMark/>
          </w:tcPr>
          <w:p w14:paraId="5DE7E60A"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559</w:t>
            </w:r>
          </w:p>
        </w:tc>
        <w:tc>
          <w:tcPr>
            <w:tcW w:w="1341" w:type="dxa"/>
            <w:shd w:val="clear" w:color="auto" w:fill="auto"/>
            <w:vAlign w:val="center"/>
            <w:hideMark/>
          </w:tcPr>
          <w:p w14:paraId="2470FA95"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-97%</w:t>
            </w:r>
          </w:p>
        </w:tc>
      </w:tr>
      <w:tr w:rsidR="00001094" w:rsidRPr="00001094" w14:paraId="7EF72CAA" w14:textId="77777777" w:rsidTr="00447135">
        <w:trPr>
          <w:trHeight w:val="255"/>
        </w:trPr>
        <w:tc>
          <w:tcPr>
            <w:tcW w:w="9020" w:type="dxa"/>
            <w:gridSpan w:val="5"/>
            <w:shd w:val="clear" w:color="000000" w:fill="CCFFFF"/>
            <w:vAlign w:val="center"/>
            <w:hideMark/>
          </w:tcPr>
          <w:p w14:paraId="35C919FF" w14:textId="77777777" w:rsidR="00001094" w:rsidRPr="00001094" w:rsidRDefault="00001094" w:rsidP="00001094">
            <w:pPr>
              <w:jc w:val="center"/>
              <w:rPr>
                <w:rFonts w:ascii="Times New Roman" w:eastAsia="Times New Roman" w:hAnsi="Times New Roman"/>
                <w:color w:val="000000"/>
                <w:sz w:val="24"/>
                <w:szCs w:val="24"/>
                <w:lang w:eastAsia="ru-RU"/>
              </w:rPr>
            </w:pPr>
            <w:r w:rsidRPr="00001094">
              <w:rPr>
                <w:rFonts w:ascii="Times New Roman" w:eastAsia="Times New Roman" w:hAnsi="Times New Roman"/>
                <w:color w:val="000000"/>
                <w:sz w:val="24"/>
                <w:szCs w:val="24"/>
                <w:lang w:eastAsia="ru-RU"/>
              </w:rPr>
              <w:t>Срочный  рынок</w:t>
            </w:r>
          </w:p>
        </w:tc>
      </w:tr>
      <w:tr w:rsidR="00001094" w:rsidRPr="00001094" w14:paraId="4920DF01" w14:textId="77777777" w:rsidTr="00447135">
        <w:trPr>
          <w:trHeight w:val="255"/>
        </w:trPr>
        <w:tc>
          <w:tcPr>
            <w:tcW w:w="3100" w:type="dxa"/>
            <w:shd w:val="clear" w:color="auto" w:fill="auto"/>
            <w:vAlign w:val="center"/>
            <w:hideMark/>
          </w:tcPr>
          <w:p w14:paraId="6B797E93" w14:textId="77777777" w:rsidR="00001094" w:rsidRPr="00001094" w:rsidRDefault="00001094" w:rsidP="00001094">
            <w:pPr>
              <w:rPr>
                <w:rFonts w:ascii="Times New Roman" w:eastAsia="Times New Roman" w:hAnsi="Times New Roman"/>
                <w:i/>
                <w:iCs/>
                <w:color w:val="000000"/>
                <w:sz w:val="20"/>
                <w:szCs w:val="20"/>
                <w:lang w:eastAsia="ru-RU"/>
              </w:rPr>
            </w:pPr>
            <w:r w:rsidRPr="00001094">
              <w:rPr>
                <w:rFonts w:ascii="Times New Roman" w:eastAsia="Times New Roman" w:hAnsi="Times New Roman"/>
                <w:i/>
                <w:iCs/>
                <w:color w:val="000000"/>
                <w:sz w:val="20"/>
                <w:szCs w:val="20"/>
                <w:lang w:eastAsia="ru-RU"/>
              </w:rPr>
              <w:t>Закрытие позиций (маржинальное требование)</w:t>
            </w:r>
          </w:p>
        </w:tc>
        <w:tc>
          <w:tcPr>
            <w:tcW w:w="1571" w:type="dxa"/>
            <w:shd w:val="clear" w:color="auto" w:fill="auto"/>
            <w:vAlign w:val="center"/>
            <w:hideMark/>
          </w:tcPr>
          <w:p w14:paraId="2EF9C151"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341" w:type="dxa"/>
            <w:shd w:val="clear" w:color="auto" w:fill="auto"/>
            <w:vAlign w:val="center"/>
            <w:hideMark/>
          </w:tcPr>
          <w:p w14:paraId="3E7A1A44"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667" w:type="dxa"/>
            <w:shd w:val="clear" w:color="auto" w:fill="auto"/>
            <w:vAlign w:val="center"/>
            <w:hideMark/>
          </w:tcPr>
          <w:p w14:paraId="6D4E745F"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c>
          <w:tcPr>
            <w:tcW w:w="1341" w:type="dxa"/>
            <w:shd w:val="clear" w:color="auto" w:fill="auto"/>
            <w:vAlign w:val="center"/>
            <w:hideMark/>
          </w:tcPr>
          <w:p w14:paraId="75D36043"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r>
      <w:tr w:rsidR="00001094" w:rsidRPr="00001094" w14:paraId="5902F4D4" w14:textId="77777777" w:rsidTr="00447135">
        <w:trPr>
          <w:trHeight w:val="255"/>
        </w:trPr>
        <w:tc>
          <w:tcPr>
            <w:tcW w:w="3100" w:type="dxa"/>
            <w:shd w:val="clear" w:color="auto" w:fill="auto"/>
            <w:vAlign w:val="center"/>
            <w:hideMark/>
          </w:tcPr>
          <w:p w14:paraId="0D17FC2A"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RUB</w:t>
            </w:r>
          </w:p>
        </w:tc>
        <w:tc>
          <w:tcPr>
            <w:tcW w:w="1571" w:type="dxa"/>
            <w:shd w:val="clear" w:color="auto" w:fill="auto"/>
            <w:vAlign w:val="center"/>
            <w:hideMark/>
          </w:tcPr>
          <w:p w14:paraId="6C317FB7"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w:t>
            </w:r>
          </w:p>
        </w:tc>
        <w:tc>
          <w:tcPr>
            <w:tcW w:w="1341" w:type="dxa"/>
            <w:shd w:val="clear" w:color="auto" w:fill="auto"/>
            <w:vAlign w:val="center"/>
            <w:hideMark/>
          </w:tcPr>
          <w:p w14:paraId="41FD92FB"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-50%</w:t>
            </w:r>
          </w:p>
        </w:tc>
        <w:tc>
          <w:tcPr>
            <w:tcW w:w="1667" w:type="dxa"/>
            <w:shd w:val="clear" w:color="auto" w:fill="auto"/>
            <w:vAlign w:val="center"/>
            <w:hideMark/>
          </w:tcPr>
          <w:p w14:paraId="37FC78A2"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22</w:t>
            </w:r>
          </w:p>
        </w:tc>
        <w:tc>
          <w:tcPr>
            <w:tcW w:w="1341" w:type="dxa"/>
            <w:shd w:val="clear" w:color="auto" w:fill="auto"/>
            <w:vAlign w:val="center"/>
            <w:hideMark/>
          </w:tcPr>
          <w:p w14:paraId="6BACA355"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-75%</w:t>
            </w:r>
          </w:p>
        </w:tc>
      </w:tr>
      <w:tr w:rsidR="00001094" w:rsidRPr="00001094" w14:paraId="658CB2BF" w14:textId="77777777" w:rsidTr="00447135">
        <w:trPr>
          <w:trHeight w:val="255"/>
        </w:trPr>
        <w:tc>
          <w:tcPr>
            <w:tcW w:w="3100" w:type="dxa"/>
            <w:shd w:val="clear" w:color="auto" w:fill="auto"/>
            <w:noWrap/>
            <w:vAlign w:val="bottom"/>
            <w:hideMark/>
          </w:tcPr>
          <w:p w14:paraId="61775A15" w14:textId="77777777" w:rsidR="00001094" w:rsidRPr="00001094" w:rsidRDefault="00001094" w:rsidP="00001094">
            <w:pPr>
              <w:rPr>
                <w:rFonts w:eastAsia="Times New Roman"/>
                <w:color w:val="000000"/>
                <w:lang w:eastAsia="ru-RU"/>
              </w:rPr>
            </w:pPr>
            <w:r w:rsidRPr="00001094">
              <w:rPr>
                <w:rFonts w:eastAsia="Times New Roman"/>
                <w:color w:val="000000"/>
                <w:lang w:eastAsia="ru-RU"/>
              </w:rPr>
              <w:t>*реализация ИКО на СР</w:t>
            </w:r>
          </w:p>
        </w:tc>
        <w:tc>
          <w:tcPr>
            <w:tcW w:w="1571" w:type="dxa"/>
            <w:shd w:val="clear" w:color="auto" w:fill="auto"/>
            <w:vAlign w:val="center"/>
            <w:hideMark/>
          </w:tcPr>
          <w:p w14:paraId="3AC7B524"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w:t>
            </w:r>
          </w:p>
        </w:tc>
        <w:tc>
          <w:tcPr>
            <w:tcW w:w="1341" w:type="dxa"/>
            <w:shd w:val="clear" w:color="auto" w:fill="auto"/>
            <w:vAlign w:val="center"/>
            <w:hideMark/>
          </w:tcPr>
          <w:p w14:paraId="1A7CF3EE"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0%</w:t>
            </w:r>
          </w:p>
        </w:tc>
        <w:tc>
          <w:tcPr>
            <w:tcW w:w="1667" w:type="dxa"/>
            <w:shd w:val="clear" w:color="auto" w:fill="auto"/>
            <w:vAlign w:val="center"/>
            <w:hideMark/>
          </w:tcPr>
          <w:p w14:paraId="46A6C0BC"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11</w:t>
            </w:r>
          </w:p>
        </w:tc>
        <w:tc>
          <w:tcPr>
            <w:tcW w:w="1341" w:type="dxa"/>
            <w:shd w:val="clear" w:color="auto" w:fill="auto"/>
            <w:vAlign w:val="center"/>
            <w:hideMark/>
          </w:tcPr>
          <w:p w14:paraId="063CCCE2"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0%</w:t>
            </w:r>
          </w:p>
        </w:tc>
      </w:tr>
      <w:tr w:rsidR="00001094" w:rsidRPr="00001094" w14:paraId="0BD5A489" w14:textId="77777777" w:rsidTr="00447135">
        <w:trPr>
          <w:trHeight w:val="255"/>
        </w:trPr>
        <w:tc>
          <w:tcPr>
            <w:tcW w:w="9020" w:type="dxa"/>
            <w:gridSpan w:val="5"/>
            <w:shd w:val="clear" w:color="000000" w:fill="FFFFCC"/>
            <w:vAlign w:val="center"/>
            <w:hideMark/>
          </w:tcPr>
          <w:p w14:paraId="61B22F83" w14:textId="77777777" w:rsidR="00001094" w:rsidRPr="00001094" w:rsidRDefault="00001094" w:rsidP="00001094">
            <w:pPr>
              <w:jc w:val="center"/>
              <w:rPr>
                <w:rFonts w:ascii="Times New Roman" w:eastAsia="Times New Roman" w:hAnsi="Times New Roman"/>
                <w:color w:val="000000"/>
                <w:sz w:val="24"/>
                <w:szCs w:val="24"/>
                <w:lang w:eastAsia="ru-RU"/>
              </w:rPr>
            </w:pPr>
            <w:r w:rsidRPr="00001094">
              <w:rPr>
                <w:rFonts w:ascii="Times New Roman" w:eastAsia="Times New Roman" w:hAnsi="Times New Roman"/>
                <w:color w:val="000000"/>
                <w:sz w:val="24"/>
                <w:szCs w:val="24"/>
                <w:lang w:eastAsia="ru-RU"/>
              </w:rPr>
              <w:t>ИТОГО</w:t>
            </w:r>
          </w:p>
        </w:tc>
      </w:tr>
      <w:tr w:rsidR="00001094" w:rsidRPr="00001094" w14:paraId="5376BE8D" w14:textId="77777777" w:rsidTr="00447135">
        <w:trPr>
          <w:trHeight w:val="255"/>
        </w:trPr>
        <w:tc>
          <w:tcPr>
            <w:tcW w:w="3100" w:type="dxa"/>
            <w:shd w:val="clear" w:color="auto" w:fill="auto"/>
            <w:vAlign w:val="center"/>
            <w:hideMark/>
          </w:tcPr>
          <w:p w14:paraId="1E15DD7C"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USD</w:t>
            </w:r>
          </w:p>
        </w:tc>
        <w:tc>
          <w:tcPr>
            <w:tcW w:w="1571" w:type="dxa"/>
            <w:shd w:val="clear" w:color="auto" w:fill="auto"/>
            <w:vAlign w:val="center"/>
            <w:hideMark/>
          </w:tcPr>
          <w:p w14:paraId="47DE9CFD"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273</w:t>
            </w:r>
          </w:p>
        </w:tc>
        <w:tc>
          <w:tcPr>
            <w:tcW w:w="1341" w:type="dxa"/>
            <w:shd w:val="clear" w:color="auto" w:fill="auto"/>
            <w:vAlign w:val="center"/>
            <w:hideMark/>
          </w:tcPr>
          <w:p w14:paraId="42395F91"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28%</w:t>
            </w:r>
          </w:p>
        </w:tc>
        <w:tc>
          <w:tcPr>
            <w:tcW w:w="1667" w:type="dxa"/>
            <w:shd w:val="clear" w:color="auto" w:fill="auto"/>
            <w:vAlign w:val="center"/>
            <w:hideMark/>
          </w:tcPr>
          <w:p w14:paraId="2E14065C"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90 533</w:t>
            </w:r>
          </w:p>
        </w:tc>
        <w:tc>
          <w:tcPr>
            <w:tcW w:w="1341" w:type="dxa"/>
            <w:shd w:val="clear" w:color="auto" w:fill="auto"/>
            <w:vAlign w:val="center"/>
            <w:hideMark/>
          </w:tcPr>
          <w:p w14:paraId="5144B23D"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20%</w:t>
            </w:r>
          </w:p>
        </w:tc>
      </w:tr>
      <w:tr w:rsidR="00001094" w:rsidRPr="00001094" w14:paraId="2895C8A1" w14:textId="77777777" w:rsidTr="00447135">
        <w:trPr>
          <w:trHeight w:val="255"/>
        </w:trPr>
        <w:tc>
          <w:tcPr>
            <w:tcW w:w="3100" w:type="dxa"/>
            <w:shd w:val="clear" w:color="auto" w:fill="auto"/>
            <w:vAlign w:val="center"/>
            <w:hideMark/>
          </w:tcPr>
          <w:p w14:paraId="0D7912C0"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EUR</w:t>
            </w:r>
          </w:p>
        </w:tc>
        <w:tc>
          <w:tcPr>
            <w:tcW w:w="1571" w:type="dxa"/>
            <w:shd w:val="clear" w:color="auto" w:fill="auto"/>
            <w:vAlign w:val="center"/>
            <w:hideMark/>
          </w:tcPr>
          <w:p w14:paraId="78D0F5F6"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156</w:t>
            </w:r>
          </w:p>
        </w:tc>
        <w:tc>
          <w:tcPr>
            <w:tcW w:w="1341" w:type="dxa"/>
            <w:shd w:val="clear" w:color="auto" w:fill="auto"/>
            <w:vAlign w:val="center"/>
            <w:hideMark/>
          </w:tcPr>
          <w:p w14:paraId="0378D0A3"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27%</w:t>
            </w:r>
          </w:p>
        </w:tc>
        <w:tc>
          <w:tcPr>
            <w:tcW w:w="1667" w:type="dxa"/>
            <w:shd w:val="clear" w:color="auto" w:fill="auto"/>
            <w:vAlign w:val="center"/>
            <w:hideMark/>
          </w:tcPr>
          <w:p w14:paraId="4CE8B0D7"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40 835</w:t>
            </w:r>
          </w:p>
        </w:tc>
        <w:tc>
          <w:tcPr>
            <w:tcW w:w="1341" w:type="dxa"/>
            <w:shd w:val="clear" w:color="auto" w:fill="auto"/>
            <w:vAlign w:val="center"/>
            <w:hideMark/>
          </w:tcPr>
          <w:p w14:paraId="15D507B8"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315%</w:t>
            </w:r>
          </w:p>
        </w:tc>
      </w:tr>
      <w:tr w:rsidR="00001094" w:rsidRPr="00001094" w14:paraId="2EBA0756" w14:textId="77777777" w:rsidTr="00447135">
        <w:trPr>
          <w:trHeight w:val="255"/>
        </w:trPr>
        <w:tc>
          <w:tcPr>
            <w:tcW w:w="3100" w:type="dxa"/>
            <w:shd w:val="clear" w:color="auto" w:fill="auto"/>
            <w:vAlign w:val="center"/>
            <w:hideMark/>
          </w:tcPr>
          <w:p w14:paraId="153E9777"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CNY</w:t>
            </w:r>
          </w:p>
        </w:tc>
        <w:tc>
          <w:tcPr>
            <w:tcW w:w="1571" w:type="dxa"/>
            <w:shd w:val="clear" w:color="auto" w:fill="auto"/>
            <w:vAlign w:val="center"/>
            <w:hideMark/>
          </w:tcPr>
          <w:p w14:paraId="1D4574F1"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21</w:t>
            </w:r>
          </w:p>
        </w:tc>
        <w:tc>
          <w:tcPr>
            <w:tcW w:w="1341" w:type="dxa"/>
            <w:shd w:val="clear" w:color="auto" w:fill="auto"/>
            <w:vAlign w:val="center"/>
            <w:hideMark/>
          </w:tcPr>
          <w:p w14:paraId="0CA40AAF"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0%</w:t>
            </w:r>
          </w:p>
        </w:tc>
        <w:tc>
          <w:tcPr>
            <w:tcW w:w="1667" w:type="dxa"/>
            <w:shd w:val="clear" w:color="auto" w:fill="auto"/>
            <w:vAlign w:val="center"/>
            <w:hideMark/>
          </w:tcPr>
          <w:p w14:paraId="0C3A99D8"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273</w:t>
            </w:r>
          </w:p>
        </w:tc>
        <w:tc>
          <w:tcPr>
            <w:tcW w:w="1341" w:type="dxa"/>
            <w:shd w:val="clear" w:color="auto" w:fill="auto"/>
            <w:vAlign w:val="center"/>
            <w:hideMark/>
          </w:tcPr>
          <w:p w14:paraId="3F2CA4C6"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-82%</w:t>
            </w:r>
          </w:p>
        </w:tc>
      </w:tr>
      <w:tr w:rsidR="00001094" w:rsidRPr="00001094" w14:paraId="0A5AD65D" w14:textId="77777777" w:rsidTr="00447135">
        <w:trPr>
          <w:trHeight w:val="255"/>
        </w:trPr>
        <w:tc>
          <w:tcPr>
            <w:tcW w:w="3100" w:type="dxa"/>
            <w:shd w:val="clear" w:color="auto" w:fill="auto"/>
            <w:vAlign w:val="center"/>
            <w:hideMark/>
          </w:tcPr>
          <w:p w14:paraId="31B84C0E"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GBP</w:t>
            </w:r>
          </w:p>
        </w:tc>
        <w:tc>
          <w:tcPr>
            <w:tcW w:w="1571" w:type="dxa"/>
            <w:shd w:val="clear" w:color="auto" w:fill="auto"/>
            <w:vAlign w:val="center"/>
            <w:hideMark/>
          </w:tcPr>
          <w:p w14:paraId="064A7873"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11</w:t>
            </w:r>
          </w:p>
        </w:tc>
        <w:tc>
          <w:tcPr>
            <w:tcW w:w="1341" w:type="dxa"/>
            <w:shd w:val="clear" w:color="auto" w:fill="auto"/>
            <w:vAlign w:val="center"/>
            <w:hideMark/>
          </w:tcPr>
          <w:p w14:paraId="71FB9291"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0%</w:t>
            </w:r>
          </w:p>
        </w:tc>
        <w:tc>
          <w:tcPr>
            <w:tcW w:w="1667" w:type="dxa"/>
            <w:shd w:val="clear" w:color="auto" w:fill="auto"/>
            <w:vAlign w:val="center"/>
            <w:hideMark/>
          </w:tcPr>
          <w:p w14:paraId="5B32A6C1"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158</w:t>
            </w:r>
          </w:p>
        </w:tc>
        <w:tc>
          <w:tcPr>
            <w:tcW w:w="1341" w:type="dxa"/>
            <w:shd w:val="clear" w:color="auto" w:fill="auto"/>
            <w:vAlign w:val="center"/>
            <w:hideMark/>
          </w:tcPr>
          <w:p w14:paraId="41343179"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19%</w:t>
            </w:r>
          </w:p>
        </w:tc>
      </w:tr>
      <w:tr w:rsidR="00001094" w:rsidRPr="00001094" w14:paraId="597E401F" w14:textId="77777777" w:rsidTr="00447135">
        <w:trPr>
          <w:trHeight w:val="255"/>
        </w:trPr>
        <w:tc>
          <w:tcPr>
            <w:tcW w:w="3100" w:type="dxa"/>
            <w:shd w:val="clear" w:color="auto" w:fill="auto"/>
            <w:vAlign w:val="center"/>
            <w:hideMark/>
          </w:tcPr>
          <w:p w14:paraId="59DE545F"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HKD</w:t>
            </w:r>
          </w:p>
        </w:tc>
        <w:tc>
          <w:tcPr>
            <w:tcW w:w="1571" w:type="dxa"/>
            <w:shd w:val="clear" w:color="auto" w:fill="auto"/>
            <w:vAlign w:val="center"/>
            <w:hideMark/>
          </w:tcPr>
          <w:p w14:paraId="4157AF42"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w:t>
            </w:r>
          </w:p>
        </w:tc>
        <w:tc>
          <w:tcPr>
            <w:tcW w:w="1341" w:type="dxa"/>
            <w:shd w:val="clear" w:color="auto" w:fill="auto"/>
            <w:vAlign w:val="center"/>
            <w:hideMark/>
          </w:tcPr>
          <w:p w14:paraId="5BEB3C49"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-33%</w:t>
            </w:r>
          </w:p>
        </w:tc>
        <w:tc>
          <w:tcPr>
            <w:tcW w:w="1667" w:type="dxa"/>
            <w:shd w:val="clear" w:color="auto" w:fill="auto"/>
            <w:vAlign w:val="center"/>
            <w:hideMark/>
          </w:tcPr>
          <w:p w14:paraId="6A749708"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7</w:t>
            </w:r>
          </w:p>
        </w:tc>
        <w:tc>
          <w:tcPr>
            <w:tcW w:w="1341" w:type="dxa"/>
            <w:shd w:val="clear" w:color="auto" w:fill="auto"/>
            <w:vAlign w:val="center"/>
            <w:hideMark/>
          </w:tcPr>
          <w:p w14:paraId="15D2F7EF"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-100%</w:t>
            </w:r>
          </w:p>
        </w:tc>
      </w:tr>
      <w:tr w:rsidR="00001094" w:rsidRPr="00001094" w14:paraId="057B0878" w14:textId="77777777" w:rsidTr="00447135">
        <w:trPr>
          <w:trHeight w:val="255"/>
        </w:trPr>
        <w:tc>
          <w:tcPr>
            <w:tcW w:w="3100" w:type="dxa"/>
            <w:shd w:val="clear" w:color="auto" w:fill="auto"/>
            <w:vAlign w:val="center"/>
            <w:hideMark/>
          </w:tcPr>
          <w:p w14:paraId="5B6EDD38"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BYR</w:t>
            </w:r>
          </w:p>
        </w:tc>
        <w:tc>
          <w:tcPr>
            <w:tcW w:w="1571" w:type="dxa"/>
            <w:shd w:val="clear" w:color="auto" w:fill="auto"/>
            <w:vAlign w:val="center"/>
            <w:hideMark/>
          </w:tcPr>
          <w:p w14:paraId="4729A621"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w:t>
            </w:r>
          </w:p>
        </w:tc>
        <w:tc>
          <w:tcPr>
            <w:tcW w:w="1341" w:type="dxa"/>
            <w:shd w:val="clear" w:color="auto" w:fill="auto"/>
            <w:vAlign w:val="center"/>
            <w:hideMark/>
          </w:tcPr>
          <w:p w14:paraId="23D71256"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0%</w:t>
            </w:r>
          </w:p>
        </w:tc>
        <w:tc>
          <w:tcPr>
            <w:tcW w:w="1667" w:type="dxa"/>
            <w:shd w:val="clear" w:color="auto" w:fill="auto"/>
            <w:vAlign w:val="center"/>
            <w:hideMark/>
          </w:tcPr>
          <w:p w14:paraId="0CE738A0"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2</w:t>
            </w:r>
          </w:p>
        </w:tc>
        <w:tc>
          <w:tcPr>
            <w:tcW w:w="1341" w:type="dxa"/>
            <w:shd w:val="clear" w:color="auto" w:fill="auto"/>
            <w:vAlign w:val="center"/>
            <w:hideMark/>
          </w:tcPr>
          <w:p w14:paraId="1D73FB43"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0%</w:t>
            </w:r>
          </w:p>
        </w:tc>
      </w:tr>
      <w:tr w:rsidR="00001094" w:rsidRPr="00001094" w14:paraId="12BBF1A7" w14:textId="77777777" w:rsidTr="00447135">
        <w:trPr>
          <w:trHeight w:val="255"/>
        </w:trPr>
        <w:tc>
          <w:tcPr>
            <w:tcW w:w="3100" w:type="dxa"/>
            <w:shd w:val="clear" w:color="auto" w:fill="auto"/>
            <w:vAlign w:val="center"/>
            <w:hideMark/>
          </w:tcPr>
          <w:p w14:paraId="5C008FE0"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CHF</w:t>
            </w:r>
          </w:p>
        </w:tc>
        <w:tc>
          <w:tcPr>
            <w:tcW w:w="1571" w:type="dxa"/>
            <w:shd w:val="clear" w:color="auto" w:fill="auto"/>
            <w:vAlign w:val="center"/>
            <w:hideMark/>
          </w:tcPr>
          <w:p w14:paraId="1C9C6BA1"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14</w:t>
            </w:r>
          </w:p>
        </w:tc>
        <w:tc>
          <w:tcPr>
            <w:tcW w:w="1341" w:type="dxa"/>
            <w:shd w:val="clear" w:color="auto" w:fill="auto"/>
            <w:vAlign w:val="center"/>
            <w:hideMark/>
          </w:tcPr>
          <w:p w14:paraId="37D9BE81"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600%</w:t>
            </w:r>
          </w:p>
        </w:tc>
        <w:tc>
          <w:tcPr>
            <w:tcW w:w="1667" w:type="dxa"/>
            <w:shd w:val="clear" w:color="auto" w:fill="auto"/>
            <w:vAlign w:val="center"/>
            <w:hideMark/>
          </w:tcPr>
          <w:p w14:paraId="376E2B7D"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123</w:t>
            </w:r>
          </w:p>
        </w:tc>
        <w:tc>
          <w:tcPr>
            <w:tcW w:w="1341" w:type="dxa"/>
            <w:shd w:val="clear" w:color="auto" w:fill="auto"/>
            <w:vAlign w:val="center"/>
            <w:hideMark/>
          </w:tcPr>
          <w:p w14:paraId="18871EF9"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r>
      <w:tr w:rsidR="00001094" w:rsidRPr="00001094" w14:paraId="30C3607F" w14:textId="77777777" w:rsidTr="00447135">
        <w:trPr>
          <w:trHeight w:val="255"/>
        </w:trPr>
        <w:tc>
          <w:tcPr>
            <w:tcW w:w="3100" w:type="dxa"/>
            <w:shd w:val="clear" w:color="auto" w:fill="auto"/>
            <w:vAlign w:val="center"/>
            <w:hideMark/>
          </w:tcPr>
          <w:p w14:paraId="4F325A2D"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GLD</w:t>
            </w:r>
          </w:p>
        </w:tc>
        <w:tc>
          <w:tcPr>
            <w:tcW w:w="1571" w:type="dxa"/>
            <w:shd w:val="clear" w:color="auto" w:fill="auto"/>
            <w:vAlign w:val="center"/>
            <w:hideMark/>
          </w:tcPr>
          <w:p w14:paraId="59BA4743"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1</w:t>
            </w:r>
          </w:p>
        </w:tc>
        <w:tc>
          <w:tcPr>
            <w:tcW w:w="1341" w:type="dxa"/>
            <w:shd w:val="clear" w:color="auto" w:fill="auto"/>
            <w:vAlign w:val="center"/>
            <w:hideMark/>
          </w:tcPr>
          <w:p w14:paraId="5A4CCA27"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-50%</w:t>
            </w:r>
          </w:p>
        </w:tc>
        <w:tc>
          <w:tcPr>
            <w:tcW w:w="1667" w:type="dxa"/>
            <w:shd w:val="clear" w:color="auto" w:fill="auto"/>
            <w:vAlign w:val="center"/>
            <w:hideMark/>
          </w:tcPr>
          <w:p w14:paraId="4EF41AD3"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69</w:t>
            </w:r>
          </w:p>
        </w:tc>
        <w:tc>
          <w:tcPr>
            <w:tcW w:w="1341" w:type="dxa"/>
            <w:shd w:val="clear" w:color="auto" w:fill="auto"/>
            <w:vAlign w:val="center"/>
            <w:hideMark/>
          </w:tcPr>
          <w:p w14:paraId="05B5F6A2"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 </w:t>
            </w:r>
          </w:p>
        </w:tc>
      </w:tr>
      <w:tr w:rsidR="00001094" w:rsidRPr="00001094" w14:paraId="6224B95C" w14:textId="77777777" w:rsidTr="00447135">
        <w:trPr>
          <w:trHeight w:val="255"/>
        </w:trPr>
        <w:tc>
          <w:tcPr>
            <w:tcW w:w="3100" w:type="dxa"/>
            <w:shd w:val="clear" w:color="auto" w:fill="auto"/>
            <w:vAlign w:val="center"/>
            <w:hideMark/>
          </w:tcPr>
          <w:p w14:paraId="5259B217" w14:textId="77777777" w:rsidR="00001094" w:rsidRPr="00001094" w:rsidRDefault="00001094" w:rsidP="00001094">
            <w:pPr>
              <w:jc w:val="right"/>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RUB</w:t>
            </w:r>
          </w:p>
        </w:tc>
        <w:tc>
          <w:tcPr>
            <w:tcW w:w="1571" w:type="dxa"/>
            <w:shd w:val="clear" w:color="auto" w:fill="auto"/>
            <w:vAlign w:val="center"/>
            <w:hideMark/>
          </w:tcPr>
          <w:p w14:paraId="561200E9"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780</w:t>
            </w:r>
          </w:p>
        </w:tc>
        <w:tc>
          <w:tcPr>
            <w:tcW w:w="1341" w:type="dxa"/>
            <w:shd w:val="clear" w:color="auto" w:fill="auto"/>
            <w:vAlign w:val="center"/>
            <w:hideMark/>
          </w:tcPr>
          <w:p w14:paraId="0BB9BB59"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33%</w:t>
            </w:r>
          </w:p>
        </w:tc>
        <w:tc>
          <w:tcPr>
            <w:tcW w:w="1667" w:type="dxa"/>
            <w:shd w:val="clear" w:color="auto" w:fill="auto"/>
            <w:vAlign w:val="center"/>
            <w:hideMark/>
          </w:tcPr>
          <w:p w14:paraId="6F54EA7E"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93 104</w:t>
            </w:r>
          </w:p>
        </w:tc>
        <w:tc>
          <w:tcPr>
            <w:tcW w:w="1341" w:type="dxa"/>
            <w:shd w:val="clear" w:color="auto" w:fill="auto"/>
            <w:vAlign w:val="center"/>
            <w:hideMark/>
          </w:tcPr>
          <w:p w14:paraId="27B4E793" w14:textId="77777777" w:rsidR="00001094" w:rsidRPr="00001094" w:rsidRDefault="00001094" w:rsidP="00001094">
            <w:pPr>
              <w:jc w:val="center"/>
              <w:rPr>
                <w:rFonts w:ascii="Times New Roman" w:eastAsia="Times New Roman" w:hAnsi="Times New Roman"/>
                <w:color w:val="000000"/>
                <w:sz w:val="20"/>
                <w:szCs w:val="20"/>
                <w:lang w:eastAsia="ru-RU"/>
              </w:rPr>
            </w:pPr>
            <w:r w:rsidRPr="00001094">
              <w:rPr>
                <w:rFonts w:ascii="Times New Roman" w:eastAsia="Times New Roman" w:hAnsi="Times New Roman"/>
                <w:color w:val="000000"/>
                <w:sz w:val="20"/>
                <w:szCs w:val="20"/>
                <w:lang w:eastAsia="ru-RU"/>
              </w:rPr>
              <w:t>64%</w:t>
            </w:r>
          </w:p>
        </w:tc>
      </w:tr>
    </w:tbl>
    <w:p w14:paraId="35E7D8C9"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p>
    <w:p w14:paraId="6D4883F3"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p>
    <w:p w14:paraId="11FB0588" w14:textId="77777777" w:rsidR="00001094" w:rsidRPr="00001094" w:rsidRDefault="00001094" w:rsidP="00001094">
      <w:pPr>
        <w:widowControl w:val="0"/>
        <w:overflowPunct w:val="0"/>
        <w:autoSpaceDE w:val="0"/>
        <w:autoSpaceDN w:val="0"/>
        <w:adjustRightInd w:val="0"/>
        <w:ind w:left="7788"/>
        <w:jc w:val="both"/>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Рисунок 1</w:t>
      </w:r>
    </w:p>
    <w:p w14:paraId="660FED5F" w14:textId="77777777" w:rsidR="00001094" w:rsidRPr="00001094" w:rsidRDefault="00001094" w:rsidP="00001094">
      <w:pPr>
        <w:widowControl w:val="0"/>
        <w:overflowPunct w:val="0"/>
        <w:autoSpaceDE w:val="0"/>
        <w:autoSpaceDN w:val="0"/>
        <w:adjustRightInd w:val="0"/>
        <w:ind w:firstLine="357"/>
        <w:jc w:val="both"/>
        <w:textAlignment w:val="baseline"/>
        <w:rPr>
          <w:rFonts w:ascii="Times New Roman" w:eastAsia="Times New Roman" w:hAnsi="Times New Roman"/>
          <w:sz w:val="24"/>
          <w:szCs w:val="24"/>
          <w:lang w:eastAsia="ru-RU"/>
        </w:rPr>
      </w:pPr>
      <w:r w:rsidRPr="00001094">
        <w:rPr>
          <w:rFonts w:ascii="Times New Roman" w:eastAsia="Times New Roman" w:hAnsi="Times New Roman"/>
          <w:noProof/>
          <w:sz w:val="20"/>
          <w:szCs w:val="20"/>
          <w:lang w:eastAsia="ru-RU"/>
        </w:rPr>
        <w:lastRenderedPageBreak/>
        <w:drawing>
          <wp:inline distT="0" distB="0" distL="0" distR="0" wp14:anchorId="0713A60B" wp14:editId="5442F235">
            <wp:extent cx="5940425" cy="3761740"/>
            <wp:effectExtent l="0" t="0" r="3175" b="1016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C1253D8" w14:textId="77777777" w:rsidR="00001094" w:rsidRPr="00001094" w:rsidRDefault="00001094" w:rsidP="00001094">
      <w:pPr>
        <w:widowControl w:val="0"/>
        <w:overflowPunct w:val="0"/>
        <w:autoSpaceDE w:val="0"/>
        <w:autoSpaceDN w:val="0"/>
        <w:adjustRightInd w:val="0"/>
        <w:ind w:firstLine="357"/>
        <w:jc w:val="both"/>
        <w:textAlignment w:val="baseline"/>
        <w:rPr>
          <w:rFonts w:ascii="Times New Roman" w:eastAsia="Times New Roman" w:hAnsi="Times New Roman"/>
          <w:sz w:val="24"/>
          <w:szCs w:val="24"/>
          <w:lang w:eastAsia="ru-RU"/>
        </w:rPr>
      </w:pPr>
    </w:p>
    <w:p w14:paraId="36274263" w14:textId="77777777" w:rsidR="00001094" w:rsidRPr="00001094" w:rsidRDefault="00001094" w:rsidP="00001094">
      <w:pPr>
        <w:widowControl w:val="0"/>
        <w:overflowPunct w:val="0"/>
        <w:autoSpaceDE w:val="0"/>
        <w:autoSpaceDN w:val="0"/>
        <w:adjustRightInd w:val="0"/>
        <w:ind w:firstLine="357"/>
        <w:jc w:val="both"/>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xml:space="preserve"> Большое внимание по-прежнему уделяется ликвидности НКЦ и мерам по обеспечению безусловного выполнения обязательств центрального контрагента. В целях повышения надежности проведения расчетов по итогам клиринга в 2017 году был увеличен объем потенциального рефинансирования. В рамках Генерального кредитного договора на предоставление кредитов Банка России, обеспеченных залогом (блокировкой) ценных бумаг, лимит кредитования увеличен до 50 миллиардов рублей. Также с целью доступа к дополнительным источникам рефинансирования заключено Генеральное соглашение о покупке (продаже) ценных бумаг по договорам РЕПО с Федеральным казначейством.</w:t>
      </w:r>
    </w:p>
    <w:p w14:paraId="1B2A9D4B" w14:textId="77777777" w:rsidR="00001094" w:rsidRPr="00001094" w:rsidRDefault="00001094" w:rsidP="00001094">
      <w:pPr>
        <w:widowControl w:val="0"/>
        <w:overflowPunct w:val="0"/>
        <w:autoSpaceDE w:val="0"/>
        <w:autoSpaceDN w:val="0"/>
        <w:adjustRightInd w:val="0"/>
        <w:ind w:firstLine="357"/>
        <w:jc w:val="both"/>
        <w:textAlignment w:val="baseline"/>
        <w:rPr>
          <w:rFonts w:ascii="Times New Roman" w:eastAsia="Times New Roman" w:hAnsi="Times New Roman"/>
          <w:sz w:val="24"/>
          <w:szCs w:val="24"/>
          <w:lang w:eastAsia="ru-RU"/>
        </w:rPr>
      </w:pPr>
    </w:p>
    <w:p w14:paraId="4CE10B1B" w14:textId="77777777" w:rsidR="00001094" w:rsidRPr="00001094" w:rsidRDefault="00001094" w:rsidP="00001094">
      <w:pPr>
        <w:widowControl w:val="0"/>
        <w:overflowPunct w:val="0"/>
        <w:autoSpaceDE w:val="0"/>
        <w:autoSpaceDN w:val="0"/>
        <w:adjustRightInd w:val="0"/>
        <w:ind w:firstLine="357"/>
        <w:jc w:val="both"/>
        <w:textAlignment w:val="baseline"/>
        <w:rPr>
          <w:rFonts w:ascii="Times New Roman" w:eastAsia="Times New Roman" w:hAnsi="Times New Roman"/>
          <w:sz w:val="24"/>
          <w:szCs w:val="24"/>
          <w:lang w:eastAsia="ru-RU"/>
        </w:rPr>
      </w:pPr>
      <w:r w:rsidRPr="00001094">
        <w:rPr>
          <w:rFonts w:ascii="Times New Roman" w:eastAsia="Times New Roman" w:hAnsi="Times New Roman"/>
          <w:sz w:val="24"/>
          <w:szCs w:val="24"/>
          <w:lang w:eastAsia="ru-RU"/>
        </w:rPr>
        <w:t xml:space="preserve"> В рамках обеспечения расчетов по клирингу осуществляется расширение корреспондентской сети НКЦ. Так в 2017 году был открыт корреспондентский счет в турецких лирах в </w:t>
      </w:r>
      <w:r w:rsidRPr="00001094">
        <w:rPr>
          <w:rFonts w:ascii="Times New Roman" w:eastAsia="Times New Roman" w:hAnsi="Times New Roman"/>
          <w:sz w:val="24"/>
          <w:szCs w:val="24"/>
          <w:lang w:val="en-US" w:eastAsia="ru-RU"/>
        </w:rPr>
        <w:t>DENIZBANK</w:t>
      </w:r>
      <w:r w:rsidRPr="00001094">
        <w:rPr>
          <w:rFonts w:ascii="Times New Roman" w:eastAsia="Times New Roman" w:hAnsi="Times New Roman"/>
          <w:sz w:val="24"/>
          <w:szCs w:val="24"/>
          <w:lang w:eastAsia="ru-RU"/>
        </w:rPr>
        <w:t xml:space="preserve"> </w:t>
      </w:r>
      <w:r w:rsidRPr="00001094">
        <w:rPr>
          <w:rFonts w:ascii="Times New Roman" w:eastAsia="Times New Roman" w:hAnsi="Times New Roman"/>
          <w:sz w:val="24"/>
          <w:szCs w:val="24"/>
          <w:lang w:val="en-US" w:eastAsia="ru-RU"/>
        </w:rPr>
        <w:t>A</w:t>
      </w:r>
      <w:r w:rsidRPr="00001094">
        <w:rPr>
          <w:rFonts w:ascii="Times New Roman" w:eastAsia="Times New Roman" w:hAnsi="Times New Roman"/>
          <w:sz w:val="24"/>
          <w:szCs w:val="24"/>
          <w:lang w:eastAsia="ru-RU"/>
        </w:rPr>
        <w:t>.</w:t>
      </w:r>
      <w:r w:rsidRPr="00001094">
        <w:rPr>
          <w:rFonts w:ascii="Times New Roman" w:eastAsia="Times New Roman" w:hAnsi="Times New Roman"/>
          <w:sz w:val="24"/>
          <w:szCs w:val="24"/>
          <w:lang w:val="en-US" w:eastAsia="ru-RU"/>
        </w:rPr>
        <w:t>S</w:t>
      </w:r>
      <w:r w:rsidRPr="00001094">
        <w:rPr>
          <w:rFonts w:ascii="Times New Roman" w:eastAsia="Times New Roman" w:hAnsi="Times New Roman"/>
          <w:sz w:val="24"/>
          <w:szCs w:val="24"/>
          <w:lang w:eastAsia="ru-RU"/>
        </w:rPr>
        <w:t>., Турция</w:t>
      </w:r>
      <w:r w:rsidR="00E21A8F">
        <w:rPr>
          <w:rFonts w:ascii="Times New Roman" w:eastAsia="Times New Roman" w:hAnsi="Times New Roman"/>
          <w:sz w:val="24"/>
          <w:szCs w:val="24"/>
          <w:lang w:eastAsia="ru-RU"/>
        </w:rPr>
        <w:t xml:space="preserve"> в связи с запуском торгов турецкой лирой</w:t>
      </w:r>
      <w:r w:rsidRPr="00001094">
        <w:rPr>
          <w:rFonts w:ascii="Times New Roman" w:eastAsia="Times New Roman" w:hAnsi="Times New Roman"/>
          <w:sz w:val="24"/>
          <w:szCs w:val="24"/>
          <w:lang w:eastAsia="ru-RU"/>
        </w:rPr>
        <w:t>.</w:t>
      </w:r>
    </w:p>
    <w:p w14:paraId="7073E1DF" w14:textId="77777777" w:rsidR="00001094" w:rsidRPr="00001094" w:rsidRDefault="00001094" w:rsidP="00001094">
      <w:pPr>
        <w:widowControl w:val="0"/>
        <w:overflowPunct w:val="0"/>
        <w:autoSpaceDE w:val="0"/>
        <w:autoSpaceDN w:val="0"/>
        <w:adjustRightInd w:val="0"/>
        <w:ind w:firstLine="360"/>
        <w:jc w:val="both"/>
        <w:textAlignment w:val="baseline"/>
        <w:rPr>
          <w:rFonts w:ascii="Times New Roman" w:eastAsia="Times New Roman" w:hAnsi="Times New Roman"/>
          <w:sz w:val="24"/>
          <w:szCs w:val="24"/>
          <w:highlight w:val="yellow"/>
          <w:lang w:eastAsia="ru-RU"/>
        </w:rPr>
      </w:pPr>
    </w:p>
    <w:p w14:paraId="00B80D77" w14:textId="0CA4108E" w:rsidR="00001094" w:rsidRDefault="00EB266F" w:rsidP="00722C56">
      <w:pPr>
        <w:widowControl w:val="0"/>
        <w:overflowPunct w:val="0"/>
        <w:autoSpaceDE w:val="0"/>
        <w:autoSpaceDN w:val="0"/>
        <w:adjustRightInd w:val="0"/>
        <w:ind w:firstLine="360"/>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01094" w:rsidRPr="00001094">
        <w:rPr>
          <w:rFonts w:ascii="Times New Roman" w:eastAsia="Times New Roman" w:hAnsi="Times New Roman"/>
          <w:sz w:val="24"/>
          <w:szCs w:val="24"/>
          <w:lang w:eastAsia="ru-RU"/>
        </w:rPr>
        <w:t>Сформированный в 2017 году портфель активов НКЦ учитывает продолжение тренда на снижение Банком России ключевой ставки. Ожидается, что к концу 2018 года Банк России в основном закончит цикл снижения ключевой ставки и перейдет к умеренной денежно-кредитной политике. Это потребует изменения стратегии формирования активов с точки зрения соотношения риска и доходности при более низких процентных ставках. Дополнительным фактором, влияющим на стратегию</w:t>
      </w:r>
      <w:r w:rsidR="00C52172">
        <w:rPr>
          <w:rFonts w:ascii="Times New Roman" w:eastAsia="Times New Roman" w:hAnsi="Times New Roman"/>
          <w:sz w:val="24"/>
          <w:szCs w:val="24"/>
          <w:lang w:eastAsia="ru-RU"/>
        </w:rPr>
        <w:t>,</w:t>
      </w:r>
      <w:r w:rsidR="00001094" w:rsidRPr="00001094">
        <w:rPr>
          <w:rFonts w:ascii="Times New Roman" w:eastAsia="Times New Roman" w:hAnsi="Times New Roman"/>
          <w:sz w:val="24"/>
          <w:szCs w:val="24"/>
          <w:lang w:eastAsia="ru-RU"/>
        </w:rPr>
        <w:t xml:space="preserve"> могут стать действия Европейского Центрального Банка и ФРС США по изменению ключевых ставок. Также возможно влияние на стратегию НКЦ в связи с изменениями объема и профиля пассивов, связанными как с внедрением новых биржевых продуктов на Московской Бирже, так и с совершенствованием Правил клиринга, например, введением</w:t>
      </w:r>
      <w:r w:rsidR="00722C56">
        <w:rPr>
          <w:rFonts w:ascii="Times New Roman" w:eastAsia="Times New Roman" w:hAnsi="Times New Roman"/>
          <w:sz w:val="24"/>
          <w:szCs w:val="24"/>
          <w:lang w:eastAsia="ru-RU"/>
        </w:rPr>
        <w:t xml:space="preserve"> единого лимита по всем рынкам.</w:t>
      </w:r>
    </w:p>
    <w:p w14:paraId="0D1BD9D3" w14:textId="77777777" w:rsidR="00447135" w:rsidRDefault="00447135" w:rsidP="00722C56">
      <w:pPr>
        <w:widowControl w:val="0"/>
        <w:overflowPunct w:val="0"/>
        <w:autoSpaceDE w:val="0"/>
        <w:autoSpaceDN w:val="0"/>
        <w:adjustRightInd w:val="0"/>
        <w:ind w:firstLine="360"/>
        <w:jc w:val="both"/>
        <w:textAlignment w:val="baseline"/>
        <w:rPr>
          <w:rFonts w:ascii="Times New Roman" w:eastAsia="Times New Roman" w:hAnsi="Times New Roman"/>
          <w:b/>
          <w:sz w:val="28"/>
          <w:szCs w:val="28"/>
          <w:lang w:eastAsia="ru-RU"/>
        </w:rPr>
      </w:pPr>
    </w:p>
    <w:p w14:paraId="4F1100E5" w14:textId="770E3E8F" w:rsidR="00EA71B4" w:rsidRPr="00944739" w:rsidRDefault="00D33150" w:rsidP="00EA71B4">
      <w:pPr>
        <w:widowControl w:val="0"/>
        <w:overflowPunct w:val="0"/>
        <w:autoSpaceDE w:val="0"/>
        <w:autoSpaceDN w:val="0"/>
        <w:adjustRightInd w:val="0"/>
        <w:ind w:firstLine="360"/>
        <w:jc w:val="center"/>
        <w:textAlignment w:val="baseline"/>
        <w:outlineLvl w:val="0"/>
        <w:rPr>
          <w:rFonts w:ascii="Times New Roman" w:eastAsia="Times New Roman" w:hAnsi="Times New Roman"/>
          <w:b/>
          <w:sz w:val="32"/>
          <w:szCs w:val="32"/>
          <w:lang w:eastAsia="ru-RU"/>
        </w:rPr>
      </w:pPr>
      <w:bookmarkStart w:id="12" w:name="_Toc510776661"/>
      <w:r w:rsidRPr="00944739">
        <w:rPr>
          <w:rFonts w:ascii="Times New Roman" w:eastAsia="Times New Roman" w:hAnsi="Times New Roman" w:cs="Arial"/>
          <w:b/>
          <w:sz w:val="32"/>
          <w:szCs w:val="32"/>
          <w:lang w:eastAsia="ru-RU"/>
        </w:rPr>
        <w:t>7. Управление рисками, включая меры по поддержанию качества управления НКО НКЦ  (АО) как ЦК</w:t>
      </w:r>
      <w:bookmarkEnd w:id="12"/>
      <w:r w:rsidR="00090201" w:rsidRPr="00944739">
        <w:rPr>
          <w:rFonts w:ascii="Times New Roman" w:eastAsia="Times New Roman" w:hAnsi="Times New Roman"/>
          <w:b/>
          <w:sz w:val="32"/>
          <w:szCs w:val="32"/>
          <w:lang w:eastAsia="ru-RU"/>
        </w:rPr>
        <w:t xml:space="preserve"> </w:t>
      </w:r>
    </w:p>
    <w:p w14:paraId="1FCA4E1D" w14:textId="57C75E1D" w:rsidR="00D33150" w:rsidRPr="007A0F11" w:rsidRDefault="00D33150" w:rsidP="00EA71B4">
      <w:pPr>
        <w:pStyle w:val="2"/>
        <w:numPr>
          <w:ilvl w:val="1"/>
          <w:numId w:val="67"/>
        </w:numPr>
        <w:jc w:val="center"/>
        <w:rPr>
          <w:rFonts w:ascii="Times New Roman" w:eastAsia="Calibri" w:hAnsi="Times New Roman" w:cs="Times New Roman"/>
          <w:b/>
          <w:color w:val="auto"/>
          <w:sz w:val="28"/>
          <w:szCs w:val="28"/>
        </w:rPr>
      </w:pPr>
      <w:bookmarkStart w:id="13" w:name="_Toc510776662"/>
      <w:r w:rsidRPr="007A0F11">
        <w:rPr>
          <w:rFonts w:ascii="Times New Roman" w:eastAsia="Calibri" w:hAnsi="Times New Roman" w:cs="Times New Roman"/>
          <w:b/>
          <w:color w:val="auto"/>
          <w:sz w:val="28"/>
          <w:szCs w:val="28"/>
        </w:rPr>
        <w:lastRenderedPageBreak/>
        <w:t>Соответствие системы управления рисками требованиям регулятора и международным стандартам</w:t>
      </w:r>
      <w:bookmarkEnd w:id="13"/>
    </w:p>
    <w:p w14:paraId="2F237947" w14:textId="77777777" w:rsidR="00D33150" w:rsidRPr="00341240" w:rsidRDefault="00D33150" w:rsidP="00D33150">
      <w:pPr>
        <w:jc w:val="center"/>
        <w:rPr>
          <w:rFonts w:ascii="Times New Roman" w:eastAsia="Calibri" w:hAnsi="Times New Roman"/>
          <w:b/>
          <w:sz w:val="24"/>
          <w:szCs w:val="24"/>
        </w:rPr>
      </w:pPr>
    </w:p>
    <w:p w14:paraId="7EF0669A" w14:textId="4FB8C07F" w:rsidR="00D33150" w:rsidRPr="00341240" w:rsidRDefault="0098619E" w:rsidP="0098619E">
      <w:pPr>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 xml:space="preserve">НКЦ, выполняя функции клиринговой организации, центрального контрагента </w:t>
      </w:r>
      <w:r w:rsidR="00D33150">
        <w:rPr>
          <w:rFonts w:ascii="Times New Roman" w:eastAsia="Calibri" w:hAnsi="Times New Roman"/>
          <w:sz w:val="24"/>
          <w:szCs w:val="24"/>
        </w:rPr>
        <w:t>и</w:t>
      </w:r>
      <w:r w:rsidR="00D33150" w:rsidRPr="00A835FC">
        <w:rPr>
          <w:rFonts w:ascii="Times New Roman" w:eastAsia="Calibri" w:hAnsi="Times New Roman"/>
          <w:sz w:val="24"/>
          <w:szCs w:val="24"/>
        </w:rPr>
        <w:t xml:space="preserve"> </w:t>
      </w:r>
      <w:r w:rsidR="00D33150" w:rsidRPr="00341240">
        <w:rPr>
          <w:rFonts w:ascii="Times New Roman" w:eastAsia="Calibri" w:hAnsi="Times New Roman"/>
          <w:sz w:val="24"/>
          <w:szCs w:val="24"/>
        </w:rPr>
        <w:t>оператора</w:t>
      </w:r>
      <w:r w:rsidR="00D33150">
        <w:rPr>
          <w:rFonts w:ascii="Times New Roman" w:eastAsia="Calibri" w:hAnsi="Times New Roman"/>
          <w:sz w:val="24"/>
          <w:szCs w:val="24"/>
        </w:rPr>
        <w:t xml:space="preserve"> товарных поставок</w:t>
      </w:r>
      <w:r w:rsidR="00D33150" w:rsidRPr="00341240">
        <w:rPr>
          <w:rFonts w:ascii="Times New Roman" w:eastAsia="Calibri" w:hAnsi="Times New Roman"/>
          <w:sz w:val="24"/>
          <w:szCs w:val="24"/>
        </w:rPr>
        <w:t xml:space="preserve"> на рынках Группы «Московская Биржа», использует в своей деятельности современную, отвечающую международным стандартам систему управления рисками (СУР)</w:t>
      </w:r>
      <w:r w:rsidR="00D33150">
        <w:rPr>
          <w:rFonts w:ascii="Times New Roman" w:eastAsia="Calibri" w:hAnsi="Times New Roman"/>
          <w:sz w:val="24"/>
          <w:szCs w:val="24"/>
        </w:rPr>
        <w:t>.</w:t>
      </w:r>
      <w:r w:rsidR="00D33150" w:rsidRPr="00341240">
        <w:rPr>
          <w:rFonts w:ascii="Times New Roman" w:eastAsia="Calibri" w:hAnsi="Times New Roman"/>
          <w:sz w:val="24"/>
          <w:szCs w:val="24"/>
        </w:rPr>
        <w:t xml:space="preserve"> </w:t>
      </w:r>
    </w:p>
    <w:p w14:paraId="7EF7B092" w14:textId="77777777" w:rsidR="0098619E" w:rsidRDefault="0098619E" w:rsidP="0098619E">
      <w:pPr>
        <w:widowControl w:val="0"/>
        <w:autoSpaceDE w:val="0"/>
        <w:autoSpaceDN w:val="0"/>
        <w:adjustRightInd w:val="0"/>
        <w:jc w:val="both"/>
        <w:rPr>
          <w:rFonts w:ascii="Times New Roman" w:eastAsia="Calibri" w:hAnsi="Times New Roman"/>
          <w:sz w:val="24"/>
        </w:rPr>
      </w:pPr>
      <w:r>
        <w:rPr>
          <w:rFonts w:ascii="Times New Roman" w:eastAsia="Calibri" w:hAnsi="Times New Roman"/>
          <w:sz w:val="24"/>
        </w:rPr>
        <w:t xml:space="preserve">     </w:t>
      </w:r>
    </w:p>
    <w:p w14:paraId="679D2747" w14:textId="67FF4C12" w:rsidR="00D33150" w:rsidRPr="00341240" w:rsidRDefault="0098619E" w:rsidP="0098619E">
      <w:pPr>
        <w:widowControl w:val="0"/>
        <w:autoSpaceDE w:val="0"/>
        <w:autoSpaceDN w:val="0"/>
        <w:adjustRightInd w:val="0"/>
        <w:jc w:val="both"/>
        <w:rPr>
          <w:rFonts w:ascii="Times New Roman" w:eastAsia="Calibri" w:hAnsi="Times New Roman"/>
          <w:sz w:val="24"/>
        </w:rPr>
      </w:pPr>
      <w:r>
        <w:rPr>
          <w:rFonts w:ascii="Times New Roman" w:eastAsia="Calibri" w:hAnsi="Times New Roman"/>
          <w:sz w:val="24"/>
        </w:rPr>
        <w:t xml:space="preserve">     </w:t>
      </w:r>
      <w:r w:rsidR="00D33150" w:rsidRPr="00341240">
        <w:rPr>
          <w:rFonts w:ascii="Times New Roman" w:eastAsia="Calibri" w:hAnsi="Times New Roman"/>
          <w:sz w:val="24"/>
        </w:rPr>
        <w:t>Исходя из функций и задач, НКЦ имеет специфическую структуру рисков, которая состоит из следующих взаимосвязанных групп:</w:t>
      </w:r>
    </w:p>
    <w:p w14:paraId="12F8C4A9" w14:textId="77777777" w:rsidR="00D33150" w:rsidRPr="00341240" w:rsidRDefault="00D33150" w:rsidP="00D33150">
      <w:pPr>
        <w:numPr>
          <w:ilvl w:val="0"/>
          <w:numId w:val="7"/>
        </w:numPr>
        <w:spacing w:line="276" w:lineRule="auto"/>
        <w:jc w:val="both"/>
        <w:rPr>
          <w:rFonts w:ascii="Times New Roman" w:eastAsia="Calibri" w:hAnsi="Times New Roman"/>
          <w:sz w:val="24"/>
          <w:szCs w:val="24"/>
        </w:rPr>
      </w:pPr>
      <w:r w:rsidRPr="00341240">
        <w:rPr>
          <w:rFonts w:ascii="Times New Roman" w:eastAsia="Calibri" w:hAnsi="Times New Roman"/>
          <w:sz w:val="24"/>
          <w:szCs w:val="24"/>
        </w:rPr>
        <w:t>риски, присущие НКЦ как центральному контрагенту и клиринговой организации;</w:t>
      </w:r>
    </w:p>
    <w:p w14:paraId="6C9D3027" w14:textId="77777777" w:rsidR="00D33150" w:rsidRPr="00341240" w:rsidRDefault="00D33150" w:rsidP="00D33150">
      <w:pPr>
        <w:numPr>
          <w:ilvl w:val="0"/>
          <w:numId w:val="7"/>
        </w:numPr>
        <w:spacing w:line="276" w:lineRule="auto"/>
        <w:jc w:val="both"/>
        <w:rPr>
          <w:rFonts w:ascii="Times New Roman" w:eastAsia="Calibri" w:hAnsi="Times New Roman"/>
          <w:sz w:val="24"/>
          <w:szCs w:val="24"/>
        </w:rPr>
      </w:pPr>
      <w:r w:rsidRPr="00341240">
        <w:rPr>
          <w:rFonts w:ascii="Times New Roman" w:eastAsia="Calibri" w:hAnsi="Times New Roman"/>
          <w:sz w:val="24"/>
          <w:szCs w:val="24"/>
        </w:rPr>
        <w:t>риски банковской деятельности;</w:t>
      </w:r>
    </w:p>
    <w:p w14:paraId="654D412D" w14:textId="77777777" w:rsidR="00D33150" w:rsidRPr="00341240" w:rsidRDefault="00D33150" w:rsidP="00D33150">
      <w:pPr>
        <w:numPr>
          <w:ilvl w:val="0"/>
          <w:numId w:val="7"/>
        </w:numPr>
        <w:spacing w:line="276" w:lineRule="auto"/>
        <w:jc w:val="both"/>
        <w:rPr>
          <w:rFonts w:ascii="Times New Roman" w:eastAsia="Calibri" w:hAnsi="Times New Roman"/>
          <w:sz w:val="24"/>
          <w:szCs w:val="24"/>
        </w:rPr>
      </w:pPr>
      <w:r w:rsidRPr="00341240">
        <w:rPr>
          <w:rFonts w:ascii="Times New Roman" w:eastAsia="Calibri" w:hAnsi="Times New Roman"/>
          <w:sz w:val="24"/>
          <w:szCs w:val="24"/>
        </w:rPr>
        <w:t xml:space="preserve">риски ОТП. </w:t>
      </w:r>
    </w:p>
    <w:p w14:paraId="5FCA42AC" w14:textId="77777777" w:rsidR="00D33150" w:rsidRPr="00341240" w:rsidRDefault="00D33150" w:rsidP="00D33150">
      <w:pPr>
        <w:ind w:firstLine="567"/>
        <w:jc w:val="both"/>
        <w:rPr>
          <w:rFonts w:ascii="Times New Roman" w:eastAsia="Calibri" w:hAnsi="Times New Roman"/>
          <w:sz w:val="24"/>
          <w:szCs w:val="24"/>
        </w:rPr>
      </w:pPr>
      <w:r w:rsidRPr="00341240">
        <w:rPr>
          <w:rFonts w:ascii="Times New Roman" w:eastAsia="Calibri" w:hAnsi="Times New Roman"/>
          <w:sz w:val="24"/>
          <w:szCs w:val="24"/>
        </w:rPr>
        <w:t>Система управления рисками НКЦ охватывает следующий перечень рисков:</w:t>
      </w:r>
    </w:p>
    <w:p w14:paraId="6D6CACD4" w14:textId="77777777" w:rsidR="00D33150" w:rsidRPr="00341240" w:rsidRDefault="00D33150" w:rsidP="00D33150">
      <w:pPr>
        <w:numPr>
          <w:ilvl w:val="0"/>
          <w:numId w:val="7"/>
        </w:numPr>
        <w:spacing w:line="276" w:lineRule="auto"/>
        <w:jc w:val="both"/>
        <w:rPr>
          <w:rFonts w:ascii="Times New Roman" w:eastAsia="Calibri" w:hAnsi="Times New Roman"/>
          <w:sz w:val="24"/>
          <w:szCs w:val="24"/>
        </w:rPr>
      </w:pPr>
      <w:r w:rsidRPr="00341240">
        <w:rPr>
          <w:rFonts w:ascii="Times New Roman" w:eastAsia="Calibri" w:hAnsi="Times New Roman"/>
          <w:sz w:val="24"/>
          <w:szCs w:val="24"/>
        </w:rPr>
        <w:t>риск центрального контрагента (кредитный риск ЦК);</w:t>
      </w:r>
    </w:p>
    <w:p w14:paraId="7D2F33E1" w14:textId="77777777" w:rsidR="00D33150" w:rsidRPr="00341240" w:rsidRDefault="00D33150" w:rsidP="00D33150">
      <w:pPr>
        <w:numPr>
          <w:ilvl w:val="0"/>
          <w:numId w:val="7"/>
        </w:numPr>
        <w:spacing w:line="276" w:lineRule="auto"/>
        <w:jc w:val="both"/>
        <w:rPr>
          <w:rFonts w:ascii="Times New Roman" w:eastAsia="Calibri" w:hAnsi="Times New Roman"/>
          <w:sz w:val="24"/>
          <w:szCs w:val="24"/>
        </w:rPr>
      </w:pPr>
      <w:r w:rsidRPr="00341240">
        <w:rPr>
          <w:rFonts w:ascii="Times New Roman" w:eastAsia="Calibri" w:hAnsi="Times New Roman"/>
          <w:sz w:val="24"/>
          <w:szCs w:val="24"/>
        </w:rPr>
        <w:t>кредитный риск</w:t>
      </w:r>
      <w:r>
        <w:rPr>
          <w:rFonts w:ascii="Times New Roman" w:eastAsia="Calibri" w:hAnsi="Times New Roman"/>
          <w:sz w:val="24"/>
          <w:szCs w:val="24"/>
        </w:rPr>
        <w:t xml:space="preserve"> (включая риск концентрации и кредитный риск контрагента)</w:t>
      </w:r>
      <w:r w:rsidRPr="00341240">
        <w:rPr>
          <w:rFonts w:ascii="Times New Roman" w:eastAsia="Calibri" w:hAnsi="Times New Roman"/>
          <w:sz w:val="24"/>
          <w:szCs w:val="24"/>
        </w:rPr>
        <w:t>;</w:t>
      </w:r>
    </w:p>
    <w:p w14:paraId="16E62A1D" w14:textId="77777777" w:rsidR="00D33150" w:rsidRDefault="00D33150" w:rsidP="00D33150">
      <w:pPr>
        <w:numPr>
          <w:ilvl w:val="0"/>
          <w:numId w:val="7"/>
        </w:numPr>
        <w:spacing w:line="276" w:lineRule="auto"/>
        <w:jc w:val="both"/>
        <w:rPr>
          <w:rFonts w:ascii="Times New Roman" w:eastAsia="Calibri" w:hAnsi="Times New Roman"/>
          <w:sz w:val="24"/>
          <w:szCs w:val="24"/>
        </w:rPr>
      </w:pPr>
      <w:r w:rsidRPr="00341240">
        <w:rPr>
          <w:rFonts w:ascii="Times New Roman" w:eastAsia="Calibri" w:hAnsi="Times New Roman"/>
          <w:sz w:val="24"/>
          <w:szCs w:val="24"/>
        </w:rPr>
        <w:t>рыночный риск;</w:t>
      </w:r>
    </w:p>
    <w:p w14:paraId="16EA5941" w14:textId="77777777" w:rsidR="00D33150" w:rsidRPr="00341240" w:rsidRDefault="00D33150" w:rsidP="00D33150">
      <w:pPr>
        <w:numPr>
          <w:ilvl w:val="0"/>
          <w:numId w:val="7"/>
        </w:numPr>
        <w:spacing w:line="276" w:lineRule="auto"/>
        <w:jc w:val="both"/>
        <w:rPr>
          <w:rFonts w:ascii="Times New Roman" w:eastAsia="Calibri" w:hAnsi="Times New Roman"/>
          <w:sz w:val="24"/>
          <w:szCs w:val="24"/>
        </w:rPr>
      </w:pPr>
      <w:r>
        <w:rPr>
          <w:rFonts w:ascii="Times New Roman" w:eastAsia="Calibri" w:hAnsi="Times New Roman"/>
          <w:sz w:val="24"/>
          <w:szCs w:val="24"/>
        </w:rPr>
        <w:t>процентный риск банковского портфеля;</w:t>
      </w:r>
    </w:p>
    <w:p w14:paraId="376EC75D" w14:textId="77777777" w:rsidR="00D33150" w:rsidRPr="00341240" w:rsidRDefault="00D33150" w:rsidP="00D33150">
      <w:pPr>
        <w:numPr>
          <w:ilvl w:val="0"/>
          <w:numId w:val="7"/>
        </w:numPr>
        <w:spacing w:line="276" w:lineRule="auto"/>
        <w:jc w:val="both"/>
        <w:rPr>
          <w:rFonts w:ascii="Times New Roman" w:eastAsia="Calibri" w:hAnsi="Times New Roman"/>
          <w:sz w:val="24"/>
          <w:szCs w:val="24"/>
        </w:rPr>
      </w:pPr>
      <w:r w:rsidRPr="00341240">
        <w:rPr>
          <w:rFonts w:ascii="Times New Roman" w:eastAsia="Calibri" w:hAnsi="Times New Roman"/>
          <w:sz w:val="24"/>
          <w:szCs w:val="24"/>
        </w:rPr>
        <w:t>риск ликвидности;</w:t>
      </w:r>
    </w:p>
    <w:p w14:paraId="2FE30FD4" w14:textId="77777777" w:rsidR="00D33150" w:rsidRPr="00341240" w:rsidRDefault="00D33150" w:rsidP="00D33150">
      <w:pPr>
        <w:numPr>
          <w:ilvl w:val="0"/>
          <w:numId w:val="7"/>
        </w:numPr>
        <w:spacing w:line="276" w:lineRule="auto"/>
        <w:jc w:val="both"/>
        <w:rPr>
          <w:rFonts w:ascii="Times New Roman" w:eastAsia="Calibri" w:hAnsi="Times New Roman"/>
          <w:sz w:val="24"/>
          <w:szCs w:val="24"/>
        </w:rPr>
      </w:pPr>
      <w:r w:rsidRPr="00341240">
        <w:rPr>
          <w:rFonts w:ascii="Times New Roman" w:eastAsia="Calibri" w:hAnsi="Times New Roman"/>
          <w:sz w:val="24"/>
          <w:szCs w:val="24"/>
        </w:rPr>
        <w:t>операционный риск;</w:t>
      </w:r>
    </w:p>
    <w:p w14:paraId="34E31813" w14:textId="77777777" w:rsidR="00D33150" w:rsidRDefault="00D33150" w:rsidP="00D33150">
      <w:pPr>
        <w:numPr>
          <w:ilvl w:val="0"/>
          <w:numId w:val="7"/>
        </w:numPr>
        <w:spacing w:line="276" w:lineRule="auto"/>
        <w:jc w:val="both"/>
        <w:rPr>
          <w:rFonts w:ascii="Times New Roman" w:eastAsia="Calibri" w:hAnsi="Times New Roman"/>
          <w:sz w:val="24"/>
          <w:szCs w:val="24"/>
        </w:rPr>
      </w:pPr>
      <w:r w:rsidRPr="00341240">
        <w:rPr>
          <w:rFonts w:ascii="Times New Roman" w:eastAsia="Calibri" w:hAnsi="Times New Roman"/>
          <w:sz w:val="24"/>
          <w:szCs w:val="24"/>
        </w:rPr>
        <w:t>стратегический риск;</w:t>
      </w:r>
    </w:p>
    <w:p w14:paraId="071F6580" w14:textId="77777777" w:rsidR="00D33150" w:rsidRPr="00341240" w:rsidRDefault="00D33150" w:rsidP="00D33150">
      <w:pPr>
        <w:numPr>
          <w:ilvl w:val="0"/>
          <w:numId w:val="7"/>
        </w:numPr>
        <w:spacing w:line="276" w:lineRule="auto"/>
        <w:jc w:val="both"/>
        <w:rPr>
          <w:rFonts w:ascii="Times New Roman" w:eastAsia="Calibri" w:hAnsi="Times New Roman"/>
          <w:sz w:val="24"/>
          <w:szCs w:val="24"/>
        </w:rPr>
      </w:pPr>
      <w:r w:rsidRPr="00341240">
        <w:rPr>
          <w:rFonts w:ascii="Times New Roman" w:eastAsia="Calibri" w:hAnsi="Times New Roman"/>
          <w:sz w:val="24"/>
          <w:szCs w:val="24"/>
        </w:rPr>
        <w:t>правовой риск;</w:t>
      </w:r>
    </w:p>
    <w:p w14:paraId="5A8595BF" w14:textId="77777777" w:rsidR="00D33150" w:rsidRPr="00341240" w:rsidRDefault="00D33150" w:rsidP="00D33150">
      <w:pPr>
        <w:numPr>
          <w:ilvl w:val="0"/>
          <w:numId w:val="7"/>
        </w:numPr>
        <w:spacing w:line="276" w:lineRule="auto"/>
        <w:jc w:val="both"/>
        <w:rPr>
          <w:rFonts w:ascii="Times New Roman" w:eastAsia="Calibri" w:hAnsi="Times New Roman"/>
          <w:sz w:val="24"/>
          <w:szCs w:val="24"/>
        </w:rPr>
      </w:pPr>
      <w:r w:rsidRPr="00341240">
        <w:rPr>
          <w:rFonts w:ascii="Times New Roman" w:eastAsia="Calibri" w:hAnsi="Times New Roman"/>
          <w:sz w:val="24"/>
          <w:szCs w:val="24"/>
        </w:rPr>
        <w:t>регуляторный риск;</w:t>
      </w:r>
    </w:p>
    <w:p w14:paraId="51CEADB5" w14:textId="77777777" w:rsidR="00D33150" w:rsidRDefault="00D33150" w:rsidP="00D33150">
      <w:pPr>
        <w:numPr>
          <w:ilvl w:val="0"/>
          <w:numId w:val="7"/>
        </w:numPr>
        <w:spacing w:line="276" w:lineRule="auto"/>
        <w:jc w:val="both"/>
        <w:rPr>
          <w:rFonts w:ascii="Times New Roman" w:eastAsia="Calibri" w:hAnsi="Times New Roman"/>
          <w:sz w:val="24"/>
          <w:szCs w:val="24"/>
        </w:rPr>
      </w:pPr>
      <w:r w:rsidRPr="00341240">
        <w:rPr>
          <w:rFonts w:ascii="Times New Roman" w:eastAsia="Calibri" w:hAnsi="Times New Roman"/>
          <w:sz w:val="24"/>
          <w:szCs w:val="24"/>
        </w:rPr>
        <w:t>риск потери деловой репутации</w:t>
      </w:r>
      <w:r>
        <w:rPr>
          <w:rFonts w:ascii="Times New Roman" w:eastAsia="Calibri" w:hAnsi="Times New Roman"/>
          <w:sz w:val="24"/>
          <w:szCs w:val="24"/>
        </w:rPr>
        <w:t>;</w:t>
      </w:r>
    </w:p>
    <w:p w14:paraId="00EAD31F" w14:textId="77777777" w:rsidR="00D33150" w:rsidRPr="00341240" w:rsidRDefault="00D33150" w:rsidP="00D33150">
      <w:pPr>
        <w:numPr>
          <w:ilvl w:val="0"/>
          <w:numId w:val="7"/>
        </w:numPr>
        <w:spacing w:line="276" w:lineRule="auto"/>
        <w:jc w:val="both"/>
        <w:rPr>
          <w:rFonts w:ascii="Times New Roman" w:eastAsia="Calibri" w:hAnsi="Times New Roman"/>
          <w:sz w:val="24"/>
          <w:szCs w:val="24"/>
        </w:rPr>
      </w:pPr>
      <w:r w:rsidRPr="00341240">
        <w:rPr>
          <w:rFonts w:ascii="Times New Roman" w:eastAsia="Calibri" w:hAnsi="Times New Roman"/>
          <w:sz w:val="24"/>
          <w:szCs w:val="24"/>
        </w:rPr>
        <w:t>кастодиальный риск;</w:t>
      </w:r>
    </w:p>
    <w:p w14:paraId="4BB201FC" w14:textId="77777777" w:rsidR="00D33150" w:rsidRPr="00FD55ED" w:rsidRDefault="00D33150" w:rsidP="00D33150">
      <w:pPr>
        <w:numPr>
          <w:ilvl w:val="0"/>
          <w:numId w:val="7"/>
        </w:numPr>
        <w:spacing w:line="276" w:lineRule="auto"/>
        <w:jc w:val="both"/>
        <w:rPr>
          <w:rFonts w:ascii="Times New Roman" w:eastAsia="Calibri" w:hAnsi="Times New Roman"/>
          <w:sz w:val="24"/>
          <w:szCs w:val="24"/>
        </w:rPr>
      </w:pPr>
      <w:r w:rsidRPr="00341240">
        <w:rPr>
          <w:rFonts w:ascii="Times New Roman" w:eastAsia="Calibri" w:hAnsi="Times New Roman"/>
          <w:sz w:val="24"/>
          <w:szCs w:val="24"/>
        </w:rPr>
        <w:t>коммерческий риск;</w:t>
      </w:r>
    </w:p>
    <w:p w14:paraId="07030375" w14:textId="77777777" w:rsidR="00D33150" w:rsidRPr="00FD55ED" w:rsidRDefault="00D33150" w:rsidP="00D33150">
      <w:pPr>
        <w:numPr>
          <w:ilvl w:val="0"/>
          <w:numId w:val="7"/>
        </w:numPr>
        <w:spacing w:line="276" w:lineRule="auto"/>
        <w:jc w:val="both"/>
        <w:rPr>
          <w:rFonts w:ascii="Times New Roman" w:eastAsia="Calibri" w:hAnsi="Times New Roman"/>
          <w:sz w:val="24"/>
          <w:szCs w:val="24"/>
        </w:rPr>
      </w:pPr>
      <w:r>
        <w:rPr>
          <w:rFonts w:ascii="Times New Roman" w:eastAsia="Calibri" w:hAnsi="Times New Roman"/>
          <w:sz w:val="24"/>
          <w:szCs w:val="24"/>
        </w:rPr>
        <w:t>системный риск</w:t>
      </w:r>
      <w:r w:rsidRPr="00FD55ED">
        <w:rPr>
          <w:rFonts w:ascii="Times New Roman" w:eastAsia="Calibri" w:hAnsi="Times New Roman"/>
          <w:sz w:val="24"/>
          <w:szCs w:val="24"/>
        </w:rPr>
        <w:t>.</w:t>
      </w:r>
    </w:p>
    <w:p w14:paraId="19A85574" w14:textId="3CD0A81B" w:rsidR="00D33150" w:rsidRPr="00341240" w:rsidRDefault="0098619E" w:rsidP="0098619E">
      <w:pPr>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 xml:space="preserve">К ключевым задачам НКЦ относится снижение рисков финансовой системы и обеспечение стабильности на обслуживаемых сегментах финансового и товарного рынков. Достижению этой цели способствует </w:t>
      </w:r>
      <w:r w:rsidR="00D33150">
        <w:rPr>
          <w:rFonts w:ascii="Times New Roman" w:eastAsia="Calibri" w:hAnsi="Times New Roman"/>
          <w:sz w:val="24"/>
          <w:szCs w:val="24"/>
        </w:rPr>
        <w:t xml:space="preserve">созданная </w:t>
      </w:r>
      <w:r w:rsidR="00D33150" w:rsidRPr="00341240">
        <w:rPr>
          <w:rFonts w:ascii="Times New Roman" w:eastAsia="Calibri" w:hAnsi="Times New Roman"/>
          <w:sz w:val="24"/>
          <w:szCs w:val="24"/>
        </w:rPr>
        <w:t>систем</w:t>
      </w:r>
      <w:r w:rsidR="00D33150">
        <w:rPr>
          <w:rFonts w:ascii="Times New Roman" w:eastAsia="Calibri" w:hAnsi="Times New Roman"/>
          <w:sz w:val="24"/>
          <w:szCs w:val="24"/>
        </w:rPr>
        <w:t>а</w:t>
      </w:r>
      <w:r w:rsidR="00D33150" w:rsidRPr="00341240">
        <w:rPr>
          <w:rFonts w:ascii="Times New Roman" w:eastAsia="Calibri" w:hAnsi="Times New Roman"/>
          <w:sz w:val="24"/>
          <w:szCs w:val="24"/>
        </w:rPr>
        <w:t xml:space="preserve"> управления рисками, в рамках которой НКЦ проводит комплексный анализ рисков, возникающих при осуществлении всех видов деятельности.</w:t>
      </w:r>
    </w:p>
    <w:p w14:paraId="38312F95" w14:textId="77777777" w:rsidR="0098619E" w:rsidRDefault="0098619E" w:rsidP="0098619E">
      <w:pPr>
        <w:jc w:val="both"/>
        <w:rPr>
          <w:rFonts w:ascii="Times New Roman" w:eastAsia="Calibri" w:hAnsi="Times New Roman"/>
          <w:sz w:val="24"/>
          <w:szCs w:val="24"/>
        </w:rPr>
      </w:pPr>
    </w:p>
    <w:p w14:paraId="69E31496" w14:textId="6265871D" w:rsidR="00D33150" w:rsidRDefault="0098619E" w:rsidP="0098619E">
      <w:pPr>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В целях обеспечения надежности своей деятельности НКЦ использует подходы к управлению рисками, предусмотренные требованиями Банка России, рекомендациями Базельского комитета по банковскому надзору, а также международными стандартами Комитета по расчетным и платежным системам Банка Международных расчетов и Технического комитета Международной организации комиссий по ценным бумагам (CP</w:t>
      </w:r>
      <w:r w:rsidR="00D33150" w:rsidRPr="00341240">
        <w:rPr>
          <w:rFonts w:ascii="Times New Roman" w:eastAsia="Calibri" w:hAnsi="Times New Roman"/>
          <w:sz w:val="24"/>
          <w:szCs w:val="24"/>
          <w:lang w:val="en-US"/>
        </w:rPr>
        <w:t>MI</w:t>
      </w:r>
      <w:r w:rsidR="00D33150" w:rsidRPr="00341240">
        <w:rPr>
          <w:rFonts w:ascii="Times New Roman" w:eastAsia="Calibri" w:hAnsi="Times New Roman"/>
          <w:sz w:val="24"/>
          <w:szCs w:val="24"/>
        </w:rPr>
        <w:t>-IOSCO) для системно значимых инфраструктурных организаций.</w:t>
      </w:r>
      <w:r w:rsidR="00D33150" w:rsidRPr="00257633">
        <w:rPr>
          <w:rFonts w:ascii="Times New Roman" w:eastAsia="Calibri" w:hAnsi="Times New Roman"/>
          <w:sz w:val="24"/>
          <w:szCs w:val="24"/>
        </w:rPr>
        <w:t xml:space="preserve"> </w:t>
      </w:r>
      <w:r w:rsidR="00D33150" w:rsidRPr="00341240">
        <w:rPr>
          <w:rFonts w:ascii="Times New Roman" w:eastAsia="Calibri" w:hAnsi="Times New Roman"/>
          <w:sz w:val="24"/>
          <w:szCs w:val="24"/>
        </w:rPr>
        <w:t>В отчетном году деятельность НКЦ в сфере совершенствования системы управления рисками была направлена на соблюдение требований Указания Банка России от 2 декабря 2012 г. № 2919-У «Об оценке качества управления кредитной организации, осуществляющей функции центрального контрагента» (далее – Указание № 2919-</w:t>
      </w:r>
      <w:r w:rsidR="00D33150">
        <w:rPr>
          <w:rFonts w:ascii="Times New Roman" w:eastAsia="Calibri" w:hAnsi="Times New Roman"/>
          <w:sz w:val="24"/>
          <w:szCs w:val="24"/>
        </w:rPr>
        <w:t xml:space="preserve">У), а также </w:t>
      </w:r>
      <w:r w:rsidR="00D33150" w:rsidRPr="00257633">
        <w:rPr>
          <w:rFonts w:ascii="Times New Roman" w:eastAsia="Calibri" w:hAnsi="Times New Roman"/>
          <w:sz w:val="24"/>
          <w:szCs w:val="24"/>
        </w:rPr>
        <w:t>Федеральн</w:t>
      </w:r>
      <w:r w:rsidR="00D33150">
        <w:rPr>
          <w:rFonts w:ascii="Times New Roman" w:eastAsia="Calibri" w:hAnsi="Times New Roman"/>
          <w:sz w:val="24"/>
          <w:szCs w:val="24"/>
        </w:rPr>
        <w:t>ого</w:t>
      </w:r>
      <w:r w:rsidR="00D33150" w:rsidRPr="00257633">
        <w:rPr>
          <w:rFonts w:ascii="Times New Roman" w:eastAsia="Calibri" w:hAnsi="Times New Roman"/>
          <w:sz w:val="24"/>
          <w:szCs w:val="24"/>
        </w:rPr>
        <w:t xml:space="preserve"> закон</w:t>
      </w:r>
      <w:r w:rsidR="00D33150">
        <w:rPr>
          <w:rFonts w:ascii="Times New Roman" w:eastAsia="Calibri" w:hAnsi="Times New Roman"/>
          <w:sz w:val="24"/>
          <w:szCs w:val="24"/>
        </w:rPr>
        <w:t>а</w:t>
      </w:r>
      <w:r w:rsidR="00D33150" w:rsidRPr="00257633">
        <w:rPr>
          <w:rFonts w:ascii="Times New Roman" w:eastAsia="Calibri" w:hAnsi="Times New Roman"/>
          <w:sz w:val="24"/>
          <w:szCs w:val="24"/>
        </w:rPr>
        <w:t xml:space="preserve"> «О внесении изменений в отдельные законодательные акты </w:t>
      </w:r>
      <w:r w:rsidR="00D33150" w:rsidRPr="00257633">
        <w:rPr>
          <w:rFonts w:ascii="Times New Roman" w:eastAsia="Calibri" w:hAnsi="Times New Roman"/>
          <w:sz w:val="24"/>
          <w:szCs w:val="24"/>
        </w:rPr>
        <w:lastRenderedPageBreak/>
        <w:t>Российской Федерации» от 29.12.2015 № 403-ФЗ</w:t>
      </w:r>
      <w:r w:rsidR="00D33150">
        <w:rPr>
          <w:rFonts w:ascii="Times New Roman" w:eastAsia="Calibri" w:hAnsi="Times New Roman"/>
          <w:sz w:val="24"/>
          <w:szCs w:val="24"/>
        </w:rPr>
        <w:t xml:space="preserve"> в части требований к системе управления рисками для небанковских кредитных организаций-центральных контрагентов</w:t>
      </w:r>
      <w:r w:rsidR="000B2B01">
        <w:rPr>
          <w:rFonts w:ascii="Times New Roman" w:eastAsia="Calibri" w:hAnsi="Times New Roman"/>
          <w:sz w:val="24"/>
          <w:szCs w:val="24"/>
        </w:rPr>
        <w:t>.</w:t>
      </w:r>
      <w:r w:rsidR="00D33150" w:rsidRPr="00120A79">
        <w:rPr>
          <w:rFonts w:ascii="Times New Roman" w:eastAsia="Calibri" w:hAnsi="Times New Roman"/>
          <w:sz w:val="24"/>
          <w:szCs w:val="24"/>
        </w:rPr>
        <w:t xml:space="preserve"> </w:t>
      </w:r>
    </w:p>
    <w:p w14:paraId="6E72EEAC" w14:textId="77777777" w:rsidR="0098619E" w:rsidRDefault="00D33150" w:rsidP="00D33150">
      <w:pPr>
        <w:ind w:firstLine="567"/>
        <w:jc w:val="both"/>
        <w:rPr>
          <w:rFonts w:ascii="Times New Roman" w:eastAsia="Calibri" w:hAnsi="Times New Roman"/>
          <w:sz w:val="24"/>
          <w:szCs w:val="24"/>
        </w:rPr>
      </w:pPr>
      <w:r>
        <w:rPr>
          <w:rFonts w:ascii="Times New Roman" w:eastAsia="Calibri" w:hAnsi="Times New Roman"/>
          <w:sz w:val="24"/>
          <w:szCs w:val="24"/>
        </w:rPr>
        <w:t xml:space="preserve"> </w:t>
      </w:r>
    </w:p>
    <w:p w14:paraId="4799A957" w14:textId="308B8008" w:rsidR="00D33150" w:rsidRDefault="0098619E" w:rsidP="0098619E">
      <w:pPr>
        <w:jc w:val="both"/>
        <w:rPr>
          <w:rFonts w:ascii="Times New Roman" w:eastAsia="Calibri" w:hAnsi="Times New Roman"/>
          <w:sz w:val="24"/>
          <w:szCs w:val="24"/>
        </w:rPr>
      </w:pPr>
      <w:r>
        <w:rPr>
          <w:rFonts w:ascii="Times New Roman" w:eastAsia="Calibri" w:hAnsi="Times New Roman"/>
          <w:sz w:val="24"/>
          <w:szCs w:val="24"/>
        </w:rPr>
        <w:t xml:space="preserve">     </w:t>
      </w:r>
      <w:r w:rsidR="00D33150">
        <w:rPr>
          <w:rFonts w:ascii="Times New Roman" w:eastAsia="Calibri" w:hAnsi="Times New Roman"/>
          <w:sz w:val="24"/>
          <w:szCs w:val="24"/>
        </w:rPr>
        <w:t xml:space="preserve">В </w:t>
      </w:r>
      <w:r w:rsidR="00D33150" w:rsidRPr="00120A79">
        <w:rPr>
          <w:rFonts w:ascii="Times New Roman" w:eastAsia="Calibri" w:hAnsi="Times New Roman"/>
          <w:sz w:val="24"/>
          <w:szCs w:val="24"/>
        </w:rPr>
        <w:t>201</w:t>
      </w:r>
      <w:r w:rsidR="00D33150">
        <w:rPr>
          <w:rFonts w:ascii="Times New Roman" w:eastAsia="Calibri" w:hAnsi="Times New Roman"/>
          <w:sz w:val="24"/>
          <w:szCs w:val="24"/>
        </w:rPr>
        <w:t>7</w:t>
      </w:r>
      <w:r w:rsidR="00D33150" w:rsidRPr="00120A79">
        <w:rPr>
          <w:rFonts w:ascii="Times New Roman" w:eastAsia="Calibri" w:hAnsi="Times New Roman"/>
          <w:sz w:val="24"/>
          <w:szCs w:val="24"/>
        </w:rPr>
        <w:t xml:space="preserve"> году НКЦ </w:t>
      </w:r>
      <w:r w:rsidR="00D33150">
        <w:rPr>
          <w:rFonts w:ascii="Times New Roman" w:eastAsia="Calibri" w:hAnsi="Times New Roman"/>
          <w:sz w:val="24"/>
          <w:szCs w:val="24"/>
        </w:rPr>
        <w:t xml:space="preserve">вносился ряд </w:t>
      </w:r>
      <w:r w:rsidR="00D33150" w:rsidRPr="007B5429">
        <w:rPr>
          <w:rFonts w:ascii="Times New Roman" w:eastAsia="Calibri" w:hAnsi="Times New Roman"/>
          <w:sz w:val="24"/>
          <w:szCs w:val="24"/>
        </w:rPr>
        <w:t>изменений</w:t>
      </w:r>
      <w:r w:rsidR="00D33150" w:rsidRPr="00120A79">
        <w:rPr>
          <w:rFonts w:ascii="Times New Roman" w:eastAsia="Calibri" w:hAnsi="Times New Roman"/>
          <w:sz w:val="24"/>
          <w:szCs w:val="24"/>
        </w:rPr>
        <w:t xml:space="preserve"> </w:t>
      </w:r>
      <w:r w:rsidR="00D33150">
        <w:rPr>
          <w:rFonts w:ascii="Times New Roman" w:eastAsia="Calibri" w:hAnsi="Times New Roman"/>
          <w:sz w:val="24"/>
          <w:szCs w:val="24"/>
        </w:rPr>
        <w:t>во внутренние документы, регламентирующие</w:t>
      </w:r>
      <w:r w:rsidR="00D33150" w:rsidRPr="00120A79">
        <w:rPr>
          <w:rFonts w:ascii="Times New Roman" w:eastAsia="Calibri" w:hAnsi="Times New Roman"/>
          <w:sz w:val="24"/>
          <w:szCs w:val="24"/>
        </w:rPr>
        <w:t xml:space="preserve"> управление рисками</w:t>
      </w:r>
      <w:r w:rsidR="00D33150">
        <w:rPr>
          <w:rFonts w:ascii="Times New Roman" w:eastAsia="Calibri" w:hAnsi="Times New Roman"/>
          <w:sz w:val="24"/>
          <w:szCs w:val="24"/>
        </w:rPr>
        <w:t xml:space="preserve"> ЦК. Данные изменения </w:t>
      </w:r>
      <w:r w:rsidR="00D33150" w:rsidRPr="00120A79">
        <w:rPr>
          <w:rFonts w:ascii="Times New Roman" w:eastAsia="Calibri" w:hAnsi="Times New Roman"/>
          <w:sz w:val="24"/>
          <w:szCs w:val="24"/>
        </w:rPr>
        <w:t>связаны</w:t>
      </w:r>
      <w:r w:rsidR="00D33150">
        <w:rPr>
          <w:rFonts w:ascii="Times New Roman" w:eastAsia="Calibri" w:hAnsi="Times New Roman"/>
          <w:sz w:val="24"/>
          <w:szCs w:val="24"/>
        </w:rPr>
        <w:t xml:space="preserve">, в первую очередь, со сменой статуса НКЦ с банка на </w:t>
      </w:r>
      <w:r w:rsidR="00953173">
        <w:rPr>
          <w:rFonts w:ascii="Times New Roman" w:eastAsia="Calibri" w:hAnsi="Times New Roman"/>
          <w:sz w:val="24"/>
          <w:szCs w:val="24"/>
        </w:rPr>
        <w:t xml:space="preserve">небанковскую </w:t>
      </w:r>
      <w:bookmarkStart w:id="14" w:name="_Hlk509742284"/>
      <w:r w:rsidR="00953173">
        <w:rPr>
          <w:rFonts w:ascii="Times New Roman" w:eastAsia="Calibri" w:hAnsi="Times New Roman"/>
          <w:sz w:val="24"/>
          <w:szCs w:val="24"/>
        </w:rPr>
        <w:t>кредитную организацию-центральный контрагент</w:t>
      </w:r>
      <w:bookmarkEnd w:id="14"/>
      <w:r w:rsidR="00D33150">
        <w:rPr>
          <w:rFonts w:ascii="Times New Roman" w:eastAsia="Calibri" w:hAnsi="Times New Roman"/>
          <w:sz w:val="24"/>
          <w:szCs w:val="24"/>
        </w:rPr>
        <w:t xml:space="preserve">, а также в связи </w:t>
      </w:r>
      <w:r w:rsidR="00D33150" w:rsidRPr="00120A79">
        <w:rPr>
          <w:rFonts w:ascii="Times New Roman" w:eastAsia="Calibri" w:hAnsi="Times New Roman"/>
          <w:sz w:val="24"/>
          <w:szCs w:val="24"/>
        </w:rPr>
        <w:t>с плановым пересмотром</w:t>
      </w:r>
      <w:r w:rsidR="00D33150">
        <w:rPr>
          <w:rFonts w:ascii="Times New Roman" w:eastAsia="Calibri" w:hAnsi="Times New Roman"/>
          <w:sz w:val="24"/>
          <w:szCs w:val="24"/>
        </w:rPr>
        <w:t>. В частности, были внесены изменения в следующие документы:</w:t>
      </w:r>
    </w:p>
    <w:p w14:paraId="6D024931" w14:textId="3583E494" w:rsidR="00D33150" w:rsidRDefault="00D33150" w:rsidP="00D33150">
      <w:pPr>
        <w:numPr>
          <w:ilvl w:val="0"/>
          <w:numId w:val="8"/>
        </w:numPr>
        <w:jc w:val="both"/>
        <w:rPr>
          <w:rFonts w:ascii="Times New Roman" w:eastAsia="Calibri" w:hAnsi="Times New Roman"/>
          <w:sz w:val="24"/>
          <w:szCs w:val="24"/>
        </w:rPr>
      </w:pPr>
      <w:r>
        <w:rPr>
          <w:rFonts w:ascii="Times New Roman" w:eastAsia="Calibri" w:hAnsi="Times New Roman"/>
          <w:sz w:val="24"/>
          <w:szCs w:val="24"/>
        </w:rPr>
        <w:t xml:space="preserve">Правила организации системы управления рисками – документ обновлен с учетом требований Банка России к системе управления рисками </w:t>
      </w:r>
      <w:r w:rsidR="00953173">
        <w:rPr>
          <w:rFonts w:ascii="Times New Roman" w:eastAsia="Calibri" w:hAnsi="Times New Roman"/>
          <w:sz w:val="24"/>
          <w:szCs w:val="24"/>
        </w:rPr>
        <w:t>НКЦ</w:t>
      </w:r>
      <w:r w:rsidR="0098619E">
        <w:rPr>
          <w:rFonts w:ascii="Times New Roman" w:eastAsia="Calibri" w:hAnsi="Times New Roman"/>
          <w:sz w:val="24"/>
          <w:szCs w:val="24"/>
        </w:rPr>
        <w:t xml:space="preserve"> по структуре и содержанию;</w:t>
      </w:r>
    </w:p>
    <w:p w14:paraId="0BBECDCC" w14:textId="08F870B8" w:rsidR="00D33150" w:rsidRDefault="00D33150" w:rsidP="00D33150">
      <w:pPr>
        <w:pStyle w:val="a9"/>
        <w:numPr>
          <w:ilvl w:val="0"/>
          <w:numId w:val="8"/>
        </w:numPr>
        <w:spacing w:after="0" w:line="240" w:lineRule="auto"/>
        <w:jc w:val="both"/>
        <w:rPr>
          <w:rFonts w:ascii="Times New Roman" w:hAnsi="Times New Roman"/>
          <w:sz w:val="24"/>
          <w:szCs w:val="24"/>
        </w:rPr>
      </w:pPr>
      <w:r w:rsidRPr="0076418E">
        <w:rPr>
          <w:rFonts w:ascii="Times New Roman" w:hAnsi="Times New Roman"/>
          <w:sz w:val="24"/>
          <w:szCs w:val="24"/>
        </w:rPr>
        <w:t>Методика</w:t>
      </w:r>
      <w:r>
        <w:rPr>
          <w:rFonts w:ascii="Times New Roman" w:hAnsi="Times New Roman"/>
          <w:sz w:val="24"/>
          <w:szCs w:val="24"/>
        </w:rPr>
        <w:t xml:space="preserve"> проведения стресс-тестирования и Методика оценки точности моделей </w:t>
      </w:r>
      <w:r w:rsidRPr="0076418E">
        <w:rPr>
          <w:rFonts w:ascii="Times New Roman" w:hAnsi="Times New Roman"/>
          <w:sz w:val="24"/>
          <w:szCs w:val="24"/>
        </w:rPr>
        <w:t xml:space="preserve">- </w:t>
      </w:r>
      <w:r>
        <w:rPr>
          <w:rFonts w:ascii="Times New Roman" w:hAnsi="Times New Roman"/>
          <w:sz w:val="24"/>
          <w:szCs w:val="24"/>
        </w:rPr>
        <w:t>в</w:t>
      </w:r>
      <w:r w:rsidRPr="0076418E">
        <w:rPr>
          <w:rFonts w:ascii="Times New Roman" w:hAnsi="Times New Roman"/>
          <w:sz w:val="24"/>
          <w:szCs w:val="24"/>
        </w:rPr>
        <w:t xml:space="preserve">недрена обновленная методология стресс-тестирования и бэк-тестирования, в результате чего деятельность НКЦ приведена в соответствие требованиям Банка России к </w:t>
      </w:r>
      <w:r w:rsidR="00953173">
        <w:rPr>
          <w:rFonts w:ascii="Times New Roman" w:hAnsi="Times New Roman"/>
          <w:sz w:val="24"/>
          <w:szCs w:val="24"/>
        </w:rPr>
        <w:t>кредитной организации-центральному контрагенту</w:t>
      </w:r>
      <w:r w:rsidRPr="0076418E">
        <w:rPr>
          <w:rFonts w:ascii="Times New Roman" w:hAnsi="Times New Roman"/>
          <w:sz w:val="24"/>
          <w:szCs w:val="24"/>
        </w:rPr>
        <w:t>. Применение обновленной методологии предполагает проведение ежедневного бэк-тестирования достаточности обеспечения и стресс</w:t>
      </w:r>
      <w:r w:rsidR="0098619E">
        <w:rPr>
          <w:rFonts w:ascii="Times New Roman" w:hAnsi="Times New Roman"/>
          <w:sz w:val="24"/>
          <w:szCs w:val="24"/>
        </w:rPr>
        <w:t>-тестирования рисков НКЦ как ЦК;</w:t>
      </w:r>
    </w:p>
    <w:p w14:paraId="31E9BB4A" w14:textId="62A588E9" w:rsidR="00D33150" w:rsidRDefault="00D33150" w:rsidP="00D33150">
      <w:pPr>
        <w:pStyle w:val="a9"/>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План восстановления финансовой устойчивости – документ обновлен с учетом смены статуса НКЦ, а также с учетом новых методических рекомендаций Банка России в отношении планов восстановления финансовой устойчивости </w:t>
      </w:r>
      <w:r w:rsidR="00953173">
        <w:rPr>
          <w:rFonts w:ascii="Times New Roman" w:hAnsi="Times New Roman"/>
          <w:sz w:val="24"/>
          <w:szCs w:val="24"/>
        </w:rPr>
        <w:t>кредитной организации-центрального контрагента</w:t>
      </w:r>
      <w:r w:rsidR="0098619E">
        <w:rPr>
          <w:rFonts w:ascii="Times New Roman" w:hAnsi="Times New Roman"/>
          <w:sz w:val="24"/>
          <w:szCs w:val="24"/>
        </w:rPr>
        <w:t>;</w:t>
      </w:r>
    </w:p>
    <w:p w14:paraId="6EC2D7DA" w14:textId="77777777" w:rsidR="00D33150" w:rsidRPr="0076418E" w:rsidRDefault="00D33150" w:rsidP="00D33150">
      <w:pPr>
        <w:pStyle w:val="a9"/>
        <w:numPr>
          <w:ilvl w:val="0"/>
          <w:numId w:val="8"/>
        </w:numPr>
        <w:spacing w:after="0" w:line="240" w:lineRule="auto"/>
        <w:jc w:val="both"/>
        <w:rPr>
          <w:rFonts w:ascii="Times New Roman" w:hAnsi="Times New Roman"/>
          <w:sz w:val="24"/>
          <w:szCs w:val="24"/>
        </w:rPr>
      </w:pPr>
      <w:r w:rsidRPr="0076418E">
        <w:rPr>
          <w:rFonts w:ascii="Times New Roman" w:hAnsi="Times New Roman"/>
          <w:sz w:val="24"/>
          <w:szCs w:val="24"/>
        </w:rPr>
        <w:t>Стратегия управления рисками и капиталом, в новой редакции которой обновлены результаты идентификации наиболее значимых рисков</w:t>
      </w:r>
      <w:r>
        <w:rPr>
          <w:rFonts w:ascii="Times New Roman" w:hAnsi="Times New Roman"/>
          <w:sz w:val="24"/>
          <w:szCs w:val="24"/>
        </w:rPr>
        <w:t>, целевая структура рисков и капитала</w:t>
      </w:r>
      <w:r w:rsidRPr="0076418E">
        <w:rPr>
          <w:rFonts w:ascii="Times New Roman" w:hAnsi="Times New Roman"/>
          <w:sz w:val="24"/>
          <w:szCs w:val="24"/>
        </w:rPr>
        <w:t xml:space="preserve"> и представлен обновленный набор контрольных п</w:t>
      </w:r>
      <w:r>
        <w:rPr>
          <w:rFonts w:ascii="Times New Roman" w:hAnsi="Times New Roman"/>
          <w:sz w:val="24"/>
          <w:szCs w:val="24"/>
        </w:rPr>
        <w:t>оказателей риск-аппетита на 2018</w:t>
      </w:r>
      <w:r w:rsidRPr="0076418E">
        <w:rPr>
          <w:rFonts w:ascii="Times New Roman" w:hAnsi="Times New Roman"/>
          <w:sz w:val="24"/>
          <w:szCs w:val="24"/>
        </w:rPr>
        <w:t xml:space="preserve"> год;</w:t>
      </w:r>
    </w:p>
    <w:p w14:paraId="43DFBB75" w14:textId="4098555C" w:rsidR="00D33150" w:rsidRPr="00341240" w:rsidRDefault="0098619E" w:rsidP="00D33150">
      <w:pPr>
        <w:numPr>
          <w:ilvl w:val="0"/>
          <w:numId w:val="8"/>
        </w:numPr>
        <w:jc w:val="both"/>
        <w:rPr>
          <w:rFonts w:ascii="Times New Roman" w:eastAsia="Calibri" w:hAnsi="Times New Roman"/>
          <w:sz w:val="24"/>
          <w:szCs w:val="24"/>
        </w:rPr>
      </w:pPr>
      <w:r>
        <w:rPr>
          <w:rFonts w:ascii="Times New Roman" w:eastAsia="Calibri" w:hAnsi="Times New Roman"/>
          <w:sz w:val="24"/>
          <w:szCs w:val="24"/>
        </w:rPr>
        <w:t>к</w:t>
      </w:r>
      <w:r w:rsidR="00D33150" w:rsidRPr="00341240">
        <w:rPr>
          <w:rFonts w:ascii="Times New Roman" w:eastAsia="Calibri" w:hAnsi="Times New Roman"/>
          <w:sz w:val="24"/>
          <w:szCs w:val="24"/>
        </w:rPr>
        <w:t>онтрольные показатели риск-аппетита Банка на 201</w:t>
      </w:r>
      <w:r w:rsidR="00D33150">
        <w:rPr>
          <w:rFonts w:ascii="Times New Roman" w:eastAsia="Calibri" w:hAnsi="Times New Roman"/>
          <w:sz w:val="24"/>
          <w:szCs w:val="24"/>
        </w:rPr>
        <w:t>8</w:t>
      </w:r>
      <w:r w:rsidR="00D33150" w:rsidRPr="00341240">
        <w:rPr>
          <w:rFonts w:ascii="Times New Roman" w:eastAsia="Calibri" w:hAnsi="Times New Roman"/>
          <w:sz w:val="24"/>
          <w:szCs w:val="24"/>
        </w:rPr>
        <w:t xml:space="preserve"> год, установившие пороговые значения количественных и качественных показателей уровня значимых рисков на предстоящий год для целей последующего ежеквартального мониторинга;</w:t>
      </w:r>
    </w:p>
    <w:p w14:paraId="79275BAE" w14:textId="77777777" w:rsidR="00D33150" w:rsidRDefault="00D33150" w:rsidP="00D33150">
      <w:pPr>
        <w:numPr>
          <w:ilvl w:val="0"/>
          <w:numId w:val="8"/>
        </w:numPr>
        <w:jc w:val="both"/>
        <w:rPr>
          <w:rFonts w:ascii="Times New Roman" w:eastAsia="Calibri" w:hAnsi="Times New Roman"/>
          <w:sz w:val="24"/>
          <w:szCs w:val="24"/>
        </w:rPr>
      </w:pPr>
      <w:r>
        <w:rPr>
          <w:rFonts w:ascii="Times New Roman" w:eastAsia="Calibri" w:hAnsi="Times New Roman"/>
          <w:sz w:val="24"/>
          <w:szCs w:val="24"/>
        </w:rPr>
        <w:t>М</w:t>
      </w:r>
      <w:r w:rsidRPr="00FA38AF">
        <w:rPr>
          <w:rFonts w:ascii="Times New Roman" w:eastAsia="Calibri" w:hAnsi="Times New Roman"/>
          <w:sz w:val="24"/>
          <w:szCs w:val="24"/>
        </w:rPr>
        <w:t>етодика оценки экономического капитала Банка, содержащая описание подходов, используемых НКЦ для оценки требований к капиталу на покрытие наиболее значимы</w:t>
      </w:r>
      <w:r w:rsidRPr="0022265B">
        <w:rPr>
          <w:rFonts w:ascii="Times New Roman" w:eastAsia="Calibri" w:hAnsi="Times New Roman"/>
          <w:sz w:val="24"/>
          <w:szCs w:val="24"/>
        </w:rPr>
        <w:t>х рисков как на индивидуальном, так и на агрегированном уровне</w:t>
      </w:r>
      <w:r>
        <w:rPr>
          <w:rFonts w:ascii="Times New Roman" w:eastAsia="Calibri" w:hAnsi="Times New Roman"/>
          <w:sz w:val="24"/>
          <w:szCs w:val="24"/>
        </w:rPr>
        <w:t xml:space="preserve">. </w:t>
      </w:r>
      <w:r w:rsidRPr="00FA38AF">
        <w:rPr>
          <w:rFonts w:ascii="Times New Roman" w:eastAsia="Calibri" w:hAnsi="Times New Roman"/>
          <w:sz w:val="24"/>
          <w:szCs w:val="24"/>
        </w:rPr>
        <w:t xml:space="preserve">В новой редакции </w:t>
      </w:r>
      <w:r>
        <w:rPr>
          <w:rFonts w:ascii="Times New Roman" w:eastAsia="Calibri" w:hAnsi="Times New Roman"/>
          <w:sz w:val="24"/>
          <w:szCs w:val="24"/>
        </w:rPr>
        <w:t>М</w:t>
      </w:r>
      <w:r w:rsidRPr="00FA38AF">
        <w:rPr>
          <w:rFonts w:ascii="Times New Roman" w:eastAsia="Calibri" w:hAnsi="Times New Roman"/>
          <w:sz w:val="24"/>
          <w:szCs w:val="24"/>
        </w:rPr>
        <w:t xml:space="preserve">етодики </w:t>
      </w:r>
      <w:r>
        <w:rPr>
          <w:rFonts w:ascii="Times New Roman" w:eastAsia="Calibri" w:hAnsi="Times New Roman"/>
          <w:sz w:val="24"/>
          <w:szCs w:val="24"/>
        </w:rPr>
        <w:t xml:space="preserve">оценки экономического капитала </w:t>
      </w:r>
      <w:r w:rsidRPr="00FA38AF">
        <w:rPr>
          <w:rFonts w:ascii="Times New Roman" w:eastAsia="Calibri" w:hAnsi="Times New Roman"/>
          <w:sz w:val="24"/>
          <w:szCs w:val="24"/>
        </w:rPr>
        <w:t xml:space="preserve">обновлен порядок расчета требования к капиталу на покрытие рыночного риска и описан порядок расчета буфера к капиталу на покрытие возможных потерь в условиях стресса по кредитному, рыночному и операционному </w:t>
      </w:r>
      <w:r w:rsidRPr="00571E84">
        <w:rPr>
          <w:rFonts w:ascii="Times New Roman" w:eastAsia="Calibri" w:hAnsi="Times New Roman"/>
          <w:sz w:val="24"/>
          <w:szCs w:val="24"/>
        </w:rPr>
        <w:t>рискам</w:t>
      </w:r>
      <w:r>
        <w:rPr>
          <w:rFonts w:ascii="Times New Roman" w:eastAsia="Calibri" w:hAnsi="Times New Roman"/>
          <w:sz w:val="24"/>
          <w:szCs w:val="24"/>
        </w:rPr>
        <w:t>.</w:t>
      </w:r>
    </w:p>
    <w:p w14:paraId="380A60AE" w14:textId="77777777" w:rsidR="00EA71B4" w:rsidRDefault="0098619E" w:rsidP="0098619E">
      <w:pPr>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Совершенствование методологической базы процессов, связанных с управлением рисками и капиталом, остается одним из наиболее важных элементов деятельности НКЦ.</w:t>
      </w:r>
    </w:p>
    <w:p w14:paraId="575E77E1" w14:textId="77594DCB" w:rsidR="00953173" w:rsidRDefault="00953173" w:rsidP="0098619E">
      <w:pPr>
        <w:jc w:val="both"/>
        <w:rPr>
          <w:rFonts w:ascii="Times New Roman" w:eastAsia="Calibri" w:hAnsi="Times New Roman"/>
          <w:sz w:val="24"/>
          <w:szCs w:val="24"/>
        </w:rPr>
      </w:pPr>
      <w:r>
        <w:rPr>
          <w:rFonts w:ascii="Times New Roman" w:eastAsia="Calibri" w:hAnsi="Times New Roman"/>
          <w:sz w:val="24"/>
          <w:szCs w:val="24"/>
        </w:rPr>
        <w:t xml:space="preserve"> </w:t>
      </w:r>
    </w:p>
    <w:p w14:paraId="5E29CE60" w14:textId="77777777" w:rsidR="00D33150" w:rsidRPr="003221B6" w:rsidRDefault="00953173" w:rsidP="00EA71B4">
      <w:pPr>
        <w:pStyle w:val="2"/>
        <w:numPr>
          <w:ilvl w:val="1"/>
          <w:numId w:val="67"/>
        </w:numPr>
        <w:jc w:val="center"/>
        <w:rPr>
          <w:rFonts w:ascii="Times New Roman" w:eastAsia="Calibri" w:hAnsi="Times New Roman" w:cs="Times New Roman"/>
          <w:b/>
          <w:color w:val="auto"/>
          <w:sz w:val="28"/>
          <w:szCs w:val="28"/>
        </w:rPr>
      </w:pPr>
      <w:bookmarkStart w:id="15" w:name="_Toc510776663"/>
      <w:r w:rsidRPr="003221B6">
        <w:rPr>
          <w:rFonts w:ascii="Times New Roman" w:eastAsia="Calibri" w:hAnsi="Times New Roman" w:cs="Times New Roman"/>
          <w:b/>
          <w:color w:val="auto"/>
          <w:sz w:val="28"/>
          <w:szCs w:val="28"/>
        </w:rPr>
        <w:t>У</w:t>
      </w:r>
      <w:r w:rsidR="00D33150" w:rsidRPr="003221B6">
        <w:rPr>
          <w:rFonts w:ascii="Times New Roman" w:eastAsia="Calibri" w:hAnsi="Times New Roman" w:cs="Times New Roman"/>
          <w:b/>
          <w:color w:val="auto"/>
          <w:sz w:val="28"/>
          <w:szCs w:val="28"/>
        </w:rPr>
        <w:t>правление рисками клиринговой организации и центрального контрагента</w:t>
      </w:r>
      <w:bookmarkEnd w:id="15"/>
    </w:p>
    <w:p w14:paraId="04DF1856" w14:textId="085167D8" w:rsidR="00D33150" w:rsidRPr="00341240" w:rsidRDefault="0098619E" w:rsidP="00D33150">
      <w:pPr>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Развитие системы риск-менеджмента НКЦ в 201</w:t>
      </w:r>
      <w:r w:rsidR="00D33150">
        <w:rPr>
          <w:rFonts w:ascii="Times New Roman" w:eastAsia="Calibri" w:hAnsi="Times New Roman"/>
          <w:sz w:val="24"/>
          <w:szCs w:val="24"/>
        </w:rPr>
        <w:t>7</w:t>
      </w:r>
      <w:r w:rsidR="00D33150" w:rsidRPr="00341240">
        <w:rPr>
          <w:rFonts w:ascii="Times New Roman" w:eastAsia="Calibri" w:hAnsi="Times New Roman"/>
          <w:sz w:val="24"/>
          <w:szCs w:val="24"/>
        </w:rPr>
        <w:t xml:space="preserve"> году было ориентировано в первую очередь на обеспечение финансовой устойчивости и надежности </w:t>
      </w:r>
      <w:r w:rsidR="00D33150">
        <w:rPr>
          <w:rFonts w:ascii="Times New Roman" w:eastAsia="Calibri" w:hAnsi="Times New Roman"/>
          <w:sz w:val="24"/>
          <w:szCs w:val="24"/>
        </w:rPr>
        <w:t>НКЦ</w:t>
      </w:r>
      <w:r w:rsidR="00D33150" w:rsidRPr="00341240">
        <w:rPr>
          <w:rFonts w:ascii="Times New Roman" w:eastAsia="Calibri" w:hAnsi="Times New Roman"/>
          <w:sz w:val="24"/>
          <w:szCs w:val="24"/>
        </w:rPr>
        <w:t xml:space="preserve"> как клиринговой организаций и центрального контрагента и осуществлялось по следующим основным направлениям:</w:t>
      </w:r>
    </w:p>
    <w:p w14:paraId="7DB55E73" w14:textId="77777777" w:rsidR="00D33150" w:rsidRPr="00341240" w:rsidRDefault="00D33150" w:rsidP="00D33150">
      <w:pPr>
        <w:numPr>
          <w:ilvl w:val="0"/>
          <w:numId w:val="4"/>
        </w:numPr>
        <w:contextualSpacing/>
        <w:jc w:val="both"/>
        <w:rPr>
          <w:rFonts w:ascii="Times New Roman" w:eastAsia="Calibri" w:hAnsi="Times New Roman"/>
          <w:sz w:val="24"/>
          <w:szCs w:val="24"/>
        </w:rPr>
      </w:pPr>
      <w:r w:rsidRPr="00341240">
        <w:rPr>
          <w:rFonts w:ascii="Times New Roman" w:eastAsia="Calibri" w:hAnsi="Times New Roman"/>
          <w:sz w:val="24"/>
          <w:szCs w:val="24"/>
        </w:rPr>
        <w:lastRenderedPageBreak/>
        <w:t>обеспечение достаточности финансовых ресурсов для расчетов в нормальных рыночных условиях и в условиях экстремальной рыночной конъюнктуры;</w:t>
      </w:r>
    </w:p>
    <w:p w14:paraId="31F55F5C" w14:textId="77777777" w:rsidR="00D33150" w:rsidRPr="00341240" w:rsidRDefault="00D33150" w:rsidP="00D33150">
      <w:pPr>
        <w:numPr>
          <w:ilvl w:val="0"/>
          <w:numId w:val="4"/>
        </w:numPr>
        <w:contextualSpacing/>
        <w:jc w:val="both"/>
        <w:rPr>
          <w:rFonts w:ascii="Times New Roman" w:eastAsia="Calibri" w:hAnsi="Times New Roman"/>
          <w:sz w:val="24"/>
          <w:szCs w:val="24"/>
        </w:rPr>
      </w:pPr>
      <w:r w:rsidRPr="00341240">
        <w:rPr>
          <w:rFonts w:ascii="Times New Roman" w:eastAsia="Calibri" w:hAnsi="Times New Roman"/>
          <w:sz w:val="24"/>
          <w:szCs w:val="24"/>
        </w:rPr>
        <w:t>создание механизмов защиты от потенциальных убытков в случае дефолта участников клиринга;</w:t>
      </w:r>
    </w:p>
    <w:p w14:paraId="2D581062" w14:textId="77777777" w:rsidR="00D33150" w:rsidRPr="00341240" w:rsidRDefault="00D33150" w:rsidP="00D33150">
      <w:pPr>
        <w:numPr>
          <w:ilvl w:val="0"/>
          <w:numId w:val="4"/>
        </w:numPr>
        <w:contextualSpacing/>
        <w:jc w:val="both"/>
        <w:rPr>
          <w:rFonts w:ascii="Times New Roman" w:eastAsia="Calibri" w:hAnsi="Times New Roman"/>
          <w:sz w:val="24"/>
          <w:szCs w:val="24"/>
        </w:rPr>
      </w:pPr>
      <w:r w:rsidRPr="00341240">
        <w:rPr>
          <w:rFonts w:ascii="Times New Roman" w:eastAsia="Calibri" w:hAnsi="Times New Roman"/>
          <w:sz w:val="24"/>
          <w:szCs w:val="24"/>
        </w:rPr>
        <w:t xml:space="preserve">совершенствование методологии оценки рисков, необходимой для предоставления НКЦ новых клиринговых продуктов </w:t>
      </w:r>
      <w:r w:rsidRPr="00FA0207">
        <w:rPr>
          <w:rFonts w:ascii="Times New Roman" w:eastAsia="Calibri" w:hAnsi="Times New Roman"/>
          <w:sz w:val="24"/>
          <w:szCs w:val="24"/>
        </w:rPr>
        <w:t>и расширения списка</w:t>
      </w:r>
      <w:r w:rsidRPr="00341240">
        <w:rPr>
          <w:rFonts w:ascii="Times New Roman" w:eastAsia="Calibri" w:hAnsi="Times New Roman"/>
          <w:sz w:val="24"/>
          <w:szCs w:val="24"/>
        </w:rPr>
        <w:t xml:space="preserve"> инструментов, по которым осуществляется клиринг;</w:t>
      </w:r>
    </w:p>
    <w:p w14:paraId="26794FC7" w14:textId="77777777" w:rsidR="00D33150" w:rsidRPr="00341240" w:rsidRDefault="00D33150" w:rsidP="00D33150">
      <w:pPr>
        <w:numPr>
          <w:ilvl w:val="0"/>
          <w:numId w:val="4"/>
        </w:numPr>
        <w:contextualSpacing/>
        <w:jc w:val="both"/>
        <w:rPr>
          <w:rFonts w:ascii="Times New Roman" w:eastAsia="Calibri" w:hAnsi="Times New Roman"/>
          <w:sz w:val="24"/>
          <w:szCs w:val="24"/>
        </w:rPr>
      </w:pPr>
      <w:r w:rsidRPr="00341240">
        <w:rPr>
          <w:rFonts w:ascii="Times New Roman" w:eastAsia="Calibri" w:hAnsi="Times New Roman"/>
          <w:sz w:val="24"/>
          <w:szCs w:val="24"/>
        </w:rPr>
        <w:t>реализация мер по поддержанию соответствия текущей деятельности НКЦ требованиям Банка России для центральных контрагентов, качество управления которых признано «удовлетворительным» в соответствии с требованиями Указания № 2919-У;</w:t>
      </w:r>
    </w:p>
    <w:p w14:paraId="16F64669" w14:textId="77777777" w:rsidR="00D33150" w:rsidRPr="00210A93" w:rsidRDefault="00D33150" w:rsidP="00D33150">
      <w:pPr>
        <w:numPr>
          <w:ilvl w:val="0"/>
          <w:numId w:val="4"/>
        </w:numPr>
        <w:contextualSpacing/>
        <w:jc w:val="both"/>
        <w:rPr>
          <w:rFonts w:ascii="Times New Roman" w:eastAsia="Calibri" w:hAnsi="Times New Roman"/>
          <w:sz w:val="24"/>
          <w:szCs w:val="24"/>
        </w:rPr>
      </w:pPr>
      <w:r w:rsidRPr="00341240">
        <w:rPr>
          <w:rFonts w:ascii="Times New Roman" w:eastAsia="Calibri" w:hAnsi="Times New Roman"/>
          <w:sz w:val="24"/>
          <w:szCs w:val="24"/>
        </w:rPr>
        <w:t>обеспечение информационной прозрачности, позволяющей участникам клиринга адекватно оценивать риски, а органам надзора осуществлять эффективное регулирование их деятельности.</w:t>
      </w:r>
    </w:p>
    <w:p w14:paraId="00F7D7B5" w14:textId="77777777" w:rsidR="00D33150" w:rsidRPr="00210A93" w:rsidRDefault="00D33150" w:rsidP="003221B6">
      <w:pPr>
        <w:pStyle w:val="3"/>
        <w:jc w:val="center"/>
        <w:rPr>
          <w:rFonts w:ascii="Times New Roman" w:eastAsia="Calibri" w:hAnsi="Times New Roman" w:cs="Times New Roman"/>
          <w:b/>
          <w:i/>
          <w:color w:val="auto"/>
        </w:rPr>
      </w:pPr>
      <w:bookmarkStart w:id="16" w:name="_Toc510776664"/>
      <w:r w:rsidRPr="00C11834">
        <w:rPr>
          <w:rFonts w:ascii="Times New Roman" w:eastAsia="Calibri" w:hAnsi="Times New Roman" w:cs="Times New Roman"/>
          <w:b/>
          <w:i/>
          <w:color w:val="auto"/>
        </w:rPr>
        <w:t>Система маржирования сделок участников клиринга</w:t>
      </w:r>
      <w:bookmarkEnd w:id="16"/>
    </w:p>
    <w:p w14:paraId="3F1AD8A7" w14:textId="77777777" w:rsidR="00D33150" w:rsidRPr="00341240" w:rsidRDefault="00D33150" w:rsidP="00D33150">
      <w:pPr>
        <w:spacing w:before="120"/>
        <w:ind w:firstLine="567"/>
        <w:jc w:val="both"/>
        <w:rPr>
          <w:rFonts w:ascii="Times New Roman" w:eastAsia="Calibri" w:hAnsi="Times New Roman"/>
          <w:sz w:val="24"/>
          <w:szCs w:val="24"/>
        </w:rPr>
      </w:pPr>
      <w:r w:rsidRPr="00341240">
        <w:rPr>
          <w:rFonts w:ascii="Times New Roman" w:eastAsia="Calibri" w:hAnsi="Times New Roman"/>
          <w:sz w:val="24"/>
          <w:szCs w:val="24"/>
        </w:rPr>
        <w:t>В НКЦ используются различные модели для определения требований к размеру обеспечения в зависимости от конкретного рынка.</w:t>
      </w:r>
      <w:r w:rsidRPr="00341240">
        <w:rPr>
          <w:rFonts w:ascii="Times New Roman" w:eastAsia="Calibri" w:hAnsi="Times New Roman"/>
        </w:rPr>
        <w:t xml:space="preserve"> </w:t>
      </w:r>
      <w:r w:rsidRPr="00341240">
        <w:rPr>
          <w:rFonts w:ascii="Times New Roman" w:eastAsia="Calibri" w:hAnsi="Times New Roman"/>
          <w:sz w:val="24"/>
          <w:szCs w:val="24"/>
        </w:rPr>
        <w:t xml:space="preserve">Модель определения требований к размеру обеспечения учитывает особенности инструментов и, соответственно, применяется с небольшими различиями, принимающими во внимание особенности каждого из них. </w:t>
      </w:r>
    </w:p>
    <w:p w14:paraId="03F6445B" w14:textId="77777777" w:rsidR="00D33150" w:rsidRPr="00341240" w:rsidRDefault="00D33150" w:rsidP="00D33150">
      <w:pPr>
        <w:spacing w:before="120"/>
        <w:ind w:firstLine="567"/>
        <w:jc w:val="both"/>
        <w:rPr>
          <w:rFonts w:ascii="Times New Roman" w:eastAsia="Calibri" w:hAnsi="Times New Roman"/>
          <w:sz w:val="24"/>
          <w:szCs w:val="24"/>
        </w:rPr>
      </w:pPr>
      <w:r w:rsidRPr="00341240">
        <w:rPr>
          <w:rFonts w:ascii="Times New Roman" w:eastAsia="Calibri" w:hAnsi="Times New Roman"/>
          <w:sz w:val="24"/>
          <w:szCs w:val="24"/>
        </w:rPr>
        <w:t xml:space="preserve">Сценарии, используемые в моделях маржирования, калибруются на исторических данных, а также с учетом потенциальных сценариев движения цен активов, еще не отраженных в исторических данных, таким образом, чтобы обеспечить на всех рынках доверительную вероятность требуемого размера обеспечения не менее 99%. </w:t>
      </w:r>
    </w:p>
    <w:p w14:paraId="19A91327" w14:textId="77777777" w:rsidR="00D33150" w:rsidRPr="00341240" w:rsidRDefault="00D33150" w:rsidP="00D33150">
      <w:pPr>
        <w:spacing w:before="120"/>
        <w:ind w:firstLine="567"/>
        <w:jc w:val="both"/>
        <w:rPr>
          <w:rFonts w:ascii="Times New Roman" w:eastAsia="Calibri" w:hAnsi="Times New Roman"/>
          <w:sz w:val="24"/>
          <w:szCs w:val="24"/>
        </w:rPr>
      </w:pPr>
      <w:r w:rsidRPr="00341240">
        <w:rPr>
          <w:rFonts w:ascii="Times New Roman" w:eastAsia="Calibri" w:hAnsi="Times New Roman"/>
          <w:sz w:val="24"/>
          <w:szCs w:val="24"/>
        </w:rPr>
        <w:t>В зависимости от конкретного рынка отличаются также типы активов, принимаемых в обеспечение:</w:t>
      </w:r>
    </w:p>
    <w:tbl>
      <w:tblPr>
        <w:tblW w:w="9381" w:type="dxa"/>
        <w:tblCellMar>
          <w:left w:w="0" w:type="dxa"/>
          <w:right w:w="0" w:type="dxa"/>
        </w:tblCellMar>
        <w:tblLook w:val="0420" w:firstRow="1" w:lastRow="0" w:firstColumn="0" w:lastColumn="0" w:noHBand="0" w:noVBand="1"/>
      </w:tblPr>
      <w:tblGrid>
        <w:gridCol w:w="2451"/>
        <w:gridCol w:w="915"/>
        <w:gridCol w:w="1445"/>
        <w:gridCol w:w="1430"/>
        <w:gridCol w:w="1206"/>
        <w:gridCol w:w="959"/>
        <w:gridCol w:w="975"/>
      </w:tblGrid>
      <w:tr w:rsidR="00D33150" w:rsidRPr="00FE12AD" w14:paraId="5B2D88DD" w14:textId="77777777" w:rsidTr="008D4996">
        <w:trPr>
          <w:trHeight w:val="465"/>
        </w:trPr>
        <w:tc>
          <w:tcPr>
            <w:tcW w:w="9381" w:type="dxa"/>
            <w:gridSpan w:val="7"/>
            <w:tcBorders>
              <w:top w:val="single" w:sz="8" w:space="0" w:color="FFFFFF"/>
              <w:left w:val="single" w:sz="8" w:space="0" w:color="FFFFFF"/>
              <w:bottom w:val="single" w:sz="24" w:space="0" w:color="FFFFFF"/>
              <w:right w:val="single" w:sz="8" w:space="0" w:color="FFFFFF"/>
            </w:tcBorders>
            <w:shd w:val="clear" w:color="auto" w:fill="CC0000"/>
            <w:tcMar>
              <w:top w:w="72" w:type="dxa"/>
              <w:left w:w="57" w:type="dxa"/>
              <w:bottom w:w="72" w:type="dxa"/>
              <w:right w:w="57" w:type="dxa"/>
            </w:tcMar>
            <w:hideMark/>
          </w:tcPr>
          <w:p w14:paraId="06508C93" w14:textId="77777777" w:rsidR="00D33150" w:rsidRPr="00FE12AD" w:rsidRDefault="00D33150" w:rsidP="008D4996">
            <w:pPr>
              <w:rPr>
                <w:rFonts w:ascii="Times New Roman" w:eastAsia="Times New Roman" w:hAnsi="Times New Roman"/>
                <w:szCs w:val="36"/>
                <w:lang w:eastAsia="ru-RU"/>
              </w:rPr>
            </w:pPr>
            <w:r w:rsidRPr="00FE12AD">
              <w:rPr>
                <w:rFonts w:ascii="Times New Roman" w:eastAsia="Times New Roman" w:hAnsi="Times New Roman"/>
                <w:b/>
                <w:bCs/>
                <w:color w:val="FFFFFF"/>
                <w:kern w:val="24"/>
                <w:szCs w:val="28"/>
                <w:lang w:eastAsia="ru-RU"/>
              </w:rPr>
              <w:t>Типы активов, принимаемых в обеспечение на рынках Московской Биржи</w:t>
            </w:r>
          </w:p>
        </w:tc>
      </w:tr>
      <w:tr w:rsidR="00D33150" w:rsidRPr="00FE12AD" w14:paraId="185BD4B3" w14:textId="77777777" w:rsidTr="008D4996">
        <w:trPr>
          <w:trHeight w:val="429"/>
        </w:trPr>
        <w:tc>
          <w:tcPr>
            <w:tcW w:w="2451" w:type="dxa"/>
            <w:tcBorders>
              <w:top w:val="single" w:sz="24"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7CE87F97" w14:textId="77777777" w:rsidR="00D33150" w:rsidRPr="00FE12AD" w:rsidRDefault="00D33150" w:rsidP="008D4996">
            <w:pP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Рынок</w:t>
            </w:r>
          </w:p>
        </w:tc>
        <w:tc>
          <w:tcPr>
            <w:tcW w:w="915" w:type="dxa"/>
            <w:tcBorders>
              <w:top w:val="single" w:sz="24"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7E73C6FA"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Рубли</w:t>
            </w:r>
          </w:p>
        </w:tc>
        <w:tc>
          <w:tcPr>
            <w:tcW w:w="1445" w:type="dxa"/>
            <w:tcBorders>
              <w:top w:val="single" w:sz="24"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3AA5603A"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Иностранные валюты</w:t>
            </w:r>
          </w:p>
        </w:tc>
        <w:tc>
          <w:tcPr>
            <w:tcW w:w="1430" w:type="dxa"/>
            <w:tcBorders>
              <w:top w:val="single" w:sz="24"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75697133"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Драгоценные металлы</w:t>
            </w:r>
          </w:p>
        </w:tc>
        <w:tc>
          <w:tcPr>
            <w:tcW w:w="1206" w:type="dxa"/>
            <w:tcBorders>
              <w:top w:val="single" w:sz="24"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6928B373"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Облигации</w:t>
            </w:r>
          </w:p>
        </w:tc>
        <w:tc>
          <w:tcPr>
            <w:tcW w:w="959" w:type="dxa"/>
            <w:tcBorders>
              <w:top w:val="single" w:sz="24"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597941C8"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Акции</w:t>
            </w:r>
          </w:p>
        </w:tc>
        <w:tc>
          <w:tcPr>
            <w:tcW w:w="971" w:type="dxa"/>
            <w:tcBorders>
              <w:top w:val="single" w:sz="24"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1BDD6AED"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Товары</w:t>
            </w:r>
          </w:p>
        </w:tc>
      </w:tr>
      <w:tr w:rsidR="00D33150" w:rsidRPr="00FE12AD" w14:paraId="795473A0" w14:textId="77777777" w:rsidTr="008D4996">
        <w:trPr>
          <w:trHeight w:val="429"/>
        </w:trPr>
        <w:tc>
          <w:tcPr>
            <w:tcW w:w="2451" w:type="dxa"/>
            <w:tcBorders>
              <w:top w:val="single" w:sz="8" w:space="0" w:color="FFFFFF"/>
              <w:left w:val="single" w:sz="8" w:space="0" w:color="FFFFFF"/>
              <w:bottom w:val="single" w:sz="8" w:space="0" w:color="FFFFFF"/>
              <w:right w:val="single" w:sz="8" w:space="0" w:color="FFFFFF"/>
            </w:tcBorders>
            <w:shd w:val="clear" w:color="auto" w:fill="FFFFFF"/>
            <w:tcMar>
              <w:top w:w="72" w:type="dxa"/>
              <w:left w:w="57" w:type="dxa"/>
              <w:bottom w:w="72" w:type="dxa"/>
              <w:right w:w="57" w:type="dxa"/>
            </w:tcMar>
            <w:hideMark/>
          </w:tcPr>
          <w:p w14:paraId="15FB9F43" w14:textId="77777777" w:rsidR="00D33150" w:rsidRPr="00FE12AD" w:rsidRDefault="00D33150" w:rsidP="008D4996">
            <w:pP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Валютный рынок</w:t>
            </w:r>
          </w:p>
        </w:tc>
        <w:tc>
          <w:tcPr>
            <w:tcW w:w="915" w:type="dxa"/>
            <w:tcBorders>
              <w:top w:val="single" w:sz="8" w:space="0" w:color="FFFFFF"/>
              <w:left w:val="single" w:sz="8" w:space="0" w:color="FFFFFF"/>
              <w:bottom w:val="single" w:sz="8" w:space="0" w:color="FFFFFF"/>
              <w:right w:val="single" w:sz="8" w:space="0" w:color="FFFFFF"/>
            </w:tcBorders>
            <w:shd w:val="clear" w:color="auto" w:fill="FFFFFF"/>
            <w:tcMar>
              <w:top w:w="72" w:type="dxa"/>
              <w:left w:w="57" w:type="dxa"/>
              <w:bottom w:w="72" w:type="dxa"/>
              <w:right w:w="57" w:type="dxa"/>
            </w:tcMar>
            <w:hideMark/>
          </w:tcPr>
          <w:p w14:paraId="711984B6"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1445" w:type="dxa"/>
            <w:tcBorders>
              <w:top w:val="single" w:sz="8" w:space="0" w:color="FFFFFF"/>
              <w:left w:val="single" w:sz="8" w:space="0" w:color="FFFFFF"/>
              <w:bottom w:val="single" w:sz="8" w:space="0" w:color="FFFFFF"/>
              <w:right w:val="single" w:sz="8" w:space="0" w:color="FFFFFF"/>
            </w:tcBorders>
            <w:shd w:val="clear" w:color="auto" w:fill="FFFFFF"/>
            <w:tcMar>
              <w:top w:w="72" w:type="dxa"/>
              <w:left w:w="57" w:type="dxa"/>
              <w:bottom w:w="72" w:type="dxa"/>
              <w:right w:w="57" w:type="dxa"/>
            </w:tcMar>
            <w:hideMark/>
          </w:tcPr>
          <w:p w14:paraId="7B051CDF"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1430" w:type="dxa"/>
            <w:tcBorders>
              <w:top w:val="single" w:sz="8" w:space="0" w:color="FFFFFF"/>
              <w:left w:val="single" w:sz="8" w:space="0" w:color="FFFFFF"/>
              <w:bottom w:val="single" w:sz="8" w:space="0" w:color="FFFFFF"/>
              <w:right w:val="single" w:sz="8" w:space="0" w:color="FFFFFF"/>
            </w:tcBorders>
            <w:shd w:val="clear" w:color="auto" w:fill="FFFFFF"/>
            <w:tcMar>
              <w:top w:w="72" w:type="dxa"/>
              <w:left w:w="57" w:type="dxa"/>
              <w:bottom w:w="72" w:type="dxa"/>
              <w:right w:w="57" w:type="dxa"/>
            </w:tcMar>
            <w:hideMark/>
          </w:tcPr>
          <w:p w14:paraId="0E318070"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1206" w:type="dxa"/>
            <w:tcBorders>
              <w:top w:val="single" w:sz="8" w:space="0" w:color="FFFFFF"/>
              <w:left w:val="single" w:sz="8" w:space="0" w:color="FFFFFF"/>
              <w:bottom w:val="single" w:sz="8" w:space="0" w:color="FFFFFF"/>
              <w:right w:val="single" w:sz="8" w:space="0" w:color="FFFFFF"/>
            </w:tcBorders>
            <w:shd w:val="clear" w:color="auto" w:fill="FFFFFF"/>
            <w:tcMar>
              <w:top w:w="72" w:type="dxa"/>
              <w:left w:w="57" w:type="dxa"/>
              <w:bottom w:w="72" w:type="dxa"/>
              <w:right w:w="57" w:type="dxa"/>
            </w:tcMar>
            <w:hideMark/>
          </w:tcPr>
          <w:p w14:paraId="1C19120B"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959" w:type="dxa"/>
            <w:tcBorders>
              <w:top w:val="single" w:sz="8" w:space="0" w:color="FFFFFF"/>
              <w:left w:val="single" w:sz="8" w:space="0" w:color="FFFFFF"/>
              <w:bottom w:val="single" w:sz="8" w:space="0" w:color="FFFFFF"/>
              <w:right w:val="single" w:sz="8" w:space="0" w:color="FFFFFF"/>
            </w:tcBorders>
            <w:shd w:val="clear" w:color="auto" w:fill="FFFFFF"/>
            <w:tcMar>
              <w:top w:w="72" w:type="dxa"/>
              <w:left w:w="57" w:type="dxa"/>
              <w:bottom w:w="72" w:type="dxa"/>
              <w:right w:w="57" w:type="dxa"/>
            </w:tcMar>
            <w:hideMark/>
          </w:tcPr>
          <w:p w14:paraId="08D6032C"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971" w:type="dxa"/>
            <w:tcBorders>
              <w:top w:val="single" w:sz="8" w:space="0" w:color="FFFFFF"/>
              <w:left w:val="single" w:sz="8" w:space="0" w:color="FFFFFF"/>
              <w:bottom w:val="single" w:sz="8" w:space="0" w:color="FFFFFF"/>
              <w:right w:val="single" w:sz="8" w:space="0" w:color="FFFFFF"/>
            </w:tcBorders>
            <w:shd w:val="clear" w:color="auto" w:fill="FFFFFF"/>
            <w:tcMar>
              <w:top w:w="72" w:type="dxa"/>
              <w:left w:w="57" w:type="dxa"/>
              <w:bottom w:w="72" w:type="dxa"/>
              <w:right w:w="57" w:type="dxa"/>
            </w:tcMar>
            <w:hideMark/>
          </w:tcPr>
          <w:p w14:paraId="154453ED"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r>
      <w:tr w:rsidR="00D33150" w:rsidRPr="00FE12AD" w14:paraId="530E445E" w14:textId="77777777" w:rsidTr="008D4996">
        <w:trPr>
          <w:trHeight w:val="143"/>
        </w:trPr>
        <w:tc>
          <w:tcPr>
            <w:tcW w:w="2451" w:type="dxa"/>
            <w:tcBorders>
              <w:top w:val="single" w:sz="8"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37E4BABC" w14:textId="77777777" w:rsidR="00D33150" w:rsidRPr="00FE12AD" w:rsidRDefault="00D33150" w:rsidP="008D4996">
            <w:pP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Рынок ценных бумаг</w:t>
            </w:r>
          </w:p>
        </w:tc>
        <w:tc>
          <w:tcPr>
            <w:tcW w:w="915" w:type="dxa"/>
            <w:tcBorders>
              <w:top w:val="single" w:sz="8"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5CDC90A4"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1445" w:type="dxa"/>
            <w:tcBorders>
              <w:top w:val="single" w:sz="8"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14A5D552"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1430" w:type="dxa"/>
            <w:tcBorders>
              <w:top w:val="single" w:sz="8"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38F57A4A"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1206" w:type="dxa"/>
            <w:tcBorders>
              <w:top w:val="single" w:sz="8"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3C613802"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959" w:type="dxa"/>
            <w:tcBorders>
              <w:top w:val="single" w:sz="8"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78AE775F"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971" w:type="dxa"/>
            <w:tcBorders>
              <w:top w:val="single" w:sz="8"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58265EC3"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r>
      <w:tr w:rsidR="00D33150" w:rsidRPr="00FE12AD" w14:paraId="3A7BFC8F" w14:textId="77777777" w:rsidTr="008D4996">
        <w:trPr>
          <w:trHeight w:val="279"/>
        </w:trPr>
        <w:tc>
          <w:tcPr>
            <w:tcW w:w="2451" w:type="dxa"/>
            <w:tcBorders>
              <w:top w:val="single" w:sz="8" w:space="0" w:color="FFFFFF"/>
              <w:left w:val="single" w:sz="8" w:space="0" w:color="FFFFFF"/>
              <w:bottom w:val="single" w:sz="8" w:space="0" w:color="FFFFFF"/>
              <w:right w:val="single" w:sz="8" w:space="0" w:color="FFFFFF"/>
            </w:tcBorders>
            <w:shd w:val="clear" w:color="auto" w:fill="FFFFFF"/>
            <w:tcMar>
              <w:top w:w="72" w:type="dxa"/>
              <w:left w:w="57" w:type="dxa"/>
              <w:bottom w:w="72" w:type="dxa"/>
              <w:right w:w="57" w:type="dxa"/>
            </w:tcMar>
            <w:hideMark/>
          </w:tcPr>
          <w:p w14:paraId="6561A8B5" w14:textId="77777777" w:rsidR="00D33150" w:rsidRPr="00FE12AD" w:rsidRDefault="00D33150" w:rsidP="008D4996">
            <w:pP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Срочный рынок</w:t>
            </w:r>
          </w:p>
        </w:tc>
        <w:tc>
          <w:tcPr>
            <w:tcW w:w="915" w:type="dxa"/>
            <w:tcBorders>
              <w:top w:val="single" w:sz="8" w:space="0" w:color="FFFFFF"/>
              <w:left w:val="single" w:sz="8" w:space="0" w:color="FFFFFF"/>
              <w:bottom w:val="single" w:sz="8" w:space="0" w:color="FFFFFF"/>
              <w:right w:val="single" w:sz="8" w:space="0" w:color="FFFFFF"/>
            </w:tcBorders>
            <w:shd w:val="clear" w:color="auto" w:fill="FFFFFF"/>
            <w:tcMar>
              <w:top w:w="72" w:type="dxa"/>
              <w:left w:w="57" w:type="dxa"/>
              <w:bottom w:w="72" w:type="dxa"/>
              <w:right w:w="57" w:type="dxa"/>
            </w:tcMar>
            <w:hideMark/>
          </w:tcPr>
          <w:p w14:paraId="6E920A6F"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1445" w:type="dxa"/>
            <w:tcBorders>
              <w:top w:val="single" w:sz="8" w:space="0" w:color="FFFFFF"/>
              <w:left w:val="single" w:sz="8" w:space="0" w:color="FFFFFF"/>
              <w:bottom w:val="single" w:sz="8" w:space="0" w:color="FFFFFF"/>
              <w:right w:val="single" w:sz="8" w:space="0" w:color="FFFFFF"/>
            </w:tcBorders>
            <w:shd w:val="clear" w:color="auto" w:fill="FFFFFF"/>
            <w:tcMar>
              <w:top w:w="72" w:type="dxa"/>
              <w:left w:w="57" w:type="dxa"/>
              <w:bottom w:w="72" w:type="dxa"/>
              <w:right w:w="57" w:type="dxa"/>
            </w:tcMar>
            <w:hideMark/>
          </w:tcPr>
          <w:p w14:paraId="73A726A1"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1430" w:type="dxa"/>
            <w:tcBorders>
              <w:top w:val="single" w:sz="8" w:space="0" w:color="FFFFFF"/>
              <w:left w:val="single" w:sz="8" w:space="0" w:color="FFFFFF"/>
              <w:bottom w:val="single" w:sz="8" w:space="0" w:color="FFFFFF"/>
              <w:right w:val="single" w:sz="8" w:space="0" w:color="FFFFFF"/>
            </w:tcBorders>
            <w:shd w:val="clear" w:color="auto" w:fill="FFFFFF"/>
            <w:tcMar>
              <w:top w:w="72" w:type="dxa"/>
              <w:left w:w="57" w:type="dxa"/>
              <w:bottom w:w="72" w:type="dxa"/>
              <w:right w:w="57" w:type="dxa"/>
            </w:tcMar>
            <w:hideMark/>
          </w:tcPr>
          <w:p w14:paraId="6E81D450"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1206" w:type="dxa"/>
            <w:tcBorders>
              <w:top w:val="single" w:sz="8" w:space="0" w:color="FFFFFF"/>
              <w:left w:val="single" w:sz="8" w:space="0" w:color="FFFFFF"/>
              <w:bottom w:val="single" w:sz="8" w:space="0" w:color="FFFFFF"/>
              <w:right w:val="single" w:sz="8" w:space="0" w:color="FFFFFF"/>
            </w:tcBorders>
            <w:shd w:val="clear" w:color="auto" w:fill="FFFFFF"/>
            <w:tcMar>
              <w:top w:w="72" w:type="dxa"/>
              <w:left w:w="57" w:type="dxa"/>
              <w:bottom w:w="72" w:type="dxa"/>
              <w:right w:w="57" w:type="dxa"/>
            </w:tcMar>
            <w:hideMark/>
          </w:tcPr>
          <w:p w14:paraId="05BAFB93"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959" w:type="dxa"/>
            <w:tcBorders>
              <w:top w:val="single" w:sz="8" w:space="0" w:color="FFFFFF"/>
              <w:left w:val="single" w:sz="8" w:space="0" w:color="FFFFFF"/>
              <w:bottom w:val="single" w:sz="8" w:space="0" w:color="FFFFFF"/>
              <w:right w:val="single" w:sz="8" w:space="0" w:color="FFFFFF"/>
            </w:tcBorders>
            <w:shd w:val="clear" w:color="auto" w:fill="FFFFFF"/>
            <w:tcMar>
              <w:top w:w="72" w:type="dxa"/>
              <w:left w:w="57" w:type="dxa"/>
              <w:bottom w:w="72" w:type="dxa"/>
              <w:right w:w="57" w:type="dxa"/>
            </w:tcMar>
            <w:hideMark/>
          </w:tcPr>
          <w:p w14:paraId="7151E947"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971" w:type="dxa"/>
            <w:tcBorders>
              <w:top w:val="single" w:sz="8" w:space="0" w:color="FFFFFF"/>
              <w:left w:val="single" w:sz="8" w:space="0" w:color="FFFFFF"/>
              <w:bottom w:val="single" w:sz="8" w:space="0" w:color="FFFFFF"/>
              <w:right w:val="single" w:sz="8" w:space="0" w:color="FFFFFF"/>
            </w:tcBorders>
            <w:shd w:val="clear" w:color="auto" w:fill="FFFFFF"/>
            <w:tcMar>
              <w:top w:w="72" w:type="dxa"/>
              <w:left w:w="57" w:type="dxa"/>
              <w:bottom w:w="72" w:type="dxa"/>
              <w:right w:w="57" w:type="dxa"/>
            </w:tcMar>
            <w:hideMark/>
          </w:tcPr>
          <w:p w14:paraId="6E6F2F71"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r>
      <w:tr w:rsidR="00D33150" w:rsidRPr="00FE12AD" w14:paraId="0F037B98" w14:textId="77777777" w:rsidTr="008D4996">
        <w:trPr>
          <w:trHeight w:val="143"/>
        </w:trPr>
        <w:tc>
          <w:tcPr>
            <w:tcW w:w="2451" w:type="dxa"/>
            <w:tcBorders>
              <w:top w:val="single" w:sz="8"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4194D330" w14:textId="77777777" w:rsidR="00D33150" w:rsidRPr="00FE12AD" w:rsidRDefault="00D33150" w:rsidP="008D4996">
            <w:pP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Рынок Стандартизированных ПФИ</w:t>
            </w:r>
          </w:p>
        </w:tc>
        <w:tc>
          <w:tcPr>
            <w:tcW w:w="915" w:type="dxa"/>
            <w:tcBorders>
              <w:top w:val="single" w:sz="8"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0576BF18"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1445" w:type="dxa"/>
            <w:tcBorders>
              <w:top w:val="single" w:sz="8"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378DA95A"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1430" w:type="dxa"/>
            <w:tcBorders>
              <w:top w:val="single" w:sz="8"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50A6ACEC"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1206" w:type="dxa"/>
            <w:tcBorders>
              <w:top w:val="single" w:sz="8"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2544C1A9"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959" w:type="dxa"/>
            <w:tcBorders>
              <w:top w:val="single" w:sz="8"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59C647C2"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971" w:type="dxa"/>
            <w:tcBorders>
              <w:top w:val="single" w:sz="8" w:space="0" w:color="FFFFFF"/>
              <w:left w:val="single" w:sz="8" w:space="0" w:color="FFFFFF"/>
              <w:bottom w:val="single" w:sz="8" w:space="0" w:color="FFFFFF"/>
              <w:right w:val="single" w:sz="8" w:space="0" w:color="FFFFFF"/>
            </w:tcBorders>
            <w:shd w:val="clear" w:color="auto" w:fill="D9D9D9"/>
            <w:tcMar>
              <w:top w:w="72" w:type="dxa"/>
              <w:left w:w="57" w:type="dxa"/>
              <w:bottom w:w="72" w:type="dxa"/>
              <w:right w:w="57" w:type="dxa"/>
            </w:tcMar>
            <w:hideMark/>
          </w:tcPr>
          <w:p w14:paraId="26BBD5BD"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r>
      <w:tr w:rsidR="00D33150" w:rsidRPr="00FE12AD" w14:paraId="5175F7FC" w14:textId="77777777" w:rsidTr="008D4996">
        <w:trPr>
          <w:trHeight w:val="429"/>
        </w:trPr>
        <w:tc>
          <w:tcPr>
            <w:tcW w:w="2451" w:type="dxa"/>
            <w:tcBorders>
              <w:top w:val="single" w:sz="8" w:space="0" w:color="FFFFFF"/>
              <w:left w:val="single" w:sz="8" w:space="0" w:color="FFFFFF"/>
              <w:bottom w:val="single" w:sz="8" w:space="0" w:color="000000"/>
              <w:right w:val="single" w:sz="8" w:space="0" w:color="FFFFFF"/>
            </w:tcBorders>
            <w:shd w:val="clear" w:color="auto" w:fill="FFFFFF"/>
            <w:tcMar>
              <w:top w:w="72" w:type="dxa"/>
              <w:left w:w="57" w:type="dxa"/>
              <w:bottom w:w="72" w:type="dxa"/>
              <w:right w:w="57" w:type="dxa"/>
            </w:tcMar>
            <w:hideMark/>
          </w:tcPr>
          <w:p w14:paraId="13A93815" w14:textId="77777777" w:rsidR="00D33150" w:rsidRPr="00FE12AD" w:rsidRDefault="00D33150" w:rsidP="008D4996">
            <w:pP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Товарный рынок</w:t>
            </w:r>
          </w:p>
        </w:tc>
        <w:tc>
          <w:tcPr>
            <w:tcW w:w="915" w:type="dxa"/>
            <w:tcBorders>
              <w:top w:val="single" w:sz="8" w:space="0" w:color="FFFFFF"/>
              <w:left w:val="single" w:sz="8" w:space="0" w:color="FFFFFF"/>
              <w:bottom w:val="single" w:sz="8" w:space="0" w:color="000000"/>
              <w:right w:val="single" w:sz="8" w:space="0" w:color="FFFFFF"/>
            </w:tcBorders>
            <w:shd w:val="clear" w:color="auto" w:fill="FFFFFF"/>
            <w:tcMar>
              <w:top w:w="72" w:type="dxa"/>
              <w:left w:w="57" w:type="dxa"/>
              <w:bottom w:w="72" w:type="dxa"/>
              <w:right w:w="57" w:type="dxa"/>
            </w:tcMar>
            <w:hideMark/>
          </w:tcPr>
          <w:p w14:paraId="5DD94A81"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1445" w:type="dxa"/>
            <w:tcBorders>
              <w:top w:val="single" w:sz="8" w:space="0" w:color="FFFFFF"/>
              <w:left w:val="single" w:sz="8" w:space="0" w:color="FFFFFF"/>
              <w:bottom w:val="single" w:sz="8" w:space="0" w:color="000000"/>
              <w:right w:val="single" w:sz="8" w:space="0" w:color="FFFFFF"/>
            </w:tcBorders>
            <w:shd w:val="clear" w:color="auto" w:fill="FFFFFF"/>
            <w:tcMar>
              <w:top w:w="72" w:type="dxa"/>
              <w:left w:w="57" w:type="dxa"/>
              <w:bottom w:w="72" w:type="dxa"/>
              <w:right w:w="57" w:type="dxa"/>
            </w:tcMar>
            <w:hideMark/>
          </w:tcPr>
          <w:p w14:paraId="740C1EA3"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1430" w:type="dxa"/>
            <w:tcBorders>
              <w:top w:val="single" w:sz="8" w:space="0" w:color="FFFFFF"/>
              <w:left w:val="single" w:sz="8" w:space="0" w:color="FFFFFF"/>
              <w:bottom w:val="single" w:sz="8" w:space="0" w:color="000000"/>
              <w:right w:val="single" w:sz="8" w:space="0" w:color="FFFFFF"/>
            </w:tcBorders>
            <w:shd w:val="clear" w:color="auto" w:fill="FFFFFF"/>
            <w:tcMar>
              <w:top w:w="72" w:type="dxa"/>
              <w:left w:w="57" w:type="dxa"/>
              <w:bottom w:w="72" w:type="dxa"/>
              <w:right w:w="57" w:type="dxa"/>
            </w:tcMar>
            <w:hideMark/>
          </w:tcPr>
          <w:p w14:paraId="10004303"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1206" w:type="dxa"/>
            <w:tcBorders>
              <w:top w:val="single" w:sz="8" w:space="0" w:color="FFFFFF"/>
              <w:left w:val="single" w:sz="8" w:space="0" w:color="FFFFFF"/>
              <w:bottom w:val="single" w:sz="8" w:space="0" w:color="000000"/>
              <w:right w:val="single" w:sz="8" w:space="0" w:color="FFFFFF"/>
            </w:tcBorders>
            <w:shd w:val="clear" w:color="auto" w:fill="FFFFFF"/>
            <w:tcMar>
              <w:top w:w="72" w:type="dxa"/>
              <w:left w:w="57" w:type="dxa"/>
              <w:bottom w:w="72" w:type="dxa"/>
              <w:right w:w="57" w:type="dxa"/>
            </w:tcMar>
            <w:hideMark/>
          </w:tcPr>
          <w:p w14:paraId="75177DDD"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959" w:type="dxa"/>
            <w:tcBorders>
              <w:top w:val="single" w:sz="8" w:space="0" w:color="FFFFFF"/>
              <w:left w:val="single" w:sz="8" w:space="0" w:color="FFFFFF"/>
              <w:bottom w:val="single" w:sz="8" w:space="0" w:color="000000"/>
              <w:right w:val="single" w:sz="8" w:space="0" w:color="FFFFFF"/>
            </w:tcBorders>
            <w:shd w:val="clear" w:color="auto" w:fill="FFFFFF"/>
            <w:tcMar>
              <w:top w:w="72" w:type="dxa"/>
              <w:left w:w="57" w:type="dxa"/>
              <w:bottom w:w="72" w:type="dxa"/>
              <w:right w:w="57" w:type="dxa"/>
            </w:tcMar>
            <w:hideMark/>
          </w:tcPr>
          <w:p w14:paraId="214474D5"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c>
          <w:tcPr>
            <w:tcW w:w="971" w:type="dxa"/>
            <w:tcBorders>
              <w:top w:val="single" w:sz="8" w:space="0" w:color="FFFFFF"/>
              <w:left w:val="single" w:sz="8" w:space="0" w:color="FFFFFF"/>
              <w:bottom w:val="single" w:sz="8" w:space="0" w:color="000000"/>
              <w:right w:val="single" w:sz="8" w:space="0" w:color="FFFFFF"/>
            </w:tcBorders>
            <w:shd w:val="clear" w:color="auto" w:fill="FFFFFF"/>
            <w:tcMar>
              <w:top w:w="72" w:type="dxa"/>
              <w:left w:w="57" w:type="dxa"/>
              <w:bottom w:w="72" w:type="dxa"/>
              <w:right w:w="57" w:type="dxa"/>
            </w:tcMar>
            <w:hideMark/>
          </w:tcPr>
          <w:p w14:paraId="5A42D86F" w14:textId="77777777" w:rsidR="00D33150" w:rsidRPr="00FE12AD" w:rsidRDefault="00D33150" w:rsidP="008D4996">
            <w:pPr>
              <w:jc w:val="center"/>
              <w:rPr>
                <w:rFonts w:ascii="Times New Roman" w:eastAsia="Times New Roman" w:hAnsi="Times New Roman"/>
                <w:szCs w:val="36"/>
                <w:lang w:eastAsia="ru-RU"/>
              </w:rPr>
            </w:pPr>
            <w:r w:rsidRPr="00FE12AD">
              <w:rPr>
                <w:rFonts w:ascii="Times New Roman" w:eastAsia="Times New Roman" w:hAnsi="Times New Roman"/>
                <w:color w:val="000000"/>
                <w:kern w:val="24"/>
                <w:szCs w:val="28"/>
                <w:lang w:eastAsia="ru-RU"/>
              </w:rPr>
              <w:t>+</w:t>
            </w:r>
          </w:p>
        </w:tc>
      </w:tr>
    </w:tbl>
    <w:p w14:paraId="35B75A56" w14:textId="77777777" w:rsidR="00D33150" w:rsidRPr="00341240" w:rsidRDefault="00D33150" w:rsidP="00D33150">
      <w:pPr>
        <w:spacing w:before="120"/>
        <w:ind w:left="-567" w:firstLine="567"/>
        <w:jc w:val="both"/>
        <w:rPr>
          <w:rFonts w:ascii="Times New Roman" w:eastAsia="Calibri" w:hAnsi="Times New Roman"/>
          <w:sz w:val="24"/>
          <w:szCs w:val="24"/>
        </w:rPr>
      </w:pPr>
    </w:p>
    <w:p w14:paraId="56115C46" w14:textId="77777777" w:rsidR="00D33150" w:rsidRPr="000F6D2C" w:rsidRDefault="00D33150" w:rsidP="00D33150">
      <w:pPr>
        <w:ind w:firstLine="567"/>
        <w:contextualSpacing/>
        <w:jc w:val="both"/>
        <w:rPr>
          <w:rFonts w:ascii="Times New Roman" w:eastAsia="Calibri" w:hAnsi="Times New Roman"/>
          <w:sz w:val="24"/>
          <w:szCs w:val="24"/>
        </w:rPr>
      </w:pPr>
      <w:r w:rsidRPr="000F6D2C">
        <w:rPr>
          <w:rFonts w:ascii="Times New Roman" w:eastAsia="Calibri" w:hAnsi="Times New Roman"/>
          <w:sz w:val="24"/>
          <w:szCs w:val="24"/>
        </w:rPr>
        <w:t>С запуском проекта «</w:t>
      </w:r>
      <w:r>
        <w:rPr>
          <w:rFonts w:ascii="Times New Roman" w:eastAsia="Calibri" w:hAnsi="Times New Roman"/>
          <w:sz w:val="24"/>
          <w:szCs w:val="24"/>
        </w:rPr>
        <w:t>Единый пул обеспечения</w:t>
      </w:r>
      <w:r w:rsidRPr="000F6D2C">
        <w:rPr>
          <w:rFonts w:ascii="Times New Roman" w:eastAsia="Calibri" w:hAnsi="Times New Roman"/>
          <w:sz w:val="24"/>
          <w:szCs w:val="24"/>
        </w:rPr>
        <w:t>»</w:t>
      </w:r>
      <w:r>
        <w:rPr>
          <w:rFonts w:ascii="Times New Roman" w:eastAsia="Calibri" w:hAnsi="Times New Roman"/>
          <w:sz w:val="24"/>
          <w:szCs w:val="24"/>
        </w:rPr>
        <w:t>, перв</w:t>
      </w:r>
      <w:r w:rsidR="00953173">
        <w:rPr>
          <w:rFonts w:ascii="Times New Roman" w:eastAsia="Calibri" w:hAnsi="Times New Roman"/>
          <w:sz w:val="24"/>
          <w:szCs w:val="24"/>
        </w:rPr>
        <w:t>ый этап</w:t>
      </w:r>
      <w:r>
        <w:rPr>
          <w:rFonts w:ascii="Times New Roman" w:eastAsia="Calibri" w:hAnsi="Times New Roman"/>
          <w:sz w:val="24"/>
          <w:szCs w:val="24"/>
        </w:rPr>
        <w:t xml:space="preserve"> которого был</w:t>
      </w:r>
      <w:r w:rsidR="00953173">
        <w:rPr>
          <w:rFonts w:ascii="Times New Roman" w:eastAsia="Calibri" w:hAnsi="Times New Roman"/>
          <w:sz w:val="24"/>
          <w:szCs w:val="24"/>
        </w:rPr>
        <w:t xml:space="preserve"> реализован</w:t>
      </w:r>
      <w:r>
        <w:rPr>
          <w:rFonts w:ascii="Times New Roman" w:eastAsia="Calibri" w:hAnsi="Times New Roman"/>
          <w:sz w:val="24"/>
          <w:szCs w:val="24"/>
        </w:rPr>
        <w:t xml:space="preserve"> в 2017 году, а остальные</w:t>
      </w:r>
      <w:r w:rsidR="00953173">
        <w:rPr>
          <w:rFonts w:ascii="Times New Roman" w:eastAsia="Calibri" w:hAnsi="Times New Roman"/>
          <w:sz w:val="24"/>
          <w:szCs w:val="24"/>
        </w:rPr>
        <w:t xml:space="preserve"> этапы</w:t>
      </w:r>
      <w:r>
        <w:rPr>
          <w:rFonts w:ascii="Times New Roman" w:eastAsia="Calibri" w:hAnsi="Times New Roman"/>
          <w:sz w:val="24"/>
          <w:szCs w:val="24"/>
        </w:rPr>
        <w:t xml:space="preserve"> планируются </w:t>
      </w:r>
      <w:r w:rsidR="00953173">
        <w:rPr>
          <w:rFonts w:ascii="Times New Roman" w:eastAsia="Calibri" w:hAnsi="Times New Roman"/>
          <w:sz w:val="24"/>
          <w:szCs w:val="24"/>
        </w:rPr>
        <w:t xml:space="preserve">реализовать </w:t>
      </w:r>
      <w:r>
        <w:rPr>
          <w:rFonts w:ascii="Times New Roman" w:eastAsia="Calibri" w:hAnsi="Times New Roman"/>
          <w:sz w:val="24"/>
          <w:szCs w:val="24"/>
        </w:rPr>
        <w:t>в 2018 году, появилась возможность для участников вносить активы в обеспечение на расчетные код</w:t>
      </w:r>
      <w:r w:rsidR="00CA06AA">
        <w:rPr>
          <w:rFonts w:ascii="Times New Roman" w:eastAsia="Calibri" w:hAnsi="Times New Roman"/>
          <w:sz w:val="24"/>
          <w:szCs w:val="24"/>
        </w:rPr>
        <w:t>ы</w:t>
      </w:r>
      <w:r>
        <w:rPr>
          <w:rFonts w:ascii="Times New Roman" w:eastAsia="Calibri" w:hAnsi="Times New Roman"/>
          <w:sz w:val="24"/>
          <w:szCs w:val="24"/>
        </w:rPr>
        <w:t xml:space="preserve"> единого пула для валютного, фондового и срочного рынков. Данное нововведение подразумевает, что участники, перешедшие на единый пул, получат возможность использовать единый счет для внесения обеспечения для работы на трех рынках с унифицированными требованиями к активам, принимаемым в обеспечение.</w:t>
      </w:r>
    </w:p>
    <w:p w14:paraId="730DCAC2" w14:textId="77777777" w:rsidR="00D33150" w:rsidRPr="00210A93" w:rsidRDefault="00D33150" w:rsidP="003221B6">
      <w:pPr>
        <w:pStyle w:val="3"/>
        <w:jc w:val="center"/>
        <w:rPr>
          <w:rFonts w:ascii="Times New Roman" w:eastAsia="Calibri" w:hAnsi="Times New Roman" w:cs="Times New Roman"/>
          <w:b/>
          <w:i/>
          <w:color w:val="auto"/>
        </w:rPr>
      </w:pPr>
      <w:bookmarkStart w:id="17" w:name="_Toc510776665"/>
      <w:r w:rsidRPr="00C11834">
        <w:rPr>
          <w:rFonts w:ascii="Times New Roman" w:eastAsia="Calibri" w:hAnsi="Times New Roman" w:cs="Times New Roman"/>
          <w:b/>
          <w:i/>
          <w:color w:val="auto"/>
        </w:rPr>
        <w:lastRenderedPageBreak/>
        <w:t>Структура защиты ЦК</w:t>
      </w:r>
      <w:bookmarkEnd w:id="17"/>
    </w:p>
    <w:p w14:paraId="732872CE" w14:textId="77777777" w:rsidR="00D33150" w:rsidRPr="00341240" w:rsidRDefault="00D33150" w:rsidP="00D33150">
      <w:pPr>
        <w:spacing w:before="120"/>
        <w:ind w:firstLine="425"/>
        <w:jc w:val="both"/>
        <w:rPr>
          <w:rFonts w:ascii="Times New Roman" w:eastAsia="Times New Roman" w:hAnsi="Times New Roman"/>
          <w:sz w:val="24"/>
          <w:szCs w:val="24"/>
          <w:lang w:eastAsia="ru-RU"/>
        </w:rPr>
      </w:pPr>
      <w:r w:rsidRPr="00763899">
        <w:rPr>
          <w:rFonts w:ascii="Times New Roman" w:eastAsia="Times New Roman" w:hAnsi="Times New Roman"/>
          <w:sz w:val="24"/>
          <w:szCs w:val="24"/>
          <w:lang w:eastAsia="ru-RU"/>
        </w:rPr>
        <w:t xml:space="preserve">В рамках развития системы управления всеми видами рисков </w:t>
      </w:r>
      <w:r>
        <w:rPr>
          <w:rFonts w:ascii="Times New Roman" w:eastAsia="Times New Roman" w:hAnsi="Times New Roman"/>
          <w:sz w:val="24"/>
          <w:szCs w:val="24"/>
          <w:lang w:eastAsia="ru-RU"/>
        </w:rPr>
        <w:t>НКЦ продолжал совершенствовать</w:t>
      </w:r>
      <w:r w:rsidRPr="00341240">
        <w:rPr>
          <w:rFonts w:ascii="Times New Roman" w:eastAsia="Times New Roman" w:hAnsi="Times New Roman"/>
          <w:sz w:val="24"/>
          <w:szCs w:val="24"/>
          <w:lang w:eastAsia="ru-RU"/>
        </w:rPr>
        <w:t xml:space="preserve"> структур</w:t>
      </w:r>
      <w:r>
        <w:rPr>
          <w:rFonts w:ascii="Times New Roman" w:eastAsia="Times New Roman" w:hAnsi="Times New Roman"/>
          <w:sz w:val="24"/>
          <w:szCs w:val="24"/>
          <w:lang w:eastAsia="ru-RU"/>
        </w:rPr>
        <w:t>у</w:t>
      </w:r>
      <w:r w:rsidRPr="00341240">
        <w:rPr>
          <w:rFonts w:ascii="Times New Roman" w:eastAsia="Times New Roman" w:hAnsi="Times New Roman"/>
          <w:sz w:val="24"/>
          <w:szCs w:val="24"/>
          <w:lang w:eastAsia="ru-RU"/>
        </w:rPr>
        <w:t xml:space="preserve"> уровней защиты ЦК, нацелен</w:t>
      </w:r>
      <w:r>
        <w:rPr>
          <w:rFonts w:ascii="Times New Roman" w:eastAsia="Times New Roman" w:hAnsi="Times New Roman"/>
          <w:sz w:val="24"/>
          <w:szCs w:val="24"/>
          <w:lang w:eastAsia="ru-RU"/>
        </w:rPr>
        <w:t>ной</w:t>
      </w:r>
      <w:r w:rsidRPr="00341240">
        <w:rPr>
          <w:rFonts w:ascii="Times New Roman" w:eastAsia="Times New Roman" w:hAnsi="Times New Roman"/>
          <w:sz w:val="24"/>
          <w:szCs w:val="24"/>
          <w:lang w:eastAsia="ru-RU"/>
        </w:rPr>
        <w:t xml:space="preserve"> на обеспечение надежности и </w:t>
      </w:r>
      <w:r w:rsidRPr="00AB0060">
        <w:rPr>
          <w:rFonts w:ascii="Times New Roman" w:eastAsia="Times New Roman" w:hAnsi="Times New Roman"/>
          <w:sz w:val="24"/>
          <w:szCs w:val="24"/>
          <w:lang w:eastAsia="ru-RU"/>
        </w:rPr>
        <w:t>прозрачности</w:t>
      </w:r>
      <w:r w:rsidRPr="00341240">
        <w:rPr>
          <w:rFonts w:ascii="Times New Roman" w:eastAsia="Times New Roman" w:hAnsi="Times New Roman"/>
          <w:sz w:val="24"/>
          <w:szCs w:val="24"/>
          <w:lang w:eastAsia="ru-RU"/>
        </w:rPr>
        <w:t xml:space="preserve"> взаимодействия с участниками клиринга, а также гарантированное сохранение финансовой устойчивости НКЦ в связи с выполнением им функции центрального контрагента. </w:t>
      </w:r>
      <w:r>
        <w:rPr>
          <w:rFonts w:ascii="Times New Roman" w:eastAsia="Times New Roman" w:hAnsi="Times New Roman"/>
          <w:sz w:val="24"/>
          <w:szCs w:val="24"/>
          <w:lang w:eastAsia="ru-RU"/>
        </w:rPr>
        <w:t>НКЦ усилил с</w:t>
      </w:r>
      <w:r w:rsidRPr="00763899">
        <w:rPr>
          <w:rFonts w:ascii="Times New Roman" w:eastAsia="Times New Roman" w:hAnsi="Times New Roman"/>
          <w:sz w:val="24"/>
          <w:szCs w:val="24"/>
          <w:lang w:eastAsia="ru-RU"/>
        </w:rPr>
        <w:t>труктур</w:t>
      </w:r>
      <w:r>
        <w:rPr>
          <w:rFonts w:ascii="Times New Roman" w:eastAsia="Times New Roman" w:hAnsi="Times New Roman"/>
          <w:sz w:val="24"/>
          <w:szCs w:val="24"/>
          <w:lang w:eastAsia="ru-RU"/>
        </w:rPr>
        <w:t>у</w:t>
      </w:r>
      <w:r w:rsidRPr="00763899">
        <w:rPr>
          <w:rFonts w:ascii="Times New Roman" w:eastAsia="Times New Roman" w:hAnsi="Times New Roman"/>
          <w:sz w:val="24"/>
          <w:szCs w:val="24"/>
          <w:lang w:eastAsia="ru-RU"/>
        </w:rPr>
        <w:t xml:space="preserve"> уровней защиты ЦК за счет </w:t>
      </w:r>
      <w:r>
        <w:rPr>
          <w:rFonts w:ascii="Times New Roman" w:eastAsia="Times New Roman" w:hAnsi="Times New Roman"/>
          <w:sz w:val="24"/>
          <w:szCs w:val="24"/>
          <w:lang w:eastAsia="ru-RU"/>
        </w:rPr>
        <w:t xml:space="preserve">следующих мер: </w:t>
      </w:r>
    </w:p>
    <w:p w14:paraId="71C92C43" w14:textId="77777777" w:rsidR="00D33150" w:rsidRPr="00A16517" w:rsidRDefault="00D33150" w:rsidP="00D33150">
      <w:pPr>
        <w:pStyle w:val="a9"/>
        <w:numPr>
          <w:ilvl w:val="0"/>
          <w:numId w:val="16"/>
        </w:numPr>
        <w:spacing w:after="0" w:line="240" w:lineRule="auto"/>
        <w:jc w:val="both"/>
        <w:rPr>
          <w:rFonts w:ascii="Times New Roman" w:hAnsi="Times New Roman"/>
          <w:sz w:val="24"/>
          <w:szCs w:val="24"/>
        </w:rPr>
      </w:pPr>
      <w:r>
        <w:rPr>
          <w:rFonts w:ascii="Times New Roman" w:hAnsi="Times New Roman"/>
          <w:sz w:val="24"/>
          <w:szCs w:val="24"/>
        </w:rPr>
        <w:t>изменение</w:t>
      </w:r>
      <w:r w:rsidRPr="00A16517">
        <w:rPr>
          <w:rFonts w:ascii="Times New Roman" w:hAnsi="Times New Roman"/>
          <w:sz w:val="24"/>
          <w:szCs w:val="24"/>
        </w:rPr>
        <w:t xml:space="preserve"> механизма ограничения ответственност</w:t>
      </w:r>
      <w:r>
        <w:rPr>
          <w:rFonts w:ascii="Times New Roman" w:hAnsi="Times New Roman"/>
          <w:sz w:val="24"/>
          <w:szCs w:val="24"/>
        </w:rPr>
        <w:t>и ЦК в части внедрения</w:t>
      </w:r>
      <w:r w:rsidRPr="00A16517">
        <w:rPr>
          <w:rFonts w:ascii="Times New Roman" w:hAnsi="Times New Roman"/>
          <w:sz w:val="24"/>
          <w:szCs w:val="24"/>
        </w:rPr>
        <w:t xml:space="preserve"> процедуры дисконтирования обязательств центрального контрагента;</w:t>
      </w:r>
    </w:p>
    <w:p w14:paraId="4DB4080A" w14:textId="77777777" w:rsidR="00D33150" w:rsidRPr="00210A93" w:rsidRDefault="00D33150" w:rsidP="00D33150">
      <w:pPr>
        <w:pStyle w:val="a9"/>
        <w:numPr>
          <w:ilvl w:val="0"/>
          <w:numId w:val="16"/>
        </w:numPr>
        <w:spacing w:after="0" w:line="240" w:lineRule="auto"/>
        <w:ind w:left="714" w:hanging="357"/>
        <w:contextualSpacing w:val="0"/>
        <w:jc w:val="both"/>
        <w:rPr>
          <w:rFonts w:ascii="Times New Roman" w:hAnsi="Times New Roman"/>
          <w:sz w:val="24"/>
          <w:szCs w:val="24"/>
        </w:rPr>
      </w:pPr>
      <w:r>
        <w:rPr>
          <w:rFonts w:ascii="Times New Roman" w:hAnsi="Times New Roman"/>
          <w:sz w:val="24"/>
          <w:szCs w:val="24"/>
        </w:rPr>
        <w:t>увеличение</w:t>
      </w:r>
      <w:r w:rsidRPr="00A16517">
        <w:rPr>
          <w:rFonts w:ascii="Times New Roman" w:hAnsi="Times New Roman"/>
          <w:sz w:val="24"/>
          <w:szCs w:val="24"/>
        </w:rPr>
        <w:t xml:space="preserve"> размера взносов уча</w:t>
      </w:r>
      <w:r>
        <w:rPr>
          <w:rFonts w:ascii="Times New Roman" w:hAnsi="Times New Roman"/>
          <w:sz w:val="24"/>
          <w:szCs w:val="24"/>
        </w:rPr>
        <w:t xml:space="preserve">стников клиринга в гарантийные </w:t>
      </w:r>
      <w:r w:rsidRPr="00A16517">
        <w:rPr>
          <w:rFonts w:ascii="Times New Roman" w:hAnsi="Times New Roman"/>
          <w:sz w:val="24"/>
          <w:szCs w:val="24"/>
        </w:rPr>
        <w:t>фонды в целях унификации требований к размеру взноса на валютном рынке и рынке драгоценных металлов, фондовом рынке и срочном рынке до 10 миллионов рублей.</w:t>
      </w:r>
    </w:p>
    <w:p w14:paraId="0EA551A9" w14:textId="77777777" w:rsidR="00D33150" w:rsidRPr="00DE0832" w:rsidRDefault="00D33150" w:rsidP="00D33150">
      <w:pPr>
        <w:pStyle w:val="a9"/>
        <w:spacing w:before="120" w:after="0" w:line="240" w:lineRule="auto"/>
        <w:contextualSpacing w:val="0"/>
        <w:jc w:val="both"/>
        <w:rPr>
          <w:rFonts w:ascii="Times New Roman" w:eastAsia="Times New Roman" w:hAnsi="Times New Roman"/>
          <w:i/>
          <w:sz w:val="24"/>
          <w:szCs w:val="24"/>
          <w:lang w:eastAsia="ru-RU"/>
        </w:rPr>
      </w:pPr>
      <w:r w:rsidRPr="00DE0832">
        <w:rPr>
          <w:rFonts w:ascii="Times New Roman" w:eastAsia="Times New Roman" w:hAnsi="Times New Roman"/>
          <w:i/>
          <w:sz w:val="24"/>
          <w:szCs w:val="24"/>
          <w:lang w:eastAsia="ru-RU"/>
        </w:rPr>
        <w:t>Структура защиты по состоянию на 01.01.2018 приведена на рисунке ниже:</w:t>
      </w:r>
    </w:p>
    <w:p w14:paraId="773A74B1" w14:textId="77777777" w:rsidR="00D33150" w:rsidRDefault="00D33150" w:rsidP="00D33150">
      <w:pPr>
        <w:spacing w:before="120"/>
        <w:jc w:val="both"/>
        <w:rPr>
          <w:rFonts w:ascii="Times New Roman" w:eastAsia="Calibri" w:hAnsi="Times New Roman"/>
          <w:sz w:val="24"/>
          <w:szCs w:val="24"/>
        </w:rPr>
      </w:pPr>
      <w:r>
        <w:rPr>
          <w:noProof/>
          <w:lang w:eastAsia="ru-RU"/>
        </w:rPr>
        <w:drawing>
          <wp:inline distT="0" distB="0" distL="0" distR="0" wp14:anchorId="7B8952FC" wp14:editId="5E419A09">
            <wp:extent cx="5940425" cy="316547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0425" cy="3165475"/>
                    </a:xfrm>
                    <a:prstGeom prst="rect">
                      <a:avLst/>
                    </a:prstGeom>
                  </pic:spPr>
                </pic:pic>
              </a:graphicData>
            </a:graphic>
          </wp:inline>
        </w:drawing>
      </w:r>
      <w:r>
        <w:rPr>
          <w:noProof/>
          <w:lang w:eastAsia="ru-RU"/>
        </w:rPr>
        <w:t xml:space="preserve"> </w:t>
      </w:r>
    </w:p>
    <w:p w14:paraId="189BA244" w14:textId="1DE2B6BE" w:rsidR="00D33150" w:rsidRPr="00341240" w:rsidRDefault="0098619E" w:rsidP="0098619E">
      <w:pPr>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Согласно международным стандартам деятельности клиринговых организаций - центральных контрагентов уровень покрытия риска за счет средств коллективных фондов считается достаточным, если эти</w:t>
      </w:r>
      <w:r w:rsidR="00D33150">
        <w:rPr>
          <w:rFonts w:ascii="Times New Roman" w:eastAsia="Calibri" w:hAnsi="Times New Roman"/>
          <w:sz w:val="24"/>
          <w:szCs w:val="24"/>
        </w:rPr>
        <w:t>ми</w:t>
      </w:r>
      <w:r w:rsidR="00D33150" w:rsidRPr="00341240">
        <w:rPr>
          <w:rFonts w:ascii="Times New Roman" w:eastAsia="Calibri" w:hAnsi="Times New Roman"/>
          <w:sz w:val="24"/>
          <w:szCs w:val="24"/>
        </w:rPr>
        <w:t xml:space="preserve"> средств</w:t>
      </w:r>
      <w:r w:rsidR="00D33150">
        <w:rPr>
          <w:rFonts w:ascii="Times New Roman" w:eastAsia="Calibri" w:hAnsi="Times New Roman"/>
          <w:sz w:val="24"/>
          <w:szCs w:val="24"/>
        </w:rPr>
        <w:t>ами</w:t>
      </w:r>
      <w:r w:rsidR="00D33150" w:rsidRPr="00341240">
        <w:rPr>
          <w:rFonts w:ascii="Times New Roman" w:eastAsia="Calibri" w:hAnsi="Times New Roman"/>
          <w:sz w:val="24"/>
          <w:szCs w:val="24"/>
        </w:rPr>
        <w:t xml:space="preserve"> в течение короткого промежутка времени может быть покрыт максимальный риск не менее чем по одной или двум дефолтным позициям. НКЦ ориентируется на покрытие максимального риска вследствие дефолта 2</w:t>
      </w:r>
      <w:r w:rsidR="00D33150">
        <w:rPr>
          <w:rFonts w:ascii="Times New Roman" w:eastAsia="Calibri" w:hAnsi="Times New Roman"/>
          <w:sz w:val="24"/>
          <w:szCs w:val="24"/>
        </w:rPr>
        <w:t xml:space="preserve"> крупнейших</w:t>
      </w:r>
      <w:r w:rsidR="00D33150" w:rsidRPr="00341240">
        <w:rPr>
          <w:rFonts w:ascii="Times New Roman" w:eastAsia="Calibri" w:hAnsi="Times New Roman"/>
          <w:sz w:val="24"/>
          <w:szCs w:val="24"/>
        </w:rPr>
        <w:t xml:space="preserve"> участников клиринга, что превышает требования международных стандартов.</w:t>
      </w:r>
    </w:p>
    <w:p w14:paraId="25ACB6D6" w14:textId="568621F7" w:rsidR="00D33150" w:rsidRDefault="0098619E" w:rsidP="0098619E">
      <w:pPr>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 xml:space="preserve">С целью обеспечения дополнительной защиты добросовестных участников клиринга использование взносов этих участников в гарантийный фонд осуществляется только в случаях, если размер совокупной задолженности недобросовестных участников клиринга перед НКЦ превысит максимально допустимую величину. </w:t>
      </w:r>
      <w:r w:rsidR="00D33150">
        <w:rPr>
          <w:rFonts w:ascii="Times New Roman" w:eastAsia="Calibri" w:hAnsi="Times New Roman"/>
          <w:sz w:val="24"/>
          <w:szCs w:val="24"/>
        </w:rPr>
        <w:t>В</w:t>
      </w:r>
      <w:r w:rsidR="00D33150" w:rsidRPr="00341240">
        <w:rPr>
          <w:rFonts w:ascii="Times New Roman" w:eastAsia="Calibri" w:hAnsi="Times New Roman"/>
          <w:sz w:val="24"/>
          <w:szCs w:val="24"/>
        </w:rPr>
        <w:t xml:space="preserve"> настоящее время на всех обслуживаемых рынках Группы «Московская Биржа» гарантийный фонд может быть использован, как инструмент покрытия потерь в случае дефолта участника клиринга. Размер гарантийных фондов по состоянию на 1 января 201</w:t>
      </w:r>
      <w:r w:rsidR="00D33150">
        <w:rPr>
          <w:rFonts w:ascii="Times New Roman" w:eastAsia="Calibri" w:hAnsi="Times New Roman"/>
          <w:sz w:val="24"/>
          <w:szCs w:val="24"/>
        </w:rPr>
        <w:t>8</w:t>
      </w:r>
      <w:r w:rsidR="00D33150" w:rsidRPr="00341240">
        <w:rPr>
          <w:rFonts w:ascii="Times New Roman" w:eastAsia="Calibri" w:hAnsi="Times New Roman"/>
          <w:sz w:val="24"/>
          <w:szCs w:val="24"/>
        </w:rPr>
        <w:t xml:space="preserve"> г. представлен в таблице:</w:t>
      </w:r>
    </w:p>
    <w:p w14:paraId="4CD4E5DC" w14:textId="77777777" w:rsidR="003221B6" w:rsidRDefault="003221B6" w:rsidP="0098619E">
      <w:pPr>
        <w:spacing w:before="120"/>
        <w:jc w:val="both"/>
        <w:rPr>
          <w:rFonts w:ascii="Times New Roman" w:eastAsia="Calibri" w:hAnsi="Times New Roman"/>
          <w:sz w:val="24"/>
          <w:szCs w:val="24"/>
        </w:rPr>
      </w:pPr>
    </w:p>
    <w:tbl>
      <w:tblPr>
        <w:tblW w:w="9443" w:type="dxa"/>
        <w:tblCellMar>
          <w:left w:w="0" w:type="dxa"/>
          <w:right w:w="0" w:type="dxa"/>
        </w:tblCellMar>
        <w:tblLook w:val="0420" w:firstRow="1" w:lastRow="0" w:firstColumn="0" w:lastColumn="0" w:noHBand="0" w:noVBand="1"/>
      </w:tblPr>
      <w:tblGrid>
        <w:gridCol w:w="3276"/>
        <w:gridCol w:w="3118"/>
        <w:gridCol w:w="3049"/>
      </w:tblGrid>
      <w:tr w:rsidR="00D33150" w:rsidRPr="00FE12AD" w14:paraId="063B4BB6" w14:textId="77777777" w:rsidTr="008D4996">
        <w:trPr>
          <w:trHeight w:val="510"/>
        </w:trPr>
        <w:tc>
          <w:tcPr>
            <w:tcW w:w="9443" w:type="dxa"/>
            <w:gridSpan w:val="3"/>
            <w:tcBorders>
              <w:top w:val="single" w:sz="8" w:space="0" w:color="FFFFFF"/>
              <w:left w:val="single" w:sz="8" w:space="0" w:color="FFFFFF"/>
              <w:bottom w:val="single" w:sz="24" w:space="0" w:color="FFFFFF"/>
              <w:right w:val="single" w:sz="8" w:space="0" w:color="FFFFFF"/>
            </w:tcBorders>
            <w:shd w:val="clear" w:color="auto" w:fill="CC0000"/>
            <w:tcMar>
              <w:top w:w="72" w:type="dxa"/>
              <w:left w:w="144" w:type="dxa"/>
              <w:bottom w:w="72" w:type="dxa"/>
              <w:right w:w="144" w:type="dxa"/>
            </w:tcMar>
            <w:hideMark/>
          </w:tcPr>
          <w:p w14:paraId="6DEF090E" w14:textId="77777777" w:rsidR="00D33150" w:rsidRPr="00FE12AD" w:rsidRDefault="00D33150" w:rsidP="008D4996">
            <w:pPr>
              <w:rPr>
                <w:rFonts w:ascii="Arial" w:eastAsia="Times New Roman" w:hAnsi="Arial" w:cs="Arial"/>
                <w:szCs w:val="36"/>
                <w:lang w:eastAsia="ru-RU"/>
              </w:rPr>
            </w:pPr>
            <w:r w:rsidRPr="00FE12AD">
              <w:rPr>
                <w:rFonts w:ascii="Times New Roman" w:eastAsia="Times New Roman" w:hAnsi="Times New Roman"/>
                <w:b/>
                <w:bCs/>
                <w:color w:val="FFFFFF"/>
                <w:kern w:val="24"/>
                <w:szCs w:val="28"/>
                <w:lang w:eastAsia="ru-RU"/>
              </w:rPr>
              <w:t>Размер гарантийных фондов на рынках Моск</w:t>
            </w:r>
            <w:r>
              <w:rPr>
                <w:rFonts w:ascii="Times New Roman" w:eastAsia="Times New Roman" w:hAnsi="Times New Roman"/>
                <w:b/>
                <w:bCs/>
                <w:color w:val="FFFFFF"/>
                <w:kern w:val="24"/>
                <w:szCs w:val="28"/>
                <w:lang w:eastAsia="ru-RU"/>
              </w:rPr>
              <w:t>овской Биржи по состоянию на 01.01.</w:t>
            </w:r>
            <w:r w:rsidRPr="00FE12AD">
              <w:rPr>
                <w:rFonts w:ascii="Times New Roman" w:eastAsia="Times New Roman" w:hAnsi="Times New Roman"/>
                <w:b/>
                <w:bCs/>
                <w:color w:val="FFFFFF"/>
                <w:kern w:val="24"/>
                <w:szCs w:val="28"/>
                <w:lang w:eastAsia="ru-RU"/>
              </w:rPr>
              <w:t>2018</w:t>
            </w:r>
          </w:p>
        </w:tc>
      </w:tr>
      <w:tr w:rsidR="00D33150" w:rsidRPr="00FE12AD" w14:paraId="0F77BBCF" w14:textId="77777777" w:rsidTr="008D4996">
        <w:trPr>
          <w:trHeight w:val="510"/>
        </w:trPr>
        <w:tc>
          <w:tcPr>
            <w:tcW w:w="3276"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2BD42EB4" w14:textId="77777777" w:rsidR="00D33150" w:rsidRPr="00FE12AD" w:rsidRDefault="00D33150" w:rsidP="008D4996">
            <w:pPr>
              <w:rPr>
                <w:rFonts w:ascii="Arial" w:eastAsia="Times New Roman" w:hAnsi="Arial" w:cs="Arial"/>
                <w:szCs w:val="36"/>
                <w:lang w:eastAsia="ru-RU"/>
              </w:rPr>
            </w:pPr>
            <w:r w:rsidRPr="00FE12AD">
              <w:rPr>
                <w:rFonts w:ascii="Times New Roman" w:eastAsia="Times New Roman" w:hAnsi="Times New Roman"/>
                <w:color w:val="000000"/>
                <w:kern w:val="24"/>
                <w:szCs w:val="28"/>
                <w:lang w:eastAsia="ru-RU"/>
              </w:rPr>
              <w:t>Рынок</w:t>
            </w:r>
          </w:p>
        </w:tc>
        <w:tc>
          <w:tcPr>
            <w:tcW w:w="3118"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61081F7"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eastAsia="ru-RU"/>
              </w:rPr>
              <w:t>Размер гарантийного фонда, млн. руб.</w:t>
            </w:r>
          </w:p>
        </w:tc>
        <w:tc>
          <w:tcPr>
            <w:tcW w:w="3048"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2569AA6"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eastAsia="ru-RU"/>
              </w:rPr>
              <w:t>Размер взноса участника клиринга, млн.</w:t>
            </w:r>
            <w:r>
              <w:rPr>
                <w:rFonts w:ascii="Times New Roman" w:eastAsia="Times New Roman" w:hAnsi="Times New Roman"/>
                <w:color w:val="000000"/>
                <w:kern w:val="24"/>
                <w:szCs w:val="28"/>
                <w:lang w:eastAsia="ru-RU"/>
              </w:rPr>
              <w:t xml:space="preserve"> </w:t>
            </w:r>
            <w:r w:rsidRPr="00FE12AD">
              <w:rPr>
                <w:rFonts w:ascii="Times New Roman" w:eastAsia="Times New Roman" w:hAnsi="Times New Roman"/>
                <w:color w:val="000000"/>
                <w:kern w:val="24"/>
                <w:szCs w:val="28"/>
                <w:lang w:eastAsia="ru-RU"/>
              </w:rPr>
              <w:t>руб.</w:t>
            </w:r>
          </w:p>
        </w:tc>
      </w:tr>
      <w:tr w:rsidR="00D33150" w:rsidRPr="00FE12AD" w14:paraId="5FC04FC4" w14:textId="77777777" w:rsidTr="008D4996">
        <w:trPr>
          <w:trHeight w:val="510"/>
        </w:trPr>
        <w:tc>
          <w:tcPr>
            <w:tcW w:w="3276"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7F6C9E15" w14:textId="77777777" w:rsidR="00D33150" w:rsidRPr="00FE12AD" w:rsidRDefault="00D33150" w:rsidP="008D4996">
            <w:pPr>
              <w:rPr>
                <w:rFonts w:ascii="Arial" w:eastAsia="Times New Roman" w:hAnsi="Arial" w:cs="Arial"/>
                <w:szCs w:val="36"/>
                <w:lang w:eastAsia="ru-RU"/>
              </w:rPr>
            </w:pPr>
            <w:r w:rsidRPr="00FE12AD">
              <w:rPr>
                <w:rFonts w:ascii="Times New Roman" w:eastAsia="Times New Roman" w:hAnsi="Times New Roman"/>
                <w:color w:val="000000"/>
                <w:kern w:val="24"/>
                <w:szCs w:val="28"/>
                <w:lang w:eastAsia="ru-RU"/>
              </w:rPr>
              <w:lastRenderedPageBreak/>
              <w:t>Валютный рынок</w:t>
            </w:r>
          </w:p>
        </w:tc>
        <w:tc>
          <w:tcPr>
            <w:tcW w:w="3118"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04F97A14"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val="en-US" w:eastAsia="ru-RU"/>
              </w:rPr>
              <w:t>3 690</w:t>
            </w:r>
          </w:p>
        </w:tc>
        <w:tc>
          <w:tcPr>
            <w:tcW w:w="3048"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71CCFAD9"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val="en-US" w:eastAsia="ru-RU"/>
              </w:rPr>
              <w:t>10</w:t>
            </w:r>
          </w:p>
        </w:tc>
      </w:tr>
      <w:tr w:rsidR="00D33150" w:rsidRPr="00FE12AD" w14:paraId="70ACC166" w14:textId="77777777" w:rsidTr="008D4996">
        <w:trPr>
          <w:trHeight w:val="510"/>
        </w:trPr>
        <w:tc>
          <w:tcPr>
            <w:tcW w:w="3276"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6FC0F2A2" w14:textId="77777777" w:rsidR="00D33150" w:rsidRPr="00FE12AD" w:rsidRDefault="00D33150" w:rsidP="008D4996">
            <w:pPr>
              <w:rPr>
                <w:rFonts w:ascii="Arial" w:eastAsia="Times New Roman" w:hAnsi="Arial" w:cs="Arial"/>
                <w:szCs w:val="36"/>
                <w:lang w:eastAsia="ru-RU"/>
              </w:rPr>
            </w:pPr>
            <w:r w:rsidRPr="00FE12AD">
              <w:rPr>
                <w:rFonts w:ascii="Times New Roman" w:eastAsia="Times New Roman" w:hAnsi="Times New Roman"/>
                <w:color w:val="000000"/>
                <w:kern w:val="24"/>
                <w:szCs w:val="28"/>
                <w:lang w:eastAsia="ru-RU"/>
              </w:rPr>
              <w:t>Рынок ценных бумаг</w:t>
            </w:r>
          </w:p>
        </w:tc>
        <w:tc>
          <w:tcPr>
            <w:tcW w:w="3118"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58292849"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val="en-US" w:eastAsia="ru-RU"/>
              </w:rPr>
              <w:t>2 679</w:t>
            </w:r>
          </w:p>
        </w:tc>
        <w:tc>
          <w:tcPr>
            <w:tcW w:w="3048"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3DFB670A"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val="en-US" w:eastAsia="ru-RU"/>
              </w:rPr>
              <w:t>10</w:t>
            </w:r>
          </w:p>
        </w:tc>
      </w:tr>
      <w:tr w:rsidR="00D33150" w:rsidRPr="00FE12AD" w14:paraId="2291503F" w14:textId="77777777" w:rsidTr="008D4996">
        <w:trPr>
          <w:trHeight w:val="510"/>
        </w:trPr>
        <w:tc>
          <w:tcPr>
            <w:tcW w:w="3276"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2E844CEF" w14:textId="77777777" w:rsidR="00D33150" w:rsidRPr="00FE12AD" w:rsidRDefault="00D33150" w:rsidP="008D4996">
            <w:pPr>
              <w:rPr>
                <w:rFonts w:ascii="Arial" w:eastAsia="Times New Roman" w:hAnsi="Arial" w:cs="Arial"/>
                <w:szCs w:val="36"/>
                <w:lang w:eastAsia="ru-RU"/>
              </w:rPr>
            </w:pPr>
            <w:r w:rsidRPr="00FE12AD">
              <w:rPr>
                <w:rFonts w:ascii="Times New Roman" w:eastAsia="Times New Roman" w:hAnsi="Times New Roman"/>
                <w:color w:val="000000"/>
                <w:kern w:val="24"/>
                <w:szCs w:val="28"/>
                <w:lang w:eastAsia="ru-RU"/>
              </w:rPr>
              <w:t>Срочный рынок</w:t>
            </w:r>
          </w:p>
        </w:tc>
        <w:tc>
          <w:tcPr>
            <w:tcW w:w="3118"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24882F70"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val="en-US" w:eastAsia="ru-RU"/>
              </w:rPr>
              <w:t>1 110</w:t>
            </w:r>
          </w:p>
        </w:tc>
        <w:tc>
          <w:tcPr>
            <w:tcW w:w="3048"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1790A186"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eastAsia="ru-RU"/>
              </w:rPr>
              <w:t>10</w:t>
            </w:r>
          </w:p>
        </w:tc>
      </w:tr>
      <w:tr w:rsidR="00D33150" w:rsidRPr="00FE12AD" w14:paraId="19BD5EF8" w14:textId="77777777" w:rsidTr="008D4996">
        <w:trPr>
          <w:trHeight w:val="510"/>
        </w:trPr>
        <w:tc>
          <w:tcPr>
            <w:tcW w:w="3276"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3BC04E10" w14:textId="77777777" w:rsidR="00D33150" w:rsidRPr="00FE12AD" w:rsidRDefault="00D33150" w:rsidP="008D4996">
            <w:pPr>
              <w:rPr>
                <w:rFonts w:ascii="Arial" w:eastAsia="Times New Roman" w:hAnsi="Arial" w:cs="Arial"/>
                <w:szCs w:val="36"/>
                <w:lang w:eastAsia="ru-RU"/>
              </w:rPr>
            </w:pPr>
            <w:r w:rsidRPr="00FE12AD">
              <w:rPr>
                <w:rFonts w:ascii="Times New Roman" w:eastAsia="Times New Roman" w:hAnsi="Times New Roman"/>
                <w:color w:val="000000"/>
                <w:kern w:val="24"/>
                <w:szCs w:val="28"/>
                <w:lang w:eastAsia="ru-RU"/>
              </w:rPr>
              <w:t>Рынок Стандартизированных ПФИ</w:t>
            </w:r>
          </w:p>
        </w:tc>
        <w:tc>
          <w:tcPr>
            <w:tcW w:w="3118"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5B7F9919"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val="en-US" w:eastAsia="ru-RU"/>
              </w:rPr>
              <w:t>45</w:t>
            </w:r>
          </w:p>
        </w:tc>
        <w:tc>
          <w:tcPr>
            <w:tcW w:w="3048"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9213364"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eastAsia="ru-RU"/>
              </w:rPr>
              <w:t>1</w:t>
            </w:r>
          </w:p>
        </w:tc>
      </w:tr>
      <w:tr w:rsidR="00D33150" w:rsidRPr="00FE12AD" w14:paraId="365DDCA9" w14:textId="77777777" w:rsidTr="008D4996">
        <w:trPr>
          <w:trHeight w:val="510"/>
        </w:trPr>
        <w:tc>
          <w:tcPr>
            <w:tcW w:w="3276" w:type="dxa"/>
            <w:tcBorders>
              <w:top w:val="single" w:sz="8" w:space="0" w:color="FFFFFF"/>
              <w:left w:val="single" w:sz="8" w:space="0" w:color="FFFFFF"/>
              <w:bottom w:val="single" w:sz="8" w:space="0" w:color="000000"/>
              <w:right w:val="single" w:sz="8" w:space="0" w:color="FFFFFF"/>
            </w:tcBorders>
            <w:shd w:val="clear" w:color="auto" w:fill="FFFFFF"/>
            <w:tcMar>
              <w:top w:w="72" w:type="dxa"/>
              <w:left w:w="144" w:type="dxa"/>
              <w:bottom w:w="72" w:type="dxa"/>
              <w:right w:w="144" w:type="dxa"/>
            </w:tcMar>
            <w:hideMark/>
          </w:tcPr>
          <w:p w14:paraId="10F10931" w14:textId="77777777" w:rsidR="00D33150" w:rsidRPr="00FE12AD" w:rsidRDefault="00D33150" w:rsidP="008D4996">
            <w:pPr>
              <w:rPr>
                <w:rFonts w:ascii="Arial" w:eastAsia="Times New Roman" w:hAnsi="Arial" w:cs="Arial"/>
                <w:szCs w:val="36"/>
                <w:lang w:eastAsia="ru-RU"/>
              </w:rPr>
            </w:pPr>
            <w:r w:rsidRPr="00FE12AD">
              <w:rPr>
                <w:rFonts w:ascii="Times New Roman" w:eastAsia="Times New Roman" w:hAnsi="Times New Roman"/>
                <w:color w:val="000000"/>
                <w:kern w:val="24"/>
                <w:szCs w:val="28"/>
                <w:lang w:eastAsia="ru-RU"/>
              </w:rPr>
              <w:t>Товарный рынок</w:t>
            </w:r>
          </w:p>
        </w:tc>
        <w:tc>
          <w:tcPr>
            <w:tcW w:w="3118" w:type="dxa"/>
            <w:tcBorders>
              <w:top w:val="single" w:sz="8" w:space="0" w:color="FFFFFF"/>
              <w:left w:val="single" w:sz="8" w:space="0" w:color="FFFFFF"/>
              <w:bottom w:val="single" w:sz="8" w:space="0" w:color="000000"/>
              <w:right w:val="single" w:sz="8" w:space="0" w:color="FFFFFF"/>
            </w:tcBorders>
            <w:shd w:val="clear" w:color="auto" w:fill="FFFFFF"/>
            <w:tcMar>
              <w:top w:w="72" w:type="dxa"/>
              <w:left w:w="144" w:type="dxa"/>
              <w:bottom w:w="72" w:type="dxa"/>
              <w:right w:w="144" w:type="dxa"/>
            </w:tcMar>
            <w:hideMark/>
          </w:tcPr>
          <w:p w14:paraId="09FA6004"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val="en-US" w:eastAsia="ru-RU"/>
              </w:rPr>
              <w:t>14</w:t>
            </w:r>
          </w:p>
        </w:tc>
        <w:tc>
          <w:tcPr>
            <w:tcW w:w="3048" w:type="dxa"/>
            <w:tcBorders>
              <w:top w:val="single" w:sz="8" w:space="0" w:color="FFFFFF"/>
              <w:left w:val="single" w:sz="8" w:space="0" w:color="FFFFFF"/>
              <w:bottom w:val="single" w:sz="8" w:space="0" w:color="000000"/>
              <w:right w:val="single" w:sz="8" w:space="0" w:color="FFFFFF"/>
            </w:tcBorders>
            <w:shd w:val="clear" w:color="auto" w:fill="FFFFFF"/>
            <w:tcMar>
              <w:top w:w="72" w:type="dxa"/>
              <w:left w:w="144" w:type="dxa"/>
              <w:bottom w:w="72" w:type="dxa"/>
              <w:right w:w="144" w:type="dxa"/>
            </w:tcMar>
            <w:hideMark/>
          </w:tcPr>
          <w:p w14:paraId="65422A4E"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eastAsia="ru-RU"/>
              </w:rPr>
              <w:t>1</w:t>
            </w:r>
          </w:p>
        </w:tc>
      </w:tr>
    </w:tbl>
    <w:p w14:paraId="49E70F91" w14:textId="77777777" w:rsidR="00D33150" w:rsidRPr="00341240" w:rsidRDefault="00D33150" w:rsidP="00D33150">
      <w:pPr>
        <w:jc w:val="both"/>
        <w:rPr>
          <w:rFonts w:ascii="Times New Roman" w:eastAsia="Calibri" w:hAnsi="Times New Roman"/>
          <w:sz w:val="24"/>
          <w:szCs w:val="24"/>
        </w:rPr>
      </w:pPr>
    </w:p>
    <w:tbl>
      <w:tblPr>
        <w:tblW w:w="9499" w:type="dxa"/>
        <w:tblCellMar>
          <w:left w:w="0" w:type="dxa"/>
          <w:right w:w="0" w:type="dxa"/>
        </w:tblCellMar>
        <w:tblLook w:val="0420" w:firstRow="1" w:lastRow="0" w:firstColumn="0" w:lastColumn="0" w:noHBand="0" w:noVBand="1"/>
      </w:tblPr>
      <w:tblGrid>
        <w:gridCol w:w="2732"/>
        <w:gridCol w:w="1267"/>
        <w:gridCol w:w="1839"/>
        <w:gridCol w:w="1821"/>
        <w:gridCol w:w="1840"/>
      </w:tblGrid>
      <w:tr w:rsidR="00D33150" w:rsidRPr="00FE12AD" w14:paraId="68314D16" w14:textId="77777777" w:rsidTr="008D4996">
        <w:trPr>
          <w:trHeight w:val="510"/>
        </w:trPr>
        <w:tc>
          <w:tcPr>
            <w:tcW w:w="9499" w:type="dxa"/>
            <w:gridSpan w:val="5"/>
            <w:tcBorders>
              <w:top w:val="single" w:sz="8" w:space="0" w:color="FFFFFF"/>
              <w:left w:val="single" w:sz="8" w:space="0" w:color="FFFFFF"/>
              <w:bottom w:val="single" w:sz="24" w:space="0" w:color="FFFFFF"/>
              <w:right w:val="single" w:sz="8" w:space="0" w:color="FFFFFF"/>
            </w:tcBorders>
            <w:shd w:val="clear" w:color="auto" w:fill="CC0000"/>
            <w:tcMar>
              <w:top w:w="72" w:type="dxa"/>
              <w:left w:w="144" w:type="dxa"/>
              <w:bottom w:w="72" w:type="dxa"/>
              <w:right w:w="144" w:type="dxa"/>
            </w:tcMar>
            <w:hideMark/>
          </w:tcPr>
          <w:p w14:paraId="404D1527" w14:textId="77777777" w:rsidR="00D33150" w:rsidRPr="00FE12AD" w:rsidRDefault="00D33150" w:rsidP="008D4996">
            <w:pPr>
              <w:rPr>
                <w:rFonts w:ascii="Arial" w:eastAsia="Times New Roman" w:hAnsi="Arial" w:cs="Arial"/>
                <w:szCs w:val="36"/>
                <w:lang w:eastAsia="ru-RU"/>
              </w:rPr>
            </w:pPr>
            <w:r w:rsidRPr="00FE12AD">
              <w:rPr>
                <w:rFonts w:ascii="Times New Roman" w:eastAsia="Times New Roman" w:hAnsi="Times New Roman"/>
                <w:b/>
                <w:bCs/>
                <w:color w:val="FFFFFF"/>
                <w:kern w:val="24"/>
                <w:szCs w:val="28"/>
                <w:lang w:eastAsia="ru-RU"/>
              </w:rPr>
              <w:t>Состав гарантийных фондов по состоянию на 01.01.2018, млн.руб.</w:t>
            </w:r>
          </w:p>
        </w:tc>
      </w:tr>
      <w:tr w:rsidR="00D33150" w:rsidRPr="00FE12AD" w14:paraId="16FEE122" w14:textId="77777777" w:rsidTr="008D4996">
        <w:trPr>
          <w:trHeight w:val="510"/>
        </w:trPr>
        <w:tc>
          <w:tcPr>
            <w:tcW w:w="2732"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6672F9D"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eastAsia="ru-RU"/>
              </w:rPr>
              <w:t xml:space="preserve"> </w:t>
            </w:r>
          </w:p>
        </w:tc>
        <w:tc>
          <w:tcPr>
            <w:tcW w:w="1267"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F9A8614"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eastAsia="ru-RU"/>
              </w:rPr>
              <w:t xml:space="preserve"> </w:t>
            </w:r>
            <w:r w:rsidRPr="00FE12AD">
              <w:rPr>
                <w:rFonts w:ascii="Times New Roman" w:eastAsia="Times New Roman" w:hAnsi="Times New Roman"/>
                <w:color w:val="000000"/>
                <w:kern w:val="24"/>
                <w:szCs w:val="28"/>
                <w:lang w:val="en-US" w:eastAsia="ru-RU"/>
              </w:rPr>
              <w:t>RUB</w:t>
            </w:r>
          </w:p>
        </w:tc>
        <w:tc>
          <w:tcPr>
            <w:tcW w:w="1839"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6616AA9E"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val="en-US" w:eastAsia="ru-RU"/>
              </w:rPr>
              <w:t>USD</w:t>
            </w:r>
          </w:p>
        </w:tc>
        <w:tc>
          <w:tcPr>
            <w:tcW w:w="1821"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E9C6B42"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val="en-US" w:eastAsia="ru-RU"/>
              </w:rPr>
              <w:t>EUR</w:t>
            </w:r>
          </w:p>
        </w:tc>
        <w:tc>
          <w:tcPr>
            <w:tcW w:w="1839"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21CB801F"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eastAsia="ru-RU"/>
              </w:rPr>
              <w:t>ОФЗ</w:t>
            </w:r>
          </w:p>
        </w:tc>
      </w:tr>
      <w:tr w:rsidR="00D33150" w:rsidRPr="00FE12AD" w14:paraId="0A14D401" w14:textId="77777777" w:rsidTr="008D4996">
        <w:trPr>
          <w:trHeight w:val="510"/>
        </w:trPr>
        <w:tc>
          <w:tcPr>
            <w:tcW w:w="2732"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4B0F8DD9" w14:textId="77777777" w:rsidR="00D33150" w:rsidRPr="00FE12AD" w:rsidRDefault="00D33150" w:rsidP="008D4996">
            <w:pPr>
              <w:rPr>
                <w:rFonts w:ascii="Arial" w:eastAsia="Times New Roman" w:hAnsi="Arial" w:cs="Arial"/>
                <w:szCs w:val="36"/>
                <w:lang w:eastAsia="ru-RU"/>
              </w:rPr>
            </w:pPr>
            <w:r w:rsidRPr="00FE12AD">
              <w:rPr>
                <w:rFonts w:ascii="Times New Roman" w:eastAsia="Times New Roman" w:hAnsi="Times New Roman"/>
                <w:color w:val="000000"/>
                <w:kern w:val="24"/>
                <w:szCs w:val="28"/>
                <w:lang w:eastAsia="ru-RU"/>
              </w:rPr>
              <w:t>Средства гарантийных фондов (ВР,ФР,СР,ТР)</w:t>
            </w:r>
          </w:p>
        </w:tc>
        <w:tc>
          <w:tcPr>
            <w:tcW w:w="1267"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2EC19606"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val="en-US" w:eastAsia="ru-RU"/>
              </w:rPr>
              <w:t>4</w:t>
            </w:r>
            <w:r w:rsidRPr="00FE12AD">
              <w:rPr>
                <w:rFonts w:ascii="Times New Roman" w:eastAsia="Times New Roman" w:hAnsi="Times New Roman"/>
                <w:color w:val="000000"/>
                <w:kern w:val="24"/>
                <w:szCs w:val="28"/>
                <w:lang w:eastAsia="ru-RU"/>
              </w:rPr>
              <w:t xml:space="preserve"> </w:t>
            </w:r>
            <w:r w:rsidRPr="00FE12AD">
              <w:rPr>
                <w:rFonts w:ascii="Times New Roman" w:eastAsia="Times New Roman" w:hAnsi="Times New Roman"/>
                <w:color w:val="000000"/>
                <w:kern w:val="24"/>
                <w:szCs w:val="28"/>
                <w:lang w:val="en-US" w:eastAsia="ru-RU"/>
              </w:rPr>
              <w:t>323</w:t>
            </w:r>
            <w:r w:rsidRPr="00FE12AD">
              <w:rPr>
                <w:rFonts w:ascii="Times New Roman" w:eastAsia="Times New Roman" w:hAnsi="Times New Roman"/>
                <w:color w:val="000000"/>
                <w:kern w:val="24"/>
                <w:szCs w:val="28"/>
                <w:lang w:eastAsia="ru-RU"/>
              </w:rPr>
              <w:t>,</w:t>
            </w:r>
            <w:r w:rsidRPr="00FE12AD">
              <w:rPr>
                <w:rFonts w:ascii="Times New Roman" w:eastAsia="Times New Roman" w:hAnsi="Times New Roman"/>
                <w:color w:val="000000"/>
                <w:kern w:val="24"/>
                <w:szCs w:val="28"/>
                <w:lang w:val="en-US" w:eastAsia="ru-RU"/>
              </w:rPr>
              <w:t>8</w:t>
            </w:r>
          </w:p>
        </w:tc>
        <w:tc>
          <w:tcPr>
            <w:tcW w:w="1839"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53A53600"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val="en-US" w:eastAsia="ru-RU"/>
              </w:rPr>
              <w:t>804</w:t>
            </w:r>
          </w:p>
        </w:tc>
        <w:tc>
          <w:tcPr>
            <w:tcW w:w="1821"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04158555"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val="en-US" w:eastAsia="ru-RU"/>
              </w:rPr>
              <w:t xml:space="preserve"> 1 0</w:t>
            </w:r>
            <w:r w:rsidRPr="00FE12AD">
              <w:rPr>
                <w:rFonts w:ascii="Times New Roman" w:eastAsia="Times New Roman" w:hAnsi="Times New Roman"/>
                <w:color w:val="000000"/>
                <w:kern w:val="24"/>
                <w:szCs w:val="28"/>
                <w:lang w:eastAsia="ru-RU"/>
              </w:rPr>
              <w:t>35,</w:t>
            </w:r>
            <w:r w:rsidRPr="00FE12AD">
              <w:rPr>
                <w:rFonts w:ascii="Times New Roman" w:eastAsia="Times New Roman" w:hAnsi="Times New Roman"/>
                <w:color w:val="000000"/>
                <w:kern w:val="24"/>
                <w:szCs w:val="28"/>
                <w:lang w:val="en-US" w:eastAsia="ru-RU"/>
              </w:rPr>
              <w:t>9</w:t>
            </w:r>
          </w:p>
        </w:tc>
        <w:tc>
          <w:tcPr>
            <w:tcW w:w="1839"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48A8AD80"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val="en-US" w:eastAsia="ru-RU"/>
              </w:rPr>
              <w:t>2</w:t>
            </w:r>
            <w:r w:rsidRPr="00FE12AD">
              <w:rPr>
                <w:rFonts w:ascii="Times New Roman" w:eastAsia="Times New Roman" w:hAnsi="Times New Roman"/>
                <w:color w:val="000000"/>
                <w:kern w:val="24"/>
                <w:szCs w:val="28"/>
                <w:lang w:eastAsia="ru-RU"/>
              </w:rPr>
              <w:t xml:space="preserve"> </w:t>
            </w:r>
            <w:r w:rsidRPr="00FE12AD">
              <w:rPr>
                <w:rFonts w:ascii="Times New Roman" w:eastAsia="Times New Roman" w:hAnsi="Times New Roman"/>
                <w:color w:val="000000"/>
                <w:kern w:val="24"/>
                <w:szCs w:val="28"/>
                <w:lang w:val="en-US" w:eastAsia="ru-RU"/>
              </w:rPr>
              <w:t>209</w:t>
            </w:r>
            <w:r w:rsidRPr="00FE12AD">
              <w:rPr>
                <w:rFonts w:ascii="Times New Roman" w:eastAsia="Times New Roman" w:hAnsi="Times New Roman"/>
                <w:color w:val="000000"/>
                <w:kern w:val="24"/>
                <w:szCs w:val="28"/>
                <w:lang w:eastAsia="ru-RU"/>
              </w:rPr>
              <w:t>,</w:t>
            </w:r>
            <w:r w:rsidRPr="00FE12AD">
              <w:rPr>
                <w:rFonts w:ascii="Times New Roman" w:eastAsia="Times New Roman" w:hAnsi="Times New Roman"/>
                <w:color w:val="000000"/>
                <w:kern w:val="24"/>
                <w:szCs w:val="28"/>
                <w:lang w:val="en-US" w:eastAsia="ru-RU"/>
              </w:rPr>
              <w:t>9</w:t>
            </w:r>
          </w:p>
        </w:tc>
      </w:tr>
      <w:tr w:rsidR="00D33150" w:rsidRPr="00FE12AD" w14:paraId="70B91E3F" w14:textId="77777777" w:rsidTr="008D4996">
        <w:trPr>
          <w:trHeight w:val="510"/>
        </w:trPr>
        <w:tc>
          <w:tcPr>
            <w:tcW w:w="2732" w:type="dxa"/>
            <w:tcBorders>
              <w:top w:val="single" w:sz="8" w:space="0" w:color="FFFFFF"/>
              <w:left w:val="single" w:sz="8" w:space="0" w:color="FFFFFF"/>
              <w:bottom w:val="single" w:sz="8" w:space="0" w:color="000000"/>
              <w:right w:val="single" w:sz="8" w:space="0" w:color="FFFFFF"/>
            </w:tcBorders>
            <w:shd w:val="clear" w:color="auto" w:fill="D9D9D9"/>
            <w:tcMar>
              <w:top w:w="72" w:type="dxa"/>
              <w:left w:w="144" w:type="dxa"/>
              <w:bottom w:w="72" w:type="dxa"/>
              <w:right w:w="144" w:type="dxa"/>
            </w:tcMar>
            <w:hideMark/>
          </w:tcPr>
          <w:p w14:paraId="5C15EF4C" w14:textId="77777777" w:rsidR="00D33150" w:rsidRPr="00FE12AD" w:rsidRDefault="00D33150" w:rsidP="008D4996">
            <w:pPr>
              <w:rPr>
                <w:rFonts w:ascii="Arial" w:eastAsia="Times New Roman" w:hAnsi="Arial" w:cs="Arial"/>
                <w:szCs w:val="36"/>
                <w:lang w:eastAsia="ru-RU"/>
              </w:rPr>
            </w:pPr>
            <w:r w:rsidRPr="00FE12AD">
              <w:rPr>
                <w:rFonts w:ascii="Times New Roman" w:eastAsia="Times New Roman" w:hAnsi="Times New Roman"/>
                <w:color w:val="000000"/>
                <w:kern w:val="24"/>
                <w:szCs w:val="28"/>
                <w:lang w:eastAsia="ru-RU"/>
              </w:rPr>
              <w:t>Гарантийный фонд рынка СПФИ</w:t>
            </w:r>
          </w:p>
        </w:tc>
        <w:tc>
          <w:tcPr>
            <w:tcW w:w="1267" w:type="dxa"/>
            <w:tcBorders>
              <w:top w:val="single" w:sz="8" w:space="0" w:color="FFFFFF"/>
              <w:left w:val="single" w:sz="8" w:space="0" w:color="FFFFFF"/>
              <w:bottom w:val="single" w:sz="8" w:space="0" w:color="000000"/>
              <w:right w:val="single" w:sz="8" w:space="0" w:color="FFFFFF"/>
            </w:tcBorders>
            <w:shd w:val="clear" w:color="auto" w:fill="D9D9D9"/>
            <w:tcMar>
              <w:top w:w="72" w:type="dxa"/>
              <w:left w:w="144" w:type="dxa"/>
              <w:bottom w:w="72" w:type="dxa"/>
              <w:right w:w="144" w:type="dxa"/>
            </w:tcMar>
            <w:hideMark/>
          </w:tcPr>
          <w:p w14:paraId="508A14A5" w14:textId="77777777" w:rsidR="00D33150" w:rsidRPr="00FE12AD" w:rsidRDefault="00D33150" w:rsidP="008D4996">
            <w:pPr>
              <w:jc w:val="center"/>
              <w:rPr>
                <w:rFonts w:ascii="Arial" w:eastAsia="Times New Roman" w:hAnsi="Arial" w:cs="Arial"/>
                <w:szCs w:val="36"/>
                <w:lang w:eastAsia="ru-RU"/>
              </w:rPr>
            </w:pPr>
            <w:r w:rsidRPr="00FE12AD">
              <w:rPr>
                <w:rFonts w:ascii="Times New Roman" w:eastAsia="Times New Roman" w:hAnsi="Times New Roman"/>
                <w:color w:val="000000"/>
                <w:kern w:val="24"/>
                <w:szCs w:val="28"/>
                <w:lang w:val="en-US" w:eastAsia="ru-RU"/>
              </w:rPr>
              <w:t>45</w:t>
            </w:r>
          </w:p>
        </w:tc>
        <w:tc>
          <w:tcPr>
            <w:tcW w:w="1839" w:type="dxa"/>
            <w:tcBorders>
              <w:top w:val="single" w:sz="8" w:space="0" w:color="FFFFFF"/>
              <w:left w:val="single" w:sz="8" w:space="0" w:color="FFFFFF"/>
              <w:bottom w:val="single" w:sz="8" w:space="0" w:color="000000"/>
              <w:right w:val="single" w:sz="8" w:space="0" w:color="FFFFFF"/>
            </w:tcBorders>
            <w:shd w:val="clear" w:color="auto" w:fill="D9D9D9"/>
            <w:tcMar>
              <w:top w:w="72" w:type="dxa"/>
              <w:left w:w="144" w:type="dxa"/>
              <w:bottom w:w="72" w:type="dxa"/>
              <w:right w:w="144" w:type="dxa"/>
            </w:tcMar>
            <w:hideMark/>
          </w:tcPr>
          <w:p w14:paraId="5C46D635" w14:textId="77777777" w:rsidR="00D33150" w:rsidRPr="00FE12AD" w:rsidRDefault="00D33150" w:rsidP="008D4996">
            <w:pPr>
              <w:rPr>
                <w:rFonts w:ascii="Arial" w:eastAsia="Times New Roman" w:hAnsi="Arial" w:cs="Arial"/>
                <w:szCs w:val="36"/>
                <w:lang w:eastAsia="ru-RU"/>
              </w:rPr>
            </w:pPr>
          </w:p>
        </w:tc>
        <w:tc>
          <w:tcPr>
            <w:tcW w:w="1821" w:type="dxa"/>
            <w:tcBorders>
              <w:top w:val="single" w:sz="8" w:space="0" w:color="FFFFFF"/>
              <w:left w:val="single" w:sz="8" w:space="0" w:color="FFFFFF"/>
              <w:bottom w:val="single" w:sz="8" w:space="0" w:color="000000"/>
              <w:right w:val="single" w:sz="8" w:space="0" w:color="FFFFFF"/>
            </w:tcBorders>
            <w:shd w:val="clear" w:color="auto" w:fill="D9D9D9"/>
            <w:tcMar>
              <w:top w:w="72" w:type="dxa"/>
              <w:left w:w="144" w:type="dxa"/>
              <w:bottom w:w="72" w:type="dxa"/>
              <w:right w:w="144" w:type="dxa"/>
            </w:tcMar>
            <w:hideMark/>
          </w:tcPr>
          <w:p w14:paraId="2494880C" w14:textId="77777777" w:rsidR="00D33150" w:rsidRPr="00FE12AD" w:rsidRDefault="00D33150" w:rsidP="008D4996">
            <w:pPr>
              <w:rPr>
                <w:rFonts w:ascii="Times New Roman" w:eastAsia="Times New Roman" w:hAnsi="Times New Roman"/>
                <w:szCs w:val="20"/>
                <w:lang w:eastAsia="ru-RU"/>
              </w:rPr>
            </w:pPr>
          </w:p>
        </w:tc>
        <w:tc>
          <w:tcPr>
            <w:tcW w:w="1839" w:type="dxa"/>
            <w:tcBorders>
              <w:top w:val="single" w:sz="8" w:space="0" w:color="FFFFFF"/>
              <w:left w:val="single" w:sz="8" w:space="0" w:color="FFFFFF"/>
              <w:bottom w:val="single" w:sz="8" w:space="0" w:color="000000"/>
              <w:right w:val="single" w:sz="8" w:space="0" w:color="FFFFFF"/>
            </w:tcBorders>
            <w:shd w:val="clear" w:color="auto" w:fill="D9D9D9"/>
            <w:tcMar>
              <w:top w:w="72" w:type="dxa"/>
              <w:left w:w="144" w:type="dxa"/>
              <w:bottom w:w="72" w:type="dxa"/>
              <w:right w:w="144" w:type="dxa"/>
            </w:tcMar>
            <w:hideMark/>
          </w:tcPr>
          <w:p w14:paraId="7133F133" w14:textId="77777777" w:rsidR="00D33150" w:rsidRPr="00FE12AD" w:rsidRDefault="00D33150" w:rsidP="008D4996">
            <w:pPr>
              <w:rPr>
                <w:rFonts w:ascii="Times New Roman" w:eastAsia="Times New Roman" w:hAnsi="Times New Roman"/>
                <w:szCs w:val="20"/>
                <w:lang w:eastAsia="ru-RU"/>
              </w:rPr>
            </w:pPr>
          </w:p>
        </w:tc>
      </w:tr>
    </w:tbl>
    <w:p w14:paraId="08CA464F" w14:textId="77777777" w:rsidR="00D33150" w:rsidRPr="00341240" w:rsidRDefault="00D33150" w:rsidP="00D33150">
      <w:pPr>
        <w:rPr>
          <w:rFonts w:ascii="Times New Roman" w:eastAsia="Calibri" w:hAnsi="Times New Roman"/>
          <w:b/>
          <w:sz w:val="24"/>
          <w:szCs w:val="24"/>
        </w:rPr>
      </w:pPr>
    </w:p>
    <w:p w14:paraId="52F7FC12" w14:textId="77777777" w:rsidR="00D33150" w:rsidRPr="00C11834" w:rsidRDefault="00D33150" w:rsidP="003221B6">
      <w:pPr>
        <w:pStyle w:val="3"/>
        <w:jc w:val="center"/>
        <w:rPr>
          <w:rFonts w:ascii="Times New Roman" w:eastAsia="Calibri" w:hAnsi="Times New Roman" w:cs="Times New Roman"/>
          <w:b/>
          <w:i/>
          <w:color w:val="auto"/>
        </w:rPr>
      </w:pPr>
      <w:bookmarkStart w:id="18" w:name="_Toc510776666"/>
      <w:r w:rsidRPr="00C11834">
        <w:rPr>
          <w:rFonts w:ascii="Times New Roman" w:eastAsia="Calibri" w:hAnsi="Times New Roman" w:cs="Times New Roman"/>
          <w:b/>
          <w:i/>
          <w:color w:val="auto"/>
        </w:rPr>
        <w:t>Мониторинг финансового состояния участников клиринга</w:t>
      </w:r>
      <w:bookmarkEnd w:id="18"/>
    </w:p>
    <w:p w14:paraId="0E8E214C" w14:textId="762D942E" w:rsidR="00D33150" w:rsidRDefault="0098619E" w:rsidP="0098619E">
      <w:pPr>
        <w:spacing w:before="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33150" w:rsidRPr="00341240">
        <w:rPr>
          <w:rFonts w:ascii="Times New Roman" w:eastAsia="Times New Roman" w:hAnsi="Times New Roman"/>
          <w:sz w:val="24"/>
          <w:szCs w:val="24"/>
          <w:lang w:eastAsia="ru-RU"/>
        </w:rPr>
        <w:t>В качестве эффективного инструмента мониторинга финансового состояния участников клиринга и контрагентов по активным операциям в НКЦ используется система внутреннего рейтингования. Применение формализованных внутренних оценок позволяет оперативно реагировать на ухудшение финансового состояния</w:t>
      </w:r>
      <w:r w:rsidR="00D33150" w:rsidRPr="00341240">
        <w:rPr>
          <w:rFonts w:ascii="Times New Roman" w:eastAsia="Calibri" w:hAnsi="Times New Roman"/>
        </w:rPr>
        <w:t xml:space="preserve"> </w:t>
      </w:r>
      <w:r w:rsidR="00D33150" w:rsidRPr="00341240">
        <w:rPr>
          <w:rFonts w:ascii="Times New Roman" w:eastAsia="Times New Roman" w:hAnsi="Times New Roman"/>
          <w:sz w:val="24"/>
          <w:szCs w:val="24"/>
          <w:lang w:eastAsia="ru-RU"/>
        </w:rPr>
        <w:t xml:space="preserve">участников клиринга и контрагентов, устанавливать лимиты активных операций и формировать адекватные резервы на возможные потери по несущим риск операциям. </w:t>
      </w:r>
    </w:p>
    <w:p w14:paraId="7DA02384" w14:textId="30A6A2FA" w:rsidR="00D33150" w:rsidRPr="005D3DDC" w:rsidRDefault="0098619E" w:rsidP="0098619E">
      <w:pPr>
        <w:widowControl w:val="0"/>
        <w:spacing w:before="120"/>
        <w:jc w:val="both"/>
        <w:rPr>
          <w:rFonts w:ascii="Times New Roman" w:hAnsi="Times New Roman"/>
          <w:sz w:val="24"/>
          <w:szCs w:val="24"/>
        </w:rPr>
      </w:pPr>
      <w:r>
        <w:rPr>
          <w:rFonts w:ascii="Times New Roman" w:eastAsia="Times New Roman" w:hAnsi="Times New Roman"/>
          <w:sz w:val="24"/>
          <w:szCs w:val="24"/>
          <w:lang w:eastAsia="ru-RU"/>
        </w:rPr>
        <w:t xml:space="preserve">     </w:t>
      </w:r>
      <w:r w:rsidR="00D33150" w:rsidRPr="00341240">
        <w:rPr>
          <w:rFonts w:ascii="Times New Roman" w:eastAsia="Times New Roman" w:hAnsi="Times New Roman"/>
          <w:sz w:val="24"/>
          <w:szCs w:val="24"/>
          <w:lang w:eastAsia="ru-RU"/>
        </w:rPr>
        <w:t xml:space="preserve">Внутреннее рейтингование осуществляется в соответствии с Методикой определения </w:t>
      </w:r>
      <w:r w:rsidR="00D33150">
        <w:rPr>
          <w:rFonts w:ascii="Times New Roman" w:eastAsia="Times New Roman" w:hAnsi="Times New Roman"/>
          <w:sz w:val="24"/>
          <w:szCs w:val="24"/>
          <w:lang w:eastAsia="ru-RU"/>
        </w:rPr>
        <w:t>в</w:t>
      </w:r>
      <w:r w:rsidR="00D33150" w:rsidRPr="00341240">
        <w:rPr>
          <w:rFonts w:ascii="Times New Roman" w:eastAsia="Times New Roman" w:hAnsi="Times New Roman"/>
          <w:sz w:val="24"/>
          <w:szCs w:val="24"/>
          <w:lang w:eastAsia="ru-RU"/>
        </w:rPr>
        <w:t>нутренних рейтингов контрагентов</w:t>
      </w:r>
      <w:r w:rsidR="00D33150">
        <w:rPr>
          <w:rFonts w:ascii="Times New Roman" w:eastAsia="Calibri" w:hAnsi="Times New Roman"/>
          <w:noProof/>
          <w:lang w:eastAsia="ru-RU"/>
        </w:rPr>
        <w:t>.</w:t>
      </w:r>
      <w:r w:rsidR="00D33150">
        <w:rPr>
          <w:rFonts w:ascii="Times New Roman" w:eastAsia="Times New Roman" w:hAnsi="Times New Roman"/>
          <w:sz w:val="24"/>
          <w:szCs w:val="24"/>
          <w:lang w:eastAsia="ru-RU"/>
        </w:rPr>
        <w:t xml:space="preserve"> В 2017 году </w:t>
      </w:r>
      <w:r w:rsidR="00D33150" w:rsidRPr="00C0047A">
        <w:rPr>
          <w:rFonts w:ascii="Times New Roman" w:eastAsia="Times New Roman" w:hAnsi="Times New Roman"/>
          <w:sz w:val="24"/>
          <w:szCs w:val="24"/>
          <w:lang w:eastAsia="ru-RU"/>
        </w:rPr>
        <w:t>в</w:t>
      </w:r>
      <w:r w:rsidR="00D33150" w:rsidRPr="00765EF0">
        <w:rPr>
          <w:rFonts w:ascii="Times New Roman" w:eastAsia="Times New Roman" w:hAnsi="Times New Roman"/>
          <w:sz w:val="24"/>
          <w:szCs w:val="24"/>
          <w:lang w:eastAsia="ru-RU"/>
        </w:rPr>
        <w:t xml:space="preserve"> целях определения финансового положения новых категорий контрагентов и усовершенствования отдельных показателей расчета внутренних рейтингов утверждена новая редакция Методики</w:t>
      </w:r>
      <w:r w:rsidR="00D33150">
        <w:rPr>
          <w:rFonts w:ascii="Times New Roman" w:eastAsia="Times New Roman" w:hAnsi="Times New Roman"/>
          <w:sz w:val="24"/>
          <w:szCs w:val="24"/>
          <w:lang w:eastAsia="ru-RU"/>
        </w:rPr>
        <w:t xml:space="preserve"> определения внутренних рейтингов контрагентов, в которую внесены изменения в связи с:</w:t>
      </w:r>
    </w:p>
    <w:p w14:paraId="037F8707" w14:textId="77777777" w:rsidR="00D33150" w:rsidRPr="00710BA5" w:rsidRDefault="00D33150" w:rsidP="00D33150">
      <w:pPr>
        <w:numPr>
          <w:ilvl w:val="0"/>
          <w:numId w:val="11"/>
        </w:numPr>
        <w:spacing w:after="120" w:line="276" w:lineRule="auto"/>
        <w:contextualSpacing/>
        <w:jc w:val="both"/>
        <w:rPr>
          <w:rFonts w:ascii="Times New Roman" w:hAnsi="Times New Roman"/>
          <w:bCs/>
          <w:sz w:val="24"/>
          <w:szCs w:val="24"/>
        </w:rPr>
      </w:pPr>
      <w:r w:rsidRPr="00710BA5">
        <w:rPr>
          <w:rFonts w:ascii="Times New Roman" w:hAnsi="Times New Roman"/>
          <w:bCs/>
          <w:sz w:val="24"/>
          <w:szCs w:val="24"/>
        </w:rPr>
        <w:t>переходом на новый план счетов;</w:t>
      </w:r>
    </w:p>
    <w:p w14:paraId="4E6BC5A0" w14:textId="77777777" w:rsidR="00D33150" w:rsidRPr="005D3DDC" w:rsidRDefault="00D33150" w:rsidP="00D33150">
      <w:pPr>
        <w:numPr>
          <w:ilvl w:val="0"/>
          <w:numId w:val="11"/>
        </w:numPr>
        <w:spacing w:after="120" w:line="276" w:lineRule="auto"/>
        <w:contextualSpacing/>
        <w:jc w:val="both"/>
        <w:rPr>
          <w:rFonts w:ascii="Times New Roman" w:hAnsi="Times New Roman"/>
          <w:bCs/>
          <w:sz w:val="24"/>
          <w:szCs w:val="24"/>
        </w:rPr>
      </w:pPr>
      <w:r w:rsidRPr="00710BA5">
        <w:rPr>
          <w:rFonts w:ascii="Times New Roman" w:hAnsi="Times New Roman"/>
          <w:bCs/>
          <w:sz w:val="24"/>
          <w:szCs w:val="24"/>
        </w:rPr>
        <w:t>изменением порядка составления финансовой отчетности страховых организаций, в том числе группировки счетов по статьям бухгалтерского баланса и отчета о финансовых результатах</w:t>
      </w:r>
      <w:r w:rsidRPr="00C0047A">
        <w:rPr>
          <w:rFonts w:ascii="Times New Roman" w:hAnsi="Times New Roman"/>
          <w:bCs/>
          <w:sz w:val="24"/>
          <w:szCs w:val="24"/>
        </w:rPr>
        <w:t xml:space="preserve">. </w:t>
      </w:r>
    </w:p>
    <w:p w14:paraId="0B46DCAD" w14:textId="77777777" w:rsidR="00D33150" w:rsidRPr="00341240" w:rsidRDefault="00D33150" w:rsidP="00D33150">
      <w:pPr>
        <w:pageBreakBefore/>
        <w:spacing w:before="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Процесс </w:t>
      </w:r>
      <w:r w:rsidR="00CA06AA">
        <w:rPr>
          <w:rFonts w:ascii="Times New Roman" w:eastAsia="Times New Roman" w:hAnsi="Times New Roman"/>
          <w:sz w:val="24"/>
          <w:szCs w:val="24"/>
          <w:lang w:eastAsia="ru-RU"/>
        </w:rPr>
        <w:t xml:space="preserve">внутреннего </w:t>
      </w:r>
      <w:r>
        <w:rPr>
          <w:rFonts w:ascii="Times New Roman" w:eastAsia="Times New Roman" w:hAnsi="Times New Roman"/>
          <w:sz w:val="24"/>
          <w:szCs w:val="24"/>
          <w:lang w:eastAsia="ru-RU"/>
        </w:rPr>
        <w:t xml:space="preserve">рейтингования </w:t>
      </w:r>
      <w:r w:rsidRPr="00341240">
        <w:rPr>
          <w:rFonts w:ascii="Times New Roman" w:eastAsia="Times New Roman" w:hAnsi="Times New Roman"/>
          <w:sz w:val="24"/>
          <w:szCs w:val="24"/>
          <w:lang w:eastAsia="ru-RU"/>
        </w:rPr>
        <w:t>включает следующие элементы:</w:t>
      </w:r>
    </w:p>
    <w:p w14:paraId="388C8C19" w14:textId="77777777" w:rsidR="00D33150" w:rsidRPr="00341240" w:rsidRDefault="00D33150" w:rsidP="00D33150">
      <w:pPr>
        <w:widowControl w:val="0"/>
        <w:spacing w:before="120"/>
        <w:jc w:val="both"/>
        <w:rPr>
          <w:rFonts w:ascii="Times New Roman" w:eastAsia="Times New Roman" w:hAnsi="Times New Roman"/>
          <w:sz w:val="24"/>
          <w:szCs w:val="24"/>
          <w:lang w:eastAsia="ru-RU"/>
        </w:rPr>
      </w:pPr>
      <w:r>
        <w:rPr>
          <w:noProof/>
          <w:lang w:eastAsia="ru-RU"/>
        </w:rPr>
        <w:drawing>
          <wp:inline distT="0" distB="0" distL="0" distR="0" wp14:anchorId="15BF3B4A" wp14:editId="64524E90">
            <wp:extent cx="6060535" cy="4269851"/>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72491" cy="4278274"/>
                    </a:xfrm>
                    <a:prstGeom prst="rect">
                      <a:avLst/>
                    </a:prstGeom>
                  </pic:spPr>
                </pic:pic>
              </a:graphicData>
            </a:graphic>
          </wp:inline>
        </w:drawing>
      </w:r>
    </w:p>
    <w:p w14:paraId="02E77E37" w14:textId="379603C7" w:rsidR="00D33150" w:rsidRPr="00341240" w:rsidRDefault="0098619E" w:rsidP="0098619E">
      <w:pPr>
        <w:spacing w:before="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33150" w:rsidRPr="00341240">
        <w:rPr>
          <w:rFonts w:ascii="Times New Roman" w:eastAsia="Times New Roman" w:hAnsi="Times New Roman"/>
          <w:sz w:val="24"/>
          <w:szCs w:val="24"/>
          <w:lang w:eastAsia="ru-RU"/>
        </w:rPr>
        <w:t>Источниками информации для определения внутреннего рейтинга служ</w:t>
      </w:r>
      <w:r w:rsidR="00D33150">
        <w:rPr>
          <w:rFonts w:ascii="Times New Roman" w:eastAsia="Times New Roman" w:hAnsi="Times New Roman"/>
          <w:sz w:val="24"/>
          <w:szCs w:val="24"/>
          <w:lang w:eastAsia="ru-RU"/>
        </w:rPr>
        <w:t>а</w:t>
      </w:r>
      <w:r w:rsidR="00D33150" w:rsidRPr="00341240">
        <w:rPr>
          <w:rFonts w:ascii="Times New Roman" w:eastAsia="Times New Roman" w:hAnsi="Times New Roman"/>
          <w:sz w:val="24"/>
          <w:szCs w:val="24"/>
          <w:lang w:eastAsia="ru-RU"/>
        </w:rPr>
        <w:t>т финансовая отчетность и иная информация об участниках клиринга и контрагентах, существенная для оценки уровня принимаемых на них рисков. Внутренний рейтинг является результатом совокупной бальной оценки финансовых и нефинансовых показателей и может быть скорректирован по результатам экспертной оценки (учитываются сведения о составе собственников, данные о развитии бизнеса контрагента, рыночных позициях участника клиринга на отдельных сегментах рынка, динамике стоимости акций, эмитентами которых они являются, другая значимая информация).</w:t>
      </w:r>
    </w:p>
    <w:p w14:paraId="36FBE18D" w14:textId="77777777" w:rsidR="0098619E" w:rsidRDefault="0098619E" w:rsidP="0098619E">
      <w:pPr>
        <w:spacing w:after="120"/>
        <w:jc w:val="both"/>
        <w:rPr>
          <w:rFonts w:ascii="Times New Roman" w:eastAsia="Calibri" w:hAnsi="Times New Roman"/>
          <w:sz w:val="24"/>
          <w:szCs w:val="24"/>
        </w:rPr>
      </w:pPr>
    </w:p>
    <w:p w14:paraId="05E1C360" w14:textId="1C7F074A" w:rsidR="00D33150" w:rsidRDefault="0098619E" w:rsidP="0098619E">
      <w:pPr>
        <w:spacing w:after="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По состоянию на 01.01.201</w:t>
      </w:r>
      <w:r w:rsidR="00D33150">
        <w:rPr>
          <w:rFonts w:ascii="Times New Roman" w:eastAsia="Calibri" w:hAnsi="Times New Roman"/>
          <w:sz w:val="24"/>
          <w:szCs w:val="24"/>
        </w:rPr>
        <w:t>8</w:t>
      </w:r>
      <w:r w:rsidR="00D33150" w:rsidRPr="00341240">
        <w:rPr>
          <w:rFonts w:ascii="Times New Roman" w:eastAsia="Calibri" w:hAnsi="Times New Roman"/>
          <w:sz w:val="24"/>
          <w:szCs w:val="24"/>
        </w:rPr>
        <w:t xml:space="preserve"> года системой внутреннего рейтингования НКЦ было охвачено </w:t>
      </w:r>
      <w:r w:rsidR="00D33150">
        <w:rPr>
          <w:rFonts w:ascii="Times New Roman" w:eastAsia="Calibri" w:hAnsi="Times New Roman"/>
          <w:sz w:val="24"/>
          <w:szCs w:val="24"/>
        </w:rPr>
        <w:t>975</w:t>
      </w:r>
      <w:r w:rsidR="00D33150" w:rsidRPr="00341240">
        <w:rPr>
          <w:rFonts w:ascii="Times New Roman" w:eastAsia="Calibri" w:hAnsi="Times New Roman"/>
          <w:sz w:val="24"/>
          <w:szCs w:val="24"/>
        </w:rPr>
        <w:t xml:space="preserve"> организаций. Распределение по типам рейтингуемых участников клиринга и контрагентов НКЦ на 01.01.201</w:t>
      </w:r>
      <w:r w:rsidR="00D33150">
        <w:rPr>
          <w:rFonts w:ascii="Times New Roman" w:eastAsia="Calibri" w:hAnsi="Times New Roman"/>
          <w:sz w:val="24"/>
          <w:szCs w:val="24"/>
        </w:rPr>
        <w:t>8</w:t>
      </w:r>
      <w:r w:rsidR="00D33150" w:rsidRPr="00341240">
        <w:rPr>
          <w:rFonts w:ascii="Times New Roman" w:eastAsia="Calibri" w:hAnsi="Times New Roman"/>
          <w:sz w:val="24"/>
          <w:szCs w:val="24"/>
        </w:rPr>
        <w:t xml:space="preserve"> года отражено в таблице:</w:t>
      </w:r>
    </w:p>
    <w:tbl>
      <w:tblPr>
        <w:tblW w:w="9072" w:type="dxa"/>
        <w:tblLook w:val="04A0" w:firstRow="1" w:lastRow="0" w:firstColumn="1" w:lastColumn="0" w:noHBand="0" w:noVBand="1"/>
      </w:tblPr>
      <w:tblGrid>
        <w:gridCol w:w="6620"/>
        <w:gridCol w:w="2452"/>
      </w:tblGrid>
      <w:tr w:rsidR="00D33150" w:rsidRPr="00FE12AD" w14:paraId="3F85D459" w14:textId="77777777" w:rsidTr="008D4996">
        <w:trPr>
          <w:trHeight w:val="555"/>
        </w:trPr>
        <w:tc>
          <w:tcPr>
            <w:tcW w:w="9072" w:type="dxa"/>
            <w:gridSpan w:val="2"/>
            <w:tcBorders>
              <w:top w:val="nil"/>
              <w:left w:val="nil"/>
              <w:bottom w:val="nil"/>
              <w:right w:val="nil"/>
            </w:tcBorders>
            <w:shd w:val="clear" w:color="auto" w:fill="C00000"/>
            <w:noWrap/>
            <w:vAlign w:val="center"/>
            <w:hideMark/>
          </w:tcPr>
          <w:p w14:paraId="4110E09E" w14:textId="77777777" w:rsidR="00D33150" w:rsidRPr="00FE12AD" w:rsidRDefault="00D33150" w:rsidP="008D4996">
            <w:pPr>
              <w:rPr>
                <w:rFonts w:ascii="Times New Roman" w:eastAsia="Times New Roman" w:hAnsi="Times New Roman"/>
                <w:b/>
                <w:bCs/>
                <w:color w:val="FFFFFF"/>
                <w:lang w:eastAsia="ru-RU"/>
              </w:rPr>
            </w:pPr>
            <w:r w:rsidRPr="00FE12AD">
              <w:rPr>
                <w:rFonts w:ascii="Times New Roman" w:eastAsia="Times New Roman" w:hAnsi="Times New Roman"/>
                <w:b/>
                <w:bCs/>
                <w:color w:val="FFFFFF"/>
                <w:lang w:eastAsia="ru-RU"/>
              </w:rPr>
              <w:t>Распределение по типам участнико по состоянию на 01.01.2018, %</w:t>
            </w:r>
          </w:p>
        </w:tc>
      </w:tr>
      <w:tr w:rsidR="00D33150" w:rsidRPr="00FE12AD" w14:paraId="6AD682F5" w14:textId="77777777" w:rsidTr="008D4996">
        <w:trPr>
          <w:trHeight w:val="585"/>
        </w:trPr>
        <w:tc>
          <w:tcPr>
            <w:tcW w:w="6620" w:type="dxa"/>
            <w:tcBorders>
              <w:top w:val="nil"/>
              <w:left w:val="nil"/>
              <w:bottom w:val="nil"/>
              <w:right w:val="nil"/>
            </w:tcBorders>
            <w:shd w:val="clear" w:color="auto" w:fill="auto"/>
            <w:vAlign w:val="bottom"/>
            <w:hideMark/>
          </w:tcPr>
          <w:p w14:paraId="0C30256A" w14:textId="77777777" w:rsidR="00D33150" w:rsidRPr="00FE12AD" w:rsidRDefault="00D33150" w:rsidP="008D4996">
            <w:pPr>
              <w:rPr>
                <w:rFonts w:ascii="Times New Roman" w:eastAsia="Times New Roman" w:hAnsi="Times New Roman"/>
                <w:lang w:eastAsia="ru-RU"/>
              </w:rPr>
            </w:pPr>
            <w:r w:rsidRPr="00FE12AD">
              <w:rPr>
                <w:rFonts w:ascii="Times New Roman" w:eastAsia="Times New Roman" w:hAnsi="Times New Roman"/>
                <w:lang w:eastAsia="ru-RU"/>
              </w:rPr>
              <w:t>Кредитные организации, НКО, государственные корпорации, Международные организации</w:t>
            </w:r>
          </w:p>
        </w:tc>
        <w:tc>
          <w:tcPr>
            <w:tcW w:w="2452" w:type="dxa"/>
            <w:tcBorders>
              <w:top w:val="nil"/>
              <w:left w:val="nil"/>
              <w:bottom w:val="nil"/>
              <w:right w:val="nil"/>
            </w:tcBorders>
            <w:shd w:val="clear" w:color="auto" w:fill="auto"/>
            <w:noWrap/>
            <w:vAlign w:val="center"/>
            <w:hideMark/>
          </w:tcPr>
          <w:p w14:paraId="2E180723" w14:textId="77777777" w:rsidR="00D33150" w:rsidRPr="00FE12AD" w:rsidRDefault="00D33150" w:rsidP="008D4996">
            <w:pPr>
              <w:jc w:val="center"/>
              <w:rPr>
                <w:rFonts w:ascii="Times New Roman" w:eastAsia="Times New Roman" w:hAnsi="Times New Roman"/>
                <w:lang w:eastAsia="ru-RU"/>
              </w:rPr>
            </w:pPr>
            <w:r w:rsidRPr="00FE12AD">
              <w:rPr>
                <w:rFonts w:ascii="Times New Roman" w:eastAsia="Times New Roman" w:hAnsi="Times New Roman"/>
                <w:lang w:eastAsia="ru-RU"/>
              </w:rPr>
              <w:t>40%</w:t>
            </w:r>
          </w:p>
        </w:tc>
      </w:tr>
      <w:tr w:rsidR="00D33150" w:rsidRPr="00FE12AD" w14:paraId="7785F50A" w14:textId="77777777" w:rsidTr="008D4996">
        <w:trPr>
          <w:trHeight w:val="405"/>
        </w:trPr>
        <w:tc>
          <w:tcPr>
            <w:tcW w:w="6620" w:type="dxa"/>
            <w:tcBorders>
              <w:top w:val="nil"/>
              <w:left w:val="nil"/>
              <w:bottom w:val="nil"/>
              <w:right w:val="nil"/>
            </w:tcBorders>
            <w:shd w:val="clear" w:color="000000" w:fill="D9D9D9"/>
            <w:noWrap/>
            <w:vAlign w:val="bottom"/>
            <w:hideMark/>
          </w:tcPr>
          <w:p w14:paraId="426AE884" w14:textId="77777777" w:rsidR="00D33150" w:rsidRPr="00FE12AD" w:rsidRDefault="00D33150" w:rsidP="008D4996">
            <w:pPr>
              <w:rPr>
                <w:rFonts w:ascii="Times New Roman" w:eastAsia="Times New Roman" w:hAnsi="Times New Roman"/>
                <w:lang w:eastAsia="ru-RU"/>
              </w:rPr>
            </w:pPr>
            <w:r w:rsidRPr="00FE12AD">
              <w:rPr>
                <w:rFonts w:ascii="Times New Roman" w:eastAsia="Times New Roman" w:hAnsi="Times New Roman"/>
                <w:lang w:eastAsia="ru-RU"/>
              </w:rPr>
              <w:t>Эмитенты, корпорации</w:t>
            </w:r>
          </w:p>
        </w:tc>
        <w:tc>
          <w:tcPr>
            <w:tcW w:w="2452" w:type="dxa"/>
            <w:tcBorders>
              <w:top w:val="nil"/>
              <w:left w:val="nil"/>
              <w:bottom w:val="nil"/>
              <w:right w:val="nil"/>
            </w:tcBorders>
            <w:shd w:val="clear" w:color="000000" w:fill="D9D9D9"/>
            <w:noWrap/>
            <w:vAlign w:val="center"/>
            <w:hideMark/>
          </w:tcPr>
          <w:p w14:paraId="1A66DF01" w14:textId="77777777" w:rsidR="00D33150" w:rsidRPr="00FE12AD" w:rsidRDefault="00D33150" w:rsidP="008D4996">
            <w:pPr>
              <w:jc w:val="center"/>
              <w:rPr>
                <w:rFonts w:ascii="Times New Roman" w:eastAsia="Times New Roman" w:hAnsi="Times New Roman"/>
                <w:lang w:eastAsia="ru-RU"/>
              </w:rPr>
            </w:pPr>
            <w:r w:rsidRPr="00FE12AD">
              <w:rPr>
                <w:rFonts w:ascii="Times New Roman" w:eastAsia="Times New Roman" w:hAnsi="Times New Roman"/>
                <w:lang w:eastAsia="ru-RU"/>
              </w:rPr>
              <w:t>32%</w:t>
            </w:r>
          </w:p>
        </w:tc>
      </w:tr>
      <w:tr w:rsidR="00D33150" w:rsidRPr="00FE12AD" w14:paraId="02D3952B" w14:textId="77777777" w:rsidTr="008D4996">
        <w:trPr>
          <w:trHeight w:val="405"/>
        </w:trPr>
        <w:tc>
          <w:tcPr>
            <w:tcW w:w="6620" w:type="dxa"/>
            <w:tcBorders>
              <w:top w:val="nil"/>
              <w:left w:val="nil"/>
              <w:bottom w:val="nil"/>
              <w:right w:val="nil"/>
            </w:tcBorders>
            <w:shd w:val="clear" w:color="auto" w:fill="auto"/>
            <w:noWrap/>
            <w:vAlign w:val="bottom"/>
            <w:hideMark/>
          </w:tcPr>
          <w:p w14:paraId="69166C01" w14:textId="77777777" w:rsidR="00D33150" w:rsidRPr="00FE12AD" w:rsidRDefault="00D33150" w:rsidP="008D4996">
            <w:pPr>
              <w:rPr>
                <w:rFonts w:ascii="Times New Roman" w:eastAsia="Times New Roman" w:hAnsi="Times New Roman"/>
                <w:lang w:eastAsia="ru-RU"/>
              </w:rPr>
            </w:pPr>
            <w:r w:rsidRPr="00FE12AD">
              <w:rPr>
                <w:rFonts w:ascii="Times New Roman" w:eastAsia="Times New Roman" w:hAnsi="Times New Roman"/>
                <w:lang w:eastAsia="ru-RU"/>
              </w:rPr>
              <w:t>Финансовые компании</w:t>
            </w:r>
          </w:p>
        </w:tc>
        <w:tc>
          <w:tcPr>
            <w:tcW w:w="2452" w:type="dxa"/>
            <w:tcBorders>
              <w:top w:val="nil"/>
              <w:left w:val="nil"/>
              <w:bottom w:val="nil"/>
              <w:right w:val="nil"/>
            </w:tcBorders>
            <w:shd w:val="clear" w:color="auto" w:fill="auto"/>
            <w:noWrap/>
            <w:vAlign w:val="center"/>
            <w:hideMark/>
          </w:tcPr>
          <w:p w14:paraId="1C3A4772" w14:textId="77777777" w:rsidR="00D33150" w:rsidRPr="00FE12AD" w:rsidRDefault="00D33150" w:rsidP="008D4996">
            <w:pPr>
              <w:jc w:val="center"/>
              <w:rPr>
                <w:rFonts w:ascii="Times New Roman" w:eastAsia="Times New Roman" w:hAnsi="Times New Roman"/>
                <w:lang w:eastAsia="ru-RU"/>
              </w:rPr>
            </w:pPr>
            <w:r w:rsidRPr="00FE12AD">
              <w:rPr>
                <w:rFonts w:ascii="Times New Roman" w:eastAsia="Times New Roman" w:hAnsi="Times New Roman"/>
                <w:lang w:eastAsia="ru-RU"/>
              </w:rPr>
              <w:t>14%</w:t>
            </w:r>
          </w:p>
        </w:tc>
      </w:tr>
      <w:tr w:rsidR="00D33150" w:rsidRPr="00FE12AD" w14:paraId="7CD6A97E" w14:textId="77777777" w:rsidTr="008D4996">
        <w:trPr>
          <w:trHeight w:val="405"/>
        </w:trPr>
        <w:tc>
          <w:tcPr>
            <w:tcW w:w="6620" w:type="dxa"/>
            <w:tcBorders>
              <w:top w:val="nil"/>
              <w:left w:val="nil"/>
              <w:bottom w:val="nil"/>
              <w:right w:val="nil"/>
            </w:tcBorders>
            <w:shd w:val="clear" w:color="000000" w:fill="D9D9D9"/>
            <w:noWrap/>
            <w:vAlign w:val="bottom"/>
            <w:hideMark/>
          </w:tcPr>
          <w:p w14:paraId="0A0E414E" w14:textId="77777777" w:rsidR="00D33150" w:rsidRPr="00FE12AD" w:rsidRDefault="00D33150" w:rsidP="008D4996">
            <w:pPr>
              <w:rPr>
                <w:rFonts w:ascii="Times New Roman" w:eastAsia="Times New Roman" w:hAnsi="Times New Roman"/>
                <w:lang w:eastAsia="ru-RU"/>
              </w:rPr>
            </w:pPr>
            <w:r w:rsidRPr="00FE12AD">
              <w:rPr>
                <w:rFonts w:ascii="Times New Roman" w:eastAsia="Times New Roman" w:hAnsi="Times New Roman"/>
                <w:lang w:eastAsia="ru-RU"/>
              </w:rPr>
              <w:t>Кредитные организации- нерезиденты</w:t>
            </w:r>
          </w:p>
        </w:tc>
        <w:tc>
          <w:tcPr>
            <w:tcW w:w="2452" w:type="dxa"/>
            <w:tcBorders>
              <w:top w:val="nil"/>
              <w:left w:val="nil"/>
              <w:bottom w:val="nil"/>
              <w:right w:val="nil"/>
            </w:tcBorders>
            <w:shd w:val="clear" w:color="000000" w:fill="D9D9D9"/>
            <w:noWrap/>
            <w:vAlign w:val="center"/>
            <w:hideMark/>
          </w:tcPr>
          <w:p w14:paraId="5FEC0708" w14:textId="77777777" w:rsidR="00D33150" w:rsidRPr="00FE12AD" w:rsidRDefault="00D33150" w:rsidP="008D4996">
            <w:pPr>
              <w:jc w:val="center"/>
              <w:rPr>
                <w:rFonts w:ascii="Times New Roman" w:eastAsia="Times New Roman" w:hAnsi="Times New Roman"/>
                <w:lang w:eastAsia="ru-RU"/>
              </w:rPr>
            </w:pPr>
            <w:r w:rsidRPr="00FE12AD">
              <w:rPr>
                <w:rFonts w:ascii="Times New Roman" w:eastAsia="Times New Roman" w:hAnsi="Times New Roman"/>
                <w:lang w:eastAsia="ru-RU"/>
              </w:rPr>
              <w:t>4%</w:t>
            </w:r>
          </w:p>
        </w:tc>
      </w:tr>
      <w:tr w:rsidR="00D33150" w:rsidRPr="00FE12AD" w14:paraId="073D9887" w14:textId="77777777" w:rsidTr="008D4996">
        <w:trPr>
          <w:trHeight w:val="405"/>
        </w:trPr>
        <w:tc>
          <w:tcPr>
            <w:tcW w:w="6620" w:type="dxa"/>
            <w:tcBorders>
              <w:top w:val="nil"/>
              <w:left w:val="nil"/>
              <w:bottom w:val="nil"/>
              <w:right w:val="nil"/>
            </w:tcBorders>
            <w:shd w:val="clear" w:color="auto" w:fill="auto"/>
            <w:noWrap/>
            <w:vAlign w:val="bottom"/>
            <w:hideMark/>
          </w:tcPr>
          <w:p w14:paraId="52313165" w14:textId="77777777" w:rsidR="00D33150" w:rsidRPr="00FE12AD" w:rsidRDefault="00D33150" w:rsidP="008D4996">
            <w:pPr>
              <w:rPr>
                <w:rFonts w:ascii="Times New Roman" w:eastAsia="Times New Roman" w:hAnsi="Times New Roman"/>
                <w:lang w:eastAsia="ru-RU"/>
              </w:rPr>
            </w:pPr>
            <w:r w:rsidRPr="00FE12AD">
              <w:rPr>
                <w:rFonts w:ascii="Times New Roman" w:eastAsia="Times New Roman" w:hAnsi="Times New Roman"/>
                <w:lang w:eastAsia="ru-RU"/>
              </w:rPr>
              <w:t>Склады/трейдеры товарного рынка</w:t>
            </w:r>
          </w:p>
        </w:tc>
        <w:tc>
          <w:tcPr>
            <w:tcW w:w="2452" w:type="dxa"/>
            <w:tcBorders>
              <w:top w:val="nil"/>
              <w:left w:val="nil"/>
              <w:bottom w:val="nil"/>
              <w:right w:val="nil"/>
            </w:tcBorders>
            <w:shd w:val="clear" w:color="auto" w:fill="auto"/>
            <w:noWrap/>
            <w:vAlign w:val="center"/>
            <w:hideMark/>
          </w:tcPr>
          <w:p w14:paraId="4440DBD0" w14:textId="77777777" w:rsidR="00D33150" w:rsidRPr="00FE12AD" w:rsidRDefault="00D33150" w:rsidP="008D4996">
            <w:pPr>
              <w:jc w:val="center"/>
              <w:rPr>
                <w:rFonts w:ascii="Times New Roman" w:eastAsia="Times New Roman" w:hAnsi="Times New Roman"/>
                <w:lang w:eastAsia="ru-RU"/>
              </w:rPr>
            </w:pPr>
            <w:r w:rsidRPr="00FE12AD">
              <w:rPr>
                <w:rFonts w:ascii="Times New Roman" w:eastAsia="Times New Roman" w:hAnsi="Times New Roman"/>
                <w:lang w:eastAsia="ru-RU"/>
              </w:rPr>
              <w:t>5%</w:t>
            </w:r>
          </w:p>
        </w:tc>
      </w:tr>
      <w:tr w:rsidR="00D33150" w:rsidRPr="00FE12AD" w14:paraId="709BD4C3" w14:textId="77777777" w:rsidTr="008D4996">
        <w:trPr>
          <w:trHeight w:val="405"/>
        </w:trPr>
        <w:tc>
          <w:tcPr>
            <w:tcW w:w="6620" w:type="dxa"/>
            <w:tcBorders>
              <w:top w:val="nil"/>
              <w:left w:val="nil"/>
              <w:bottom w:val="single" w:sz="4" w:space="0" w:color="auto"/>
              <w:right w:val="nil"/>
            </w:tcBorders>
            <w:shd w:val="clear" w:color="000000" w:fill="D9D9D9"/>
            <w:noWrap/>
            <w:vAlign w:val="bottom"/>
            <w:hideMark/>
          </w:tcPr>
          <w:p w14:paraId="61111DFA" w14:textId="77777777" w:rsidR="00D33150" w:rsidRPr="00FE12AD" w:rsidRDefault="00D33150" w:rsidP="008D4996">
            <w:pPr>
              <w:rPr>
                <w:rFonts w:ascii="Times New Roman" w:eastAsia="Times New Roman" w:hAnsi="Times New Roman"/>
                <w:lang w:eastAsia="ru-RU"/>
              </w:rPr>
            </w:pPr>
            <w:r w:rsidRPr="00FE12AD">
              <w:rPr>
                <w:rFonts w:ascii="Times New Roman" w:eastAsia="Times New Roman" w:hAnsi="Times New Roman"/>
                <w:lang w:eastAsia="ru-RU"/>
              </w:rPr>
              <w:t>Прочие контрагенты</w:t>
            </w:r>
          </w:p>
        </w:tc>
        <w:tc>
          <w:tcPr>
            <w:tcW w:w="2452" w:type="dxa"/>
            <w:tcBorders>
              <w:top w:val="nil"/>
              <w:left w:val="nil"/>
              <w:bottom w:val="single" w:sz="4" w:space="0" w:color="auto"/>
              <w:right w:val="nil"/>
            </w:tcBorders>
            <w:shd w:val="clear" w:color="000000" w:fill="D9D9D9"/>
            <w:noWrap/>
            <w:vAlign w:val="center"/>
            <w:hideMark/>
          </w:tcPr>
          <w:p w14:paraId="68B7DCBB" w14:textId="77777777" w:rsidR="00D33150" w:rsidRPr="00FE12AD" w:rsidRDefault="00D33150" w:rsidP="008D4996">
            <w:pPr>
              <w:jc w:val="center"/>
              <w:rPr>
                <w:rFonts w:ascii="Times New Roman" w:eastAsia="Times New Roman" w:hAnsi="Times New Roman"/>
                <w:lang w:eastAsia="ru-RU"/>
              </w:rPr>
            </w:pPr>
            <w:r w:rsidRPr="00FE12AD">
              <w:rPr>
                <w:rFonts w:ascii="Times New Roman" w:eastAsia="Times New Roman" w:hAnsi="Times New Roman"/>
                <w:lang w:eastAsia="ru-RU"/>
              </w:rPr>
              <w:t>5%</w:t>
            </w:r>
          </w:p>
        </w:tc>
      </w:tr>
    </w:tbl>
    <w:p w14:paraId="253E2D16" w14:textId="77777777" w:rsidR="00D33150" w:rsidRPr="003221B6" w:rsidRDefault="00D33150" w:rsidP="00EA71B4">
      <w:pPr>
        <w:pStyle w:val="2"/>
        <w:numPr>
          <w:ilvl w:val="1"/>
          <w:numId w:val="67"/>
        </w:numPr>
        <w:jc w:val="center"/>
        <w:rPr>
          <w:rFonts w:ascii="Times New Roman" w:eastAsia="Calibri" w:hAnsi="Times New Roman" w:cs="Times New Roman"/>
          <w:b/>
          <w:color w:val="auto"/>
          <w:sz w:val="28"/>
          <w:szCs w:val="28"/>
        </w:rPr>
      </w:pPr>
      <w:r w:rsidRPr="003221B6">
        <w:rPr>
          <w:rFonts w:ascii="Times New Roman" w:eastAsia="Calibri" w:hAnsi="Times New Roman" w:cs="Times New Roman"/>
          <w:b/>
          <w:color w:val="auto"/>
          <w:sz w:val="28"/>
          <w:szCs w:val="28"/>
        </w:rPr>
        <w:t xml:space="preserve"> </w:t>
      </w:r>
      <w:bookmarkStart w:id="19" w:name="_Toc510776667"/>
      <w:r w:rsidRPr="003221B6">
        <w:rPr>
          <w:rFonts w:ascii="Times New Roman" w:eastAsia="Calibri" w:hAnsi="Times New Roman" w:cs="Times New Roman"/>
          <w:b/>
          <w:color w:val="auto"/>
          <w:sz w:val="28"/>
          <w:szCs w:val="28"/>
        </w:rPr>
        <w:t>Управление рисками, связанными с деятельностью НКЦ как кредитной организации</w:t>
      </w:r>
      <w:bookmarkEnd w:id="19"/>
    </w:p>
    <w:p w14:paraId="5D545C5D" w14:textId="77777777" w:rsidR="00D33150" w:rsidRPr="00341240" w:rsidRDefault="00D33150" w:rsidP="00D33150">
      <w:pPr>
        <w:spacing w:before="120"/>
        <w:jc w:val="both"/>
        <w:rPr>
          <w:rFonts w:ascii="Times New Roman" w:eastAsia="Calibri" w:hAnsi="Times New Roman"/>
          <w:sz w:val="24"/>
          <w:szCs w:val="24"/>
        </w:rPr>
      </w:pPr>
      <w:r w:rsidRPr="00341240">
        <w:rPr>
          <w:rFonts w:ascii="Times New Roman" w:eastAsia="Calibri" w:hAnsi="Times New Roman"/>
          <w:sz w:val="24"/>
          <w:szCs w:val="24"/>
        </w:rPr>
        <w:t xml:space="preserve">     НКЦ в силу специфики своего статуса и видов деятельности придерживается консервативной политики по формированию активов при размещении свободных денежных средств. </w:t>
      </w:r>
    </w:p>
    <w:p w14:paraId="08683E8B" w14:textId="77777777" w:rsidR="00D33150" w:rsidRPr="00341240" w:rsidRDefault="00D33150" w:rsidP="00D33150">
      <w:pPr>
        <w:spacing w:before="120"/>
        <w:jc w:val="both"/>
        <w:rPr>
          <w:rFonts w:ascii="Times New Roman" w:eastAsia="Calibri" w:hAnsi="Times New Roman"/>
          <w:sz w:val="24"/>
          <w:szCs w:val="24"/>
        </w:rPr>
      </w:pPr>
      <w:r w:rsidRPr="00341240">
        <w:rPr>
          <w:rFonts w:ascii="Times New Roman" w:eastAsia="Calibri" w:hAnsi="Times New Roman"/>
          <w:sz w:val="24"/>
          <w:szCs w:val="24"/>
        </w:rPr>
        <w:t xml:space="preserve">    Основные элементы управления рисками, возникающими при осуществлении банковской деятельности, включают:  </w:t>
      </w:r>
    </w:p>
    <w:p w14:paraId="22341D69" w14:textId="77777777" w:rsidR="00D33150" w:rsidRPr="00341240" w:rsidRDefault="00D33150" w:rsidP="00D33150">
      <w:pPr>
        <w:numPr>
          <w:ilvl w:val="0"/>
          <w:numId w:val="5"/>
        </w:numPr>
        <w:contextualSpacing/>
        <w:jc w:val="both"/>
        <w:rPr>
          <w:rFonts w:ascii="Times New Roman" w:eastAsia="Calibri" w:hAnsi="Times New Roman"/>
          <w:sz w:val="24"/>
          <w:szCs w:val="24"/>
        </w:rPr>
      </w:pPr>
      <w:r w:rsidRPr="00341240">
        <w:rPr>
          <w:rFonts w:ascii="Times New Roman" w:eastAsia="Calibri" w:hAnsi="Times New Roman"/>
          <w:sz w:val="24"/>
          <w:szCs w:val="24"/>
        </w:rPr>
        <w:t xml:space="preserve">управление портфелем активов и пассивов; </w:t>
      </w:r>
    </w:p>
    <w:p w14:paraId="4459007D" w14:textId="77777777" w:rsidR="00D33150" w:rsidRPr="00341240" w:rsidRDefault="00D33150" w:rsidP="00D33150">
      <w:pPr>
        <w:numPr>
          <w:ilvl w:val="0"/>
          <w:numId w:val="5"/>
        </w:numPr>
        <w:contextualSpacing/>
        <w:jc w:val="both"/>
        <w:rPr>
          <w:rFonts w:ascii="Times New Roman" w:eastAsia="Calibri" w:hAnsi="Times New Roman"/>
          <w:sz w:val="24"/>
          <w:szCs w:val="24"/>
        </w:rPr>
      </w:pPr>
      <w:r w:rsidRPr="00341240">
        <w:rPr>
          <w:rFonts w:ascii="Times New Roman" w:eastAsia="Calibri" w:hAnsi="Times New Roman"/>
          <w:sz w:val="24"/>
          <w:szCs w:val="24"/>
        </w:rPr>
        <w:lastRenderedPageBreak/>
        <w:t>мониторинг финансового состояния контрагентов;</w:t>
      </w:r>
    </w:p>
    <w:p w14:paraId="25748FDB" w14:textId="77777777" w:rsidR="00D33150" w:rsidRPr="00341240" w:rsidRDefault="00D33150" w:rsidP="00D33150">
      <w:pPr>
        <w:numPr>
          <w:ilvl w:val="0"/>
          <w:numId w:val="5"/>
        </w:numPr>
        <w:contextualSpacing/>
        <w:jc w:val="both"/>
        <w:rPr>
          <w:rFonts w:ascii="Times New Roman" w:eastAsia="Calibri" w:hAnsi="Times New Roman"/>
          <w:sz w:val="24"/>
          <w:szCs w:val="24"/>
        </w:rPr>
      </w:pPr>
      <w:r w:rsidRPr="00341240">
        <w:rPr>
          <w:rFonts w:ascii="Times New Roman" w:eastAsia="Calibri" w:hAnsi="Times New Roman"/>
          <w:sz w:val="24"/>
          <w:szCs w:val="24"/>
        </w:rPr>
        <w:t>установление лимитов;</w:t>
      </w:r>
    </w:p>
    <w:p w14:paraId="03BF933D" w14:textId="77777777" w:rsidR="00D33150" w:rsidRPr="00341240" w:rsidRDefault="00D33150" w:rsidP="00D33150">
      <w:pPr>
        <w:numPr>
          <w:ilvl w:val="0"/>
          <w:numId w:val="5"/>
        </w:numPr>
        <w:contextualSpacing/>
        <w:jc w:val="both"/>
        <w:rPr>
          <w:rFonts w:ascii="Times New Roman" w:eastAsia="Calibri" w:hAnsi="Times New Roman"/>
          <w:sz w:val="24"/>
          <w:szCs w:val="24"/>
        </w:rPr>
      </w:pPr>
      <w:r w:rsidRPr="00341240">
        <w:rPr>
          <w:rFonts w:ascii="Times New Roman" w:eastAsia="Calibri" w:hAnsi="Times New Roman"/>
          <w:sz w:val="24"/>
          <w:szCs w:val="24"/>
        </w:rPr>
        <w:t>формирование резервов на возможные потери для покрытия рисков;</w:t>
      </w:r>
    </w:p>
    <w:p w14:paraId="678033FE" w14:textId="77777777" w:rsidR="00D33150" w:rsidRPr="00341240" w:rsidRDefault="00D33150" w:rsidP="00D33150">
      <w:pPr>
        <w:numPr>
          <w:ilvl w:val="0"/>
          <w:numId w:val="5"/>
        </w:numPr>
        <w:contextualSpacing/>
        <w:jc w:val="both"/>
        <w:rPr>
          <w:rFonts w:ascii="Times New Roman" w:eastAsia="Calibri" w:hAnsi="Times New Roman"/>
          <w:sz w:val="24"/>
          <w:szCs w:val="24"/>
        </w:rPr>
      </w:pPr>
      <w:r w:rsidRPr="00341240">
        <w:rPr>
          <w:rFonts w:ascii="Times New Roman" w:eastAsia="Calibri" w:hAnsi="Times New Roman"/>
          <w:sz w:val="24"/>
          <w:szCs w:val="24"/>
        </w:rPr>
        <w:t>отказ от принятия отдельных видов рисков.</w:t>
      </w:r>
    </w:p>
    <w:p w14:paraId="3C579740" w14:textId="77777777" w:rsidR="00D33150" w:rsidRPr="00C11834" w:rsidRDefault="00D33150" w:rsidP="003221B6">
      <w:pPr>
        <w:pStyle w:val="3"/>
        <w:jc w:val="center"/>
        <w:rPr>
          <w:rFonts w:ascii="Times New Roman" w:eastAsia="Calibri" w:hAnsi="Times New Roman" w:cs="Times New Roman"/>
          <w:b/>
          <w:i/>
          <w:color w:val="auto"/>
        </w:rPr>
      </w:pPr>
      <w:bookmarkStart w:id="20" w:name="_Toc510776668"/>
      <w:r w:rsidRPr="00C11834">
        <w:rPr>
          <w:rFonts w:ascii="Times New Roman" w:eastAsia="Calibri" w:hAnsi="Times New Roman" w:cs="Times New Roman"/>
          <w:b/>
          <w:i/>
          <w:color w:val="auto"/>
        </w:rPr>
        <w:t>Управление кредитным риском</w:t>
      </w:r>
      <w:bookmarkEnd w:id="20"/>
    </w:p>
    <w:p w14:paraId="07525562" w14:textId="3DC73C23" w:rsidR="00D33150" w:rsidRPr="00341240" w:rsidRDefault="0098619E" w:rsidP="0098619E">
      <w:pPr>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 xml:space="preserve">Кредитный риск применительно к деятельности НКЦ </w:t>
      </w:r>
      <w:r w:rsidR="00D33150">
        <w:rPr>
          <w:rFonts w:ascii="Times New Roman" w:eastAsia="Calibri" w:hAnsi="Times New Roman"/>
          <w:sz w:val="24"/>
          <w:szCs w:val="24"/>
        </w:rPr>
        <w:t xml:space="preserve">как кредитной организации </w:t>
      </w:r>
      <w:r w:rsidR="00D33150" w:rsidRPr="00341240">
        <w:rPr>
          <w:rFonts w:ascii="Times New Roman" w:eastAsia="Calibri" w:hAnsi="Times New Roman"/>
          <w:sz w:val="24"/>
          <w:szCs w:val="24"/>
        </w:rPr>
        <w:t>проявляется в результате осуществления НКЦ инвестиционной деятельности.</w:t>
      </w:r>
    </w:p>
    <w:p w14:paraId="7CA24FFD" w14:textId="77777777" w:rsidR="00D33150" w:rsidRPr="00341240" w:rsidRDefault="00D33150" w:rsidP="00D33150">
      <w:pPr>
        <w:spacing w:before="120"/>
        <w:ind w:left="1077" w:hanging="510"/>
        <w:jc w:val="both"/>
        <w:rPr>
          <w:rFonts w:ascii="Times New Roman" w:eastAsia="Calibri" w:hAnsi="Times New Roman"/>
          <w:sz w:val="24"/>
          <w:szCs w:val="24"/>
        </w:rPr>
      </w:pPr>
      <w:r w:rsidRPr="00341240">
        <w:rPr>
          <w:rFonts w:ascii="Times New Roman" w:eastAsia="Calibri" w:hAnsi="Times New Roman"/>
          <w:sz w:val="24"/>
          <w:szCs w:val="24"/>
        </w:rPr>
        <w:t>Процесс управления кредитным риском кратко представлен на рисунке ниже:</w:t>
      </w:r>
    </w:p>
    <w:p w14:paraId="79E3905F" w14:textId="17BF17D9" w:rsidR="00D33150" w:rsidRPr="00341240" w:rsidRDefault="00D33150" w:rsidP="00D33150">
      <w:pPr>
        <w:spacing w:before="120"/>
        <w:jc w:val="both"/>
        <w:rPr>
          <w:rFonts w:ascii="Times New Roman" w:eastAsia="Calibri" w:hAnsi="Times New Roman"/>
          <w:sz w:val="24"/>
          <w:szCs w:val="24"/>
        </w:rPr>
      </w:pPr>
      <w:r>
        <w:rPr>
          <w:noProof/>
          <w:lang w:eastAsia="ru-RU"/>
        </w:rPr>
        <w:drawing>
          <wp:inline distT="0" distB="0" distL="0" distR="0" wp14:anchorId="449CCB7F" wp14:editId="4E37912A">
            <wp:extent cx="6120765" cy="4607560"/>
            <wp:effectExtent l="0" t="0" r="0" b="254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4607560"/>
                    </a:xfrm>
                    <a:prstGeom prst="rect">
                      <a:avLst/>
                    </a:prstGeom>
                  </pic:spPr>
                </pic:pic>
              </a:graphicData>
            </a:graphic>
          </wp:inline>
        </w:drawing>
      </w:r>
      <w:r w:rsidR="0098619E">
        <w:rPr>
          <w:rFonts w:ascii="Times New Roman" w:eastAsia="Calibri" w:hAnsi="Times New Roman"/>
          <w:sz w:val="24"/>
          <w:szCs w:val="24"/>
        </w:rPr>
        <w:t xml:space="preserve">     </w:t>
      </w:r>
      <w:r w:rsidRPr="00341240">
        <w:rPr>
          <w:rFonts w:ascii="Times New Roman" w:eastAsia="Calibri" w:hAnsi="Times New Roman"/>
          <w:sz w:val="24"/>
          <w:szCs w:val="24"/>
        </w:rPr>
        <w:t>Инвестиционная деятельность НКЦ, критерии выбора контрагентов и инструментов при размещении свободных денежных средств, а также сроки размещения с учетом рыночной ликвидности</w:t>
      </w:r>
      <w:r>
        <w:rPr>
          <w:rFonts w:ascii="Times New Roman" w:eastAsia="Calibri" w:hAnsi="Times New Roman"/>
          <w:sz w:val="24"/>
          <w:szCs w:val="24"/>
        </w:rPr>
        <w:t xml:space="preserve"> инструментов регламентируются П</w:t>
      </w:r>
      <w:r w:rsidRPr="00341240">
        <w:rPr>
          <w:rFonts w:ascii="Times New Roman" w:eastAsia="Calibri" w:hAnsi="Times New Roman"/>
          <w:sz w:val="24"/>
          <w:szCs w:val="24"/>
        </w:rPr>
        <w:t>олитикой осуществ</w:t>
      </w:r>
      <w:r>
        <w:rPr>
          <w:rFonts w:ascii="Times New Roman" w:eastAsia="Calibri" w:hAnsi="Times New Roman"/>
          <w:sz w:val="24"/>
          <w:szCs w:val="24"/>
        </w:rPr>
        <w:t>ления казначейской деятельности НКЦ</w:t>
      </w:r>
      <w:r w:rsidRPr="00341240">
        <w:rPr>
          <w:rFonts w:ascii="Times New Roman" w:eastAsia="Calibri" w:hAnsi="Times New Roman"/>
          <w:sz w:val="24"/>
          <w:szCs w:val="24"/>
        </w:rPr>
        <w:t xml:space="preserve">. </w:t>
      </w:r>
    </w:p>
    <w:p w14:paraId="2A268945" w14:textId="31479407" w:rsidR="00D33150" w:rsidRDefault="0098619E" w:rsidP="0098619E">
      <w:pPr>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Основные положения инвестиционной политики НКЦ обеспечивают достаточную доходность активов при умеренном уровне риска:</w:t>
      </w:r>
    </w:p>
    <w:p w14:paraId="236CE02E" w14:textId="77777777" w:rsidR="00D33150" w:rsidRPr="00341240" w:rsidRDefault="00D33150" w:rsidP="00D33150">
      <w:pPr>
        <w:spacing w:before="120"/>
        <w:jc w:val="both"/>
        <w:rPr>
          <w:rFonts w:ascii="Times New Roman" w:eastAsia="Calibri" w:hAnsi="Times New Roman"/>
          <w:sz w:val="24"/>
          <w:szCs w:val="24"/>
        </w:rPr>
      </w:pPr>
      <w:r>
        <w:rPr>
          <w:rFonts w:ascii="Times New Roman" w:eastAsia="Calibri" w:hAnsi="Times New Roman"/>
          <w:noProof/>
          <w:sz w:val="24"/>
          <w:szCs w:val="24"/>
          <w:lang w:eastAsia="ru-RU"/>
        </w:rPr>
        <w:lastRenderedPageBreak/>
        <mc:AlternateContent>
          <mc:Choice Requires="wpg">
            <w:drawing>
              <wp:anchor distT="0" distB="0" distL="114300" distR="114300" simplePos="0" relativeHeight="251659264" behindDoc="0" locked="0" layoutInCell="1" allowOverlap="1" wp14:anchorId="44C8E3C8" wp14:editId="69D73C3B">
                <wp:simplePos x="0" y="0"/>
                <wp:positionH relativeFrom="column">
                  <wp:posOffset>-26670</wp:posOffset>
                </wp:positionH>
                <wp:positionV relativeFrom="paragraph">
                  <wp:posOffset>4333875</wp:posOffset>
                </wp:positionV>
                <wp:extent cx="5591175" cy="4895850"/>
                <wp:effectExtent l="0" t="0" r="9525" b="19050"/>
                <wp:wrapTopAndBottom/>
                <wp:docPr id="140" name="Группа 140"/>
                <wp:cNvGraphicFramePr/>
                <a:graphic xmlns:a="http://schemas.openxmlformats.org/drawingml/2006/main">
                  <a:graphicData uri="http://schemas.microsoft.com/office/word/2010/wordprocessingGroup">
                    <wpg:wgp>
                      <wpg:cNvGrpSpPr/>
                      <wpg:grpSpPr>
                        <a:xfrm>
                          <a:off x="0" y="0"/>
                          <a:ext cx="5591175" cy="4895850"/>
                          <a:chOff x="0" y="0"/>
                          <a:chExt cx="5972175" cy="5334000"/>
                        </a:xfrm>
                      </wpg:grpSpPr>
                      <wpg:grpSp>
                        <wpg:cNvPr id="110" name="Группа 1"/>
                        <wpg:cNvGrpSpPr/>
                        <wpg:grpSpPr>
                          <a:xfrm>
                            <a:off x="0" y="0"/>
                            <a:ext cx="5972175" cy="5334000"/>
                            <a:chOff x="0" y="0"/>
                            <a:chExt cx="6349927" cy="5484827"/>
                          </a:xfrm>
                        </wpg:grpSpPr>
                        <wps:wsp>
                          <wps:cNvPr id="111" name="Скругленный прямоугольник 111"/>
                          <wps:cNvSpPr/>
                          <wps:spPr>
                            <a:xfrm>
                              <a:off x="4555266" y="1312518"/>
                              <a:ext cx="1794661" cy="3366725"/>
                            </a:xfrm>
                            <a:prstGeom prst="roundRect">
                              <a:avLst/>
                            </a:prstGeom>
                            <a:noFill/>
                            <a:ln w="12700" cap="flat" cmpd="sng" algn="ctr">
                              <a:noFill/>
                              <a:prstDash val="lgDash"/>
                            </a:ln>
                            <a:effectLst/>
                          </wps:spPr>
                          <wps:bodyPr rtlCol="0" anchor="ctr" anchorCtr="0">
                            <a:normAutofit/>
                          </wps:bodyPr>
                        </wps:wsp>
                        <wpg:grpSp>
                          <wpg:cNvPr id="112" name="Группа 112"/>
                          <wpg:cNvGrpSpPr/>
                          <wpg:grpSpPr>
                            <a:xfrm>
                              <a:off x="0" y="0"/>
                              <a:ext cx="6328943" cy="5484827"/>
                              <a:chOff x="0" y="0"/>
                              <a:chExt cx="6328943" cy="5484827"/>
                            </a:xfrm>
                          </wpg:grpSpPr>
                          <wps:wsp>
                            <wps:cNvPr id="113" name="Полилиния 113"/>
                            <wps:cNvSpPr/>
                            <wps:spPr>
                              <a:xfrm>
                                <a:off x="0" y="0"/>
                                <a:ext cx="2596978" cy="1083332"/>
                              </a:xfrm>
                              <a:custGeom>
                                <a:avLst/>
                                <a:gdLst>
                                  <a:gd name="connsiteX0" fmla="*/ 0 w 1592677"/>
                                  <a:gd name="connsiteY0" fmla="*/ 0 h 853500"/>
                                  <a:gd name="connsiteX1" fmla="*/ 1592677 w 1592677"/>
                                  <a:gd name="connsiteY1" fmla="*/ 0 h 853500"/>
                                  <a:gd name="connsiteX2" fmla="*/ 1592677 w 1592677"/>
                                  <a:gd name="connsiteY2" fmla="*/ 853500 h 853500"/>
                                  <a:gd name="connsiteX3" fmla="*/ 0 w 1592677"/>
                                  <a:gd name="connsiteY3" fmla="*/ 853500 h 853500"/>
                                  <a:gd name="connsiteX4" fmla="*/ 0 w 1592677"/>
                                  <a:gd name="connsiteY4" fmla="*/ 0 h 853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92677" h="853500">
                                    <a:moveTo>
                                      <a:pt x="0" y="0"/>
                                    </a:moveTo>
                                    <a:lnTo>
                                      <a:pt x="1592677" y="0"/>
                                    </a:lnTo>
                                    <a:lnTo>
                                      <a:pt x="1592677" y="853500"/>
                                    </a:lnTo>
                                    <a:lnTo>
                                      <a:pt x="0" y="853500"/>
                                    </a:lnTo>
                                    <a:lnTo>
                                      <a:pt x="0" y="0"/>
                                    </a:lnTo>
                                    <a:close/>
                                  </a:path>
                                </a:pathLst>
                              </a:custGeom>
                              <a:solidFill>
                                <a:srgbClr val="C8102E"/>
                              </a:solidFill>
                              <a:ln w="25400" cap="flat" cmpd="sng" algn="ctr">
                                <a:solidFill>
                                  <a:sysClr val="window" lastClr="FFFFFF">
                                    <a:hueOff val="0"/>
                                    <a:satOff val="0"/>
                                    <a:lumOff val="0"/>
                                    <a:alphaOff val="0"/>
                                  </a:sysClr>
                                </a:solidFill>
                                <a:prstDash val="solid"/>
                              </a:ln>
                              <a:effectLst/>
                            </wps:spPr>
                            <wps:txbx>
                              <w:txbxContent>
                                <w:p w14:paraId="2B4FA850" w14:textId="77777777" w:rsidR="00944739" w:rsidRDefault="00944739" w:rsidP="00D33150">
                                  <w:pPr>
                                    <w:pStyle w:val="ab"/>
                                    <w:spacing w:before="0" w:beforeAutospacing="0" w:after="101" w:afterAutospacing="0" w:line="216" w:lineRule="auto"/>
                                    <w:jc w:val="center"/>
                                  </w:pPr>
                                  <w:r>
                                    <w:rPr>
                                      <w:rFonts w:asciiTheme="minorHAnsi" w:hAnsi="Calibri" w:cs="Arial"/>
                                      <w:color w:val="FFFFFF"/>
                                      <w:kern w:val="24"/>
                                    </w:rPr>
                                    <w:t>Используемые финансовые инструменты</w:t>
                                  </w:r>
                                </w:p>
                              </w:txbxContent>
                            </wps:txbx>
                            <wps:bodyPr spcFirstLastPara="0" vert="horz" wrap="square" lIns="8255" tIns="8255" rIns="8255" bIns="8255" numCol="1" spcCol="1270" anchor="ctr" anchorCtr="0">
                              <a:noAutofit/>
                            </wps:bodyPr>
                          </wps:wsp>
                          <wps:wsp>
                            <wps:cNvPr id="114" name="Полилиния 114"/>
                            <wps:cNvSpPr/>
                            <wps:spPr>
                              <a:xfrm>
                                <a:off x="2656535" y="0"/>
                                <a:ext cx="3672407" cy="504056"/>
                              </a:xfrm>
                              <a:custGeom>
                                <a:avLst/>
                                <a:gdLst>
                                  <a:gd name="connsiteX0" fmla="*/ 0 w 1592677"/>
                                  <a:gd name="connsiteY0" fmla="*/ 0 h 796338"/>
                                  <a:gd name="connsiteX1" fmla="*/ 1592677 w 1592677"/>
                                  <a:gd name="connsiteY1" fmla="*/ 0 h 796338"/>
                                  <a:gd name="connsiteX2" fmla="*/ 1592677 w 1592677"/>
                                  <a:gd name="connsiteY2" fmla="*/ 796338 h 796338"/>
                                  <a:gd name="connsiteX3" fmla="*/ 0 w 1592677"/>
                                  <a:gd name="connsiteY3" fmla="*/ 796338 h 796338"/>
                                  <a:gd name="connsiteX4" fmla="*/ 0 w 1592677"/>
                                  <a:gd name="connsiteY4" fmla="*/ 0 h 7963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92677" h="796338">
                                    <a:moveTo>
                                      <a:pt x="0" y="0"/>
                                    </a:moveTo>
                                    <a:lnTo>
                                      <a:pt x="1592677" y="0"/>
                                    </a:lnTo>
                                    <a:lnTo>
                                      <a:pt x="1592677" y="796338"/>
                                    </a:lnTo>
                                    <a:lnTo>
                                      <a:pt x="0" y="796338"/>
                                    </a:lnTo>
                                    <a:lnTo>
                                      <a:pt x="0" y="0"/>
                                    </a:lnTo>
                                    <a:close/>
                                  </a:path>
                                </a:pathLst>
                              </a:custGeom>
                              <a:solidFill>
                                <a:srgbClr val="51626F"/>
                              </a:solidFill>
                              <a:ln w="25400" cap="flat" cmpd="sng" algn="ctr">
                                <a:solidFill>
                                  <a:sysClr val="window" lastClr="FFFFFF">
                                    <a:hueOff val="0"/>
                                    <a:satOff val="0"/>
                                    <a:lumOff val="0"/>
                                    <a:alphaOff val="0"/>
                                  </a:sysClr>
                                </a:solidFill>
                                <a:prstDash val="solid"/>
                              </a:ln>
                              <a:effectLst/>
                            </wps:spPr>
                            <wps:txbx>
                              <w:txbxContent>
                                <w:p w14:paraId="4AD41DDE" w14:textId="77777777" w:rsidR="00944739" w:rsidRPr="00CA5055" w:rsidRDefault="00944739" w:rsidP="00D33150">
                                  <w:pPr>
                                    <w:pStyle w:val="ab"/>
                                    <w:spacing w:before="0" w:beforeAutospacing="0" w:after="101" w:afterAutospacing="0" w:line="216" w:lineRule="auto"/>
                                    <w:jc w:val="center"/>
                                    <w:rPr>
                                      <w:rFonts w:asciiTheme="minorHAnsi" w:hAnsiTheme="minorHAnsi" w:cstheme="minorHAnsi"/>
                                    </w:rPr>
                                  </w:pPr>
                                  <w:r w:rsidRPr="00CA5055">
                                    <w:rPr>
                                      <w:rFonts w:asciiTheme="minorHAnsi" w:hAnsiTheme="minorHAnsi" w:cstheme="minorHAnsi"/>
                                      <w:color w:val="FFFFFF"/>
                                      <w:kern w:val="24"/>
                                    </w:rPr>
                                    <w:t>Ограничения по срокам размещения</w:t>
                                  </w:r>
                                </w:p>
                              </w:txbxContent>
                            </wps:txbx>
                            <wps:bodyPr spcFirstLastPara="0" vert="horz" wrap="square" lIns="8255" tIns="8255" rIns="8255" bIns="8255" numCol="1" spcCol="1270" anchor="ctr" anchorCtr="0">
                              <a:noAutofit/>
                            </wps:bodyPr>
                          </wps:wsp>
                          <wps:wsp>
                            <wps:cNvPr id="115" name="Прямоугольник 115"/>
                            <wps:cNvSpPr/>
                            <wps:spPr>
                              <a:xfrm>
                                <a:off x="7760" y="1158552"/>
                                <a:ext cx="2592000" cy="324000"/>
                              </a:xfrm>
                              <a:prstGeom prst="rect">
                                <a:avLst/>
                              </a:prstGeom>
                              <a:solidFill>
                                <a:srgbClr val="51626F">
                                  <a:lumMod val="40000"/>
                                  <a:lumOff val="60000"/>
                                </a:srgbClr>
                              </a:solidFill>
                              <a:ln w="25400" cap="flat" cmpd="sng" algn="ctr">
                                <a:noFill/>
                                <a:prstDash val="solid"/>
                              </a:ln>
                              <a:effectLst/>
                            </wps:spPr>
                            <wps:txbx>
                              <w:txbxContent>
                                <w:p w14:paraId="4F7F0122" w14:textId="77777777" w:rsidR="00944739" w:rsidRDefault="00944739" w:rsidP="00D33150">
                                  <w:pPr>
                                    <w:pStyle w:val="ab"/>
                                    <w:spacing w:before="0" w:beforeAutospacing="0" w:after="0" w:afterAutospacing="0"/>
                                  </w:pPr>
                                  <w:r>
                                    <w:rPr>
                                      <w:rFonts w:asciiTheme="minorHAnsi" w:hAnsi="Calibri" w:cstheme="minorBidi"/>
                                      <w:color w:val="000000"/>
                                      <w:kern w:val="24"/>
                                    </w:rPr>
                                    <w:t>Макс. дюрация портфеля</w:t>
                                  </w:r>
                                </w:p>
                              </w:txbxContent>
                            </wps:txbx>
                            <wps:bodyPr rot="0" spcFirstLastPara="0" vert="horz" wrap="square" lIns="91440" tIns="45720" rIns="36000" bIns="45720" numCol="1" spcCol="0" rtlCol="0" fromWordArt="0" anchor="ctr" anchorCtr="0" forceAA="0" compatLnSpc="1">
                              <a:prstTxWarp prst="textNoShape">
                                <a:avLst/>
                              </a:prstTxWarp>
                              <a:noAutofit/>
                            </wps:bodyPr>
                          </wps:wsp>
                          <wps:wsp>
                            <wps:cNvPr id="116" name="Прямоугольник 116"/>
                            <wps:cNvSpPr/>
                            <wps:spPr>
                              <a:xfrm>
                                <a:off x="2684970" y="579276"/>
                                <a:ext cx="1771765" cy="504056"/>
                              </a:xfrm>
                              <a:prstGeom prst="rect">
                                <a:avLst/>
                              </a:prstGeom>
                              <a:solidFill>
                                <a:srgbClr val="51626F">
                                  <a:lumMod val="20000"/>
                                  <a:lumOff val="80000"/>
                                </a:srgbClr>
                              </a:solidFill>
                              <a:ln w="12700" cap="flat" cmpd="sng" algn="ctr">
                                <a:noFill/>
                                <a:prstDash val="solid"/>
                              </a:ln>
                              <a:effectLst/>
                            </wps:spPr>
                            <wps:txbx>
                              <w:txbxContent>
                                <w:p w14:paraId="0AE53ADA"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использование собственных средств</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7" name="Прямоугольник 117"/>
                            <wps:cNvSpPr/>
                            <wps:spPr>
                              <a:xfrm>
                                <a:off x="4557178" y="574104"/>
                                <a:ext cx="1771765" cy="504056"/>
                              </a:xfrm>
                              <a:prstGeom prst="rect">
                                <a:avLst/>
                              </a:prstGeom>
                              <a:solidFill>
                                <a:srgbClr val="51626F">
                                  <a:lumMod val="20000"/>
                                  <a:lumOff val="80000"/>
                                </a:srgbClr>
                              </a:solidFill>
                              <a:ln w="12700" cap="flat" cmpd="sng" algn="ctr">
                                <a:noFill/>
                                <a:prstDash val="solid"/>
                              </a:ln>
                              <a:effectLst/>
                            </wps:spPr>
                            <wps:txbx>
                              <w:txbxContent>
                                <w:p w14:paraId="46B88447"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Использование клиринговых пассивов</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8" name="Прямоугольник 118"/>
                            <wps:cNvSpPr/>
                            <wps:spPr>
                              <a:xfrm>
                                <a:off x="7760" y="1546233"/>
                                <a:ext cx="2592000" cy="324000"/>
                              </a:xfrm>
                              <a:prstGeom prst="rect">
                                <a:avLst/>
                              </a:prstGeom>
                              <a:solidFill>
                                <a:srgbClr val="51626F">
                                  <a:lumMod val="40000"/>
                                  <a:lumOff val="60000"/>
                                </a:srgbClr>
                              </a:solidFill>
                              <a:ln w="25400" cap="flat" cmpd="sng" algn="ctr">
                                <a:noFill/>
                                <a:prstDash val="solid"/>
                              </a:ln>
                              <a:effectLst/>
                            </wps:spPr>
                            <wps:txbx>
                              <w:txbxContent>
                                <w:p w14:paraId="2A36350B" w14:textId="77777777" w:rsidR="00944739" w:rsidRDefault="00944739" w:rsidP="00D33150">
                                  <w:pPr>
                                    <w:pStyle w:val="ab"/>
                                    <w:spacing w:before="0" w:beforeAutospacing="0" w:after="0" w:afterAutospacing="0"/>
                                  </w:pPr>
                                  <w:r>
                                    <w:rPr>
                                      <w:rFonts w:asciiTheme="minorHAnsi" w:hAnsi="Calibri" w:cstheme="minorBidi"/>
                                      <w:color w:val="000000"/>
                                      <w:kern w:val="24"/>
                                    </w:rPr>
                                    <w:t>РЕПО с облигациями</w:t>
                                  </w:r>
                                </w:p>
                              </w:txbxContent>
                            </wps:txbx>
                            <wps:bodyPr rot="0" spcFirstLastPara="0" vert="horz" wrap="square" lIns="91440" tIns="45720" rIns="36000" bIns="45720" numCol="1" spcCol="0" rtlCol="0" fromWordArt="0" anchor="ctr" anchorCtr="0" forceAA="0" compatLnSpc="1">
                              <a:prstTxWarp prst="textNoShape">
                                <a:avLst/>
                              </a:prstTxWarp>
                              <a:noAutofit/>
                            </wps:bodyPr>
                          </wps:wsp>
                          <wps:wsp>
                            <wps:cNvPr id="119" name="Прямоугольник 119"/>
                            <wps:cNvSpPr/>
                            <wps:spPr>
                              <a:xfrm>
                                <a:off x="0" y="2785746"/>
                                <a:ext cx="2592000" cy="324000"/>
                              </a:xfrm>
                              <a:prstGeom prst="rect">
                                <a:avLst/>
                              </a:prstGeom>
                              <a:solidFill>
                                <a:srgbClr val="51626F">
                                  <a:lumMod val="40000"/>
                                  <a:lumOff val="60000"/>
                                </a:srgbClr>
                              </a:solidFill>
                              <a:ln w="25400" cap="flat" cmpd="sng" algn="ctr">
                                <a:noFill/>
                                <a:prstDash val="solid"/>
                              </a:ln>
                              <a:effectLst/>
                            </wps:spPr>
                            <wps:txbx>
                              <w:txbxContent>
                                <w:p w14:paraId="4A496B6F" w14:textId="77777777" w:rsidR="00944739" w:rsidRDefault="00944739" w:rsidP="00D33150">
                                  <w:pPr>
                                    <w:pStyle w:val="ab"/>
                                    <w:spacing w:before="0" w:beforeAutospacing="0" w:after="0" w:afterAutospacing="0"/>
                                  </w:pPr>
                                  <w:r>
                                    <w:rPr>
                                      <w:rFonts w:asciiTheme="minorHAnsi" w:hAnsi="Calibri" w:cstheme="minorBidi"/>
                                      <w:color w:val="000000"/>
                                      <w:kern w:val="24"/>
                                    </w:rPr>
                                    <w:t>СВОП (драгоценные металлы)</w:t>
                                  </w:r>
                                </w:p>
                              </w:txbxContent>
                            </wps:txbx>
                            <wps:bodyPr rot="0" spcFirstLastPara="0" vert="horz" wrap="square" lIns="91440" tIns="45720" rIns="36000" bIns="45720" numCol="1" spcCol="0" rtlCol="0" fromWordArt="0" anchor="ctr" anchorCtr="0" forceAA="0" compatLnSpc="1">
                              <a:prstTxWarp prst="textNoShape">
                                <a:avLst/>
                              </a:prstTxWarp>
                              <a:noAutofit/>
                            </wps:bodyPr>
                          </wps:wsp>
                          <wps:wsp>
                            <wps:cNvPr id="120" name="Прямоугольник 120"/>
                            <wps:cNvSpPr/>
                            <wps:spPr>
                              <a:xfrm>
                                <a:off x="4562944" y="3182316"/>
                                <a:ext cx="1764999" cy="324000"/>
                              </a:xfrm>
                              <a:prstGeom prst="rect">
                                <a:avLst/>
                              </a:prstGeom>
                              <a:solidFill>
                                <a:sysClr val="window" lastClr="FFFFFF"/>
                              </a:solidFill>
                              <a:ln w="12700" cap="flat" cmpd="sng" algn="ctr">
                                <a:solidFill>
                                  <a:srgbClr val="51626F"/>
                                </a:solidFill>
                                <a:prstDash val="dash"/>
                              </a:ln>
                              <a:effectLst/>
                            </wps:spPr>
                            <wps:txbx>
                              <w:txbxContent>
                                <w:p w14:paraId="2FCFC336" w14:textId="77777777" w:rsidR="00944739" w:rsidRDefault="00944739" w:rsidP="00D33150">
                                  <w:pPr>
                                    <w:pStyle w:val="ab"/>
                                    <w:spacing w:before="0" w:beforeAutospacing="0" w:after="0" w:afterAutospacing="0"/>
                                    <w:jc w:val="center"/>
                                  </w:pPr>
                                  <w:r>
                                    <w:rPr>
                                      <w:rFonts w:asciiTheme="minorHAnsi" w:hAnsi="Calibri" w:cstheme="minorBidi"/>
                                      <w:color w:val="51626F"/>
                                      <w:kern w:val="24"/>
                                      <w:sz w:val="20"/>
                                      <w:szCs w:val="20"/>
                                    </w:rPr>
                                    <w:t>не устанавливаются ограничения</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21" name="Прямоугольник 121"/>
                            <wps:cNvSpPr/>
                            <wps:spPr>
                              <a:xfrm>
                                <a:off x="2684969" y="1161954"/>
                                <a:ext cx="3643974" cy="324000"/>
                              </a:xfrm>
                              <a:prstGeom prst="rect">
                                <a:avLst/>
                              </a:prstGeom>
                              <a:solidFill>
                                <a:sysClr val="window" lastClr="FFFFFF"/>
                              </a:solidFill>
                              <a:ln w="12700" cap="flat" cmpd="sng" algn="ctr">
                                <a:solidFill>
                                  <a:srgbClr val="51626F"/>
                                </a:solidFill>
                                <a:prstDash val="solid"/>
                              </a:ln>
                              <a:effectLst/>
                            </wps:spPr>
                            <wps:txbx>
                              <w:txbxContent>
                                <w:p w14:paraId="73BA2EA9"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 до 18 месяцев</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22" name="Прямоугольник 122"/>
                            <wps:cNvSpPr/>
                            <wps:spPr>
                              <a:xfrm>
                                <a:off x="4978" y="3176379"/>
                                <a:ext cx="2592000" cy="324000"/>
                              </a:xfrm>
                              <a:prstGeom prst="rect">
                                <a:avLst/>
                              </a:prstGeom>
                              <a:solidFill>
                                <a:srgbClr val="51626F">
                                  <a:lumMod val="40000"/>
                                  <a:lumOff val="60000"/>
                                </a:srgbClr>
                              </a:solidFill>
                              <a:ln w="25400" cap="flat" cmpd="sng" algn="ctr">
                                <a:noFill/>
                                <a:prstDash val="solid"/>
                              </a:ln>
                              <a:effectLst/>
                            </wps:spPr>
                            <wps:txbx>
                              <w:txbxContent>
                                <w:p w14:paraId="4B2FC835" w14:textId="77777777" w:rsidR="00944739" w:rsidRDefault="00944739" w:rsidP="00D33150">
                                  <w:pPr>
                                    <w:pStyle w:val="ab"/>
                                    <w:spacing w:before="0" w:beforeAutospacing="0" w:after="0" w:afterAutospacing="0"/>
                                  </w:pPr>
                                  <w:r>
                                    <w:rPr>
                                      <w:rFonts w:asciiTheme="minorHAnsi" w:hAnsi="Calibri" w:cstheme="minorBidi"/>
                                      <w:color w:val="000000"/>
                                      <w:kern w:val="24"/>
                                    </w:rPr>
                                    <w:t>Депозиты Банка России</w:t>
                                  </w:r>
                                </w:p>
                              </w:txbxContent>
                            </wps:txbx>
                            <wps:bodyPr rot="0" spcFirstLastPara="0" vert="horz" wrap="square" lIns="91440" tIns="45720" rIns="36000" bIns="45720" numCol="1" spcCol="0" rtlCol="0" fromWordArt="0" anchor="ctr" anchorCtr="0" forceAA="0" compatLnSpc="1">
                              <a:prstTxWarp prst="textNoShape">
                                <a:avLst/>
                              </a:prstTxWarp>
                              <a:noAutofit/>
                            </wps:bodyPr>
                          </wps:wsp>
                          <wps:wsp>
                            <wps:cNvPr id="123" name="Прямоугольник 123"/>
                            <wps:cNvSpPr/>
                            <wps:spPr>
                              <a:xfrm>
                                <a:off x="2678203" y="1546036"/>
                                <a:ext cx="1796428" cy="324000"/>
                              </a:xfrm>
                              <a:prstGeom prst="rect">
                                <a:avLst/>
                              </a:prstGeom>
                              <a:solidFill>
                                <a:sysClr val="window" lastClr="FFFFFF"/>
                              </a:solidFill>
                              <a:ln w="12700" cap="flat" cmpd="sng" algn="ctr">
                                <a:solidFill>
                                  <a:srgbClr val="51626F"/>
                                </a:solidFill>
                                <a:prstDash val="solid"/>
                              </a:ln>
                              <a:effectLst/>
                            </wps:spPr>
                            <wps:txbx>
                              <w:txbxContent>
                                <w:p w14:paraId="112DF766"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 до 180 дней</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24" name="Прямоугольник 124"/>
                            <wps:cNvSpPr/>
                            <wps:spPr>
                              <a:xfrm>
                                <a:off x="2678992" y="2785746"/>
                                <a:ext cx="3648950" cy="324000"/>
                              </a:xfrm>
                              <a:prstGeom prst="rect">
                                <a:avLst/>
                              </a:prstGeom>
                              <a:solidFill>
                                <a:sysClr val="window" lastClr="FFFFFF"/>
                              </a:solidFill>
                              <a:ln w="12700" cap="flat" cmpd="sng" algn="ctr">
                                <a:solidFill>
                                  <a:srgbClr val="51626F"/>
                                </a:solidFill>
                                <a:prstDash val="solid"/>
                              </a:ln>
                              <a:effectLst/>
                            </wps:spPr>
                            <wps:txbx>
                              <w:txbxContent>
                                <w:p w14:paraId="536D4AD4"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до 365 дней</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25" name="Прямоугольник 125"/>
                            <wps:cNvSpPr/>
                            <wps:spPr>
                              <a:xfrm>
                                <a:off x="2683970" y="3173230"/>
                                <a:ext cx="1790660" cy="324000"/>
                              </a:xfrm>
                              <a:prstGeom prst="rect">
                                <a:avLst/>
                              </a:prstGeom>
                              <a:solidFill>
                                <a:sysClr val="window" lastClr="FFFFFF"/>
                              </a:solidFill>
                              <a:ln w="12700" cap="flat" cmpd="sng" algn="ctr">
                                <a:solidFill>
                                  <a:srgbClr val="51626F"/>
                                </a:solidFill>
                                <a:prstDash val="solid"/>
                              </a:ln>
                              <a:effectLst/>
                            </wps:spPr>
                            <wps:txbx>
                              <w:txbxContent>
                                <w:p w14:paraId="7FF7A6D9"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до 31 дня</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26" name="Прямоугольник 126"/>
                            <wps:cNvSpPr/>
                            <wps:spPr>
                              <a:xfrm>
                                <a:off x="4978" y="3566092"/>
                                <a:ext cx="2592000" cy="324000"/>
                              </a:xfrm>
                              <a:prstGeom prst="rect">
                                <a:avLst/>
                              </a:prstGeom>
                              <a:solidFill>
                                <a:srgbClr val="51626F">
                                  <a:lumMod val="40000"/>
                                  <a:lumOff val="60000"/>
                                </a:srgbClr>
                              </a:solidFill>
                              <a:ln w="25400" cap="flat" cmpd="sng" algn="ctr">
                                <a:noFill/>
                                <a:prstDash val="solid"/>
                              </a:ln>
                              <a:effectLst/>
                            </wps:spPr>
                            <wps:txbx>
                              <w:txbxContent>
                                <w:p w14:paraId="654F1246" w14:textId="77777777" w:rsidR="00944739" w:rsidRDefault="00944739" w:rsidP="00D33150">
                                  <w:pPr>
                                    <w:pStyle w:val="ab"/>
                                    <w:spacing w:before="0" w:beforeAutospacing="0" w:after="0" w:afterAutospacing="0"/>
                                  </w:pPr>
                                  <w:r>
                                    <w:rPr>
                                      <w:rFonts w:asciiTheme="minorHAnsi" w:hAnsi="Calibri" w:cstheme="minorBidi"/>
                                      <w:color w:val="000000"/>
                                      <w:kern w:val="24"/>
                                    </w:rPr>
                                    <w:t xml:space="preserve">МБК </w:t>
                                  </w:r>
                                  <w:r>
                                    <w:rPr>
                                      <w:rFonts w:asciiTheme="minorHAnsi" w:hAnsi="Calibri" w:cstheme="minorBidi"/>
                                      <w:color w:val="000000"/>
                                      <w:kern w:val="24"/>
                                      <w:sz w:val="22"/>
                                      <w:szCs w:val="22"/>
                                    </w:rPr>
                                    <w:t xml:space="preserve">(рейтинг банков </w:t>
                                  </w:r>
                                  <w:r>
                                    <w:rPr>
                                      <w:rFonts w:asciiTheme="minorHAnsi" w:hAnsi="Calibri" w:cstheme="minorBidi"/>
                                      <w:color w:val="000000"/>
                                      <w:kern w:val="24"/>
                                      <w:sz w:val="22"/>
                                      <w:szCs w:val="22"/>
                                      <w:lang w:val="en-US"/>
                                    </w:rPr>
                                    <w:t>BB</w:t>
                                  </w:r>
                                  <w:r>
                                    <w:rPr>
                                      <w:rFonts w:asciiTheme="minorHAnsi" w:hAnsi="Calibri" w:cstheme="minorBidi"/>
                                      <w:color w:val="000000"/>
                                      <w:kern w:val="24"/>
                                      <w:sz w:val="22"/>
                                      <w:szCs w:val="22"/>
                                    </w:rPr>
                                    <w:t xml:space="preserve">- и </w:t>
                                  </w:r>
                                  <w:r>
                                    <w:rPr>
                                      <w:rFonts w:asciiTheme="minorHAnsi" w:hAnsi="Calibri" w:cstheme="minorBidi"/>
                                      <w:color w:val="000000"/>
                                      <w:kern w:val="24"/>
                                      <w:sz w:val="22"/>
                                      <w:szCs w:val="22"/>
                                      <w:lang w:val="en-US"/>
                                    </w:rPr>
                                    <w:t>BB</w:t>
                                  </w:r>
                                  <w:r>
                                    <w:rPr>
                                      <w:rFonts w:asciiTheme="minorHAnsi" w:hAnsi="Calibri" w:cstheme="minorBidi"/>
                                      <w:color w:val="000000"/>
                                      <w:kern w:val="24"/>
                                      <w:sz w:val="22"/>
                                      <w:szCs w:val="22"/>
                                    </w:rPr>
                                    <w:t>)</w:t>
                                  </w:r>
                                </w:p>
                              </w:txbxContent>
                            </wps:txbx>
                            <wps:bodyPr rot="0" spcFirstLastPara="0" vert="horz" wrap="square" lIns="91440" tIns="45720" rIns="36000" bIns="45720" numCol="1" spcCol="0" rtlCol="0" fromWordArt="0" anchor="ctr" anchorCtr="0" forceAA="0" compatLnSpc="1">
                              <a:prstTxWarp prst="textNoShape">
                                <a:avLst/>
                              </a:prstTxWarp>
                              <a:noAutofit/>
                            </wps:bodyPr>
                          </wps:wsp>
                          <wps:wsp>
                            <wps:cNvPr id="127" name="Прямоугольник 127"/>
                            <wps:cNvSpPr/>
                            <wps:spPr>
                              <a:xfrm>
                                <a:off x="2683969" y="3948176"/>
                                <a:ext cx="3643973" cy="324000"/>
                              </a:xfrm>
                              <a:prstGeom prst="rect">
                                <a:avLst/>
                              </a:prstGeom>
                              <a:solidFill>
                                <a:sysClr val="window" lastClr="FFFFFF"/>
                              </a:solidFill>
                              <a:ln w="12700" cap="flat" cmpd="sng" algn="ctr">
                                <a:solidFill>
                                  <a:srgbClr val="51626F"/>
                                </a:solidFill>
                                <a:prstDash val="solid"/>
                              </a:ln>
                              <a:effectLst/>
                            </wps:spPr>
                            <wps:txbx>
                              <w:txbxContent>
                                <w:p w14:paraId="45112C43"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до </w:t>
                                  </w:r>
                                  <w:r>
                                    <w:rPr>
                                      <w:rFonts w:asciiTheme="minorHAnsi" w:hAnsi="Calibri" w:cstheme="minorBidi"/>
                                      <w:color w:val="000000"/>
                                      <w:kern w:val="24"/>
                                      <w:sz w:val="20"/>
                                      <w:szCs w:val="20"/>
                                      <w:lang w:val="en-US"/>
                                    </w:rPr>
                                    <w:t>18</w:t>
                                  </w:r>
                                  <w:r>
                                    <w:rPr>
                                      <w:rFonts w:asciiTheme="minorHAnsi" w:hAnsi="Calibri" w:cstheme="minorBidi"/>
                                      <w:color w:val="000000"/>
                                      <w:kern w:val="24"/>
                                      <w:sz w:val="20"/>
                                      <w:szCs w:val="20"/>
                                    </w:rPr>
                                    <w:t>0 дней</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28" name="Прямоугольник 128"/>
                            <wps:cNvSpPr/>
                            <wps:spPr>
                              <a:xfrm>
                                <a:off x="4978" y="3960000"/>
                                <a:ext cx="2592000" cy="324000"/>
                              </a:xfrm>
                              <a:prstGeom prst="rect">
                                <a:avLst/>
                              </a:prstGeom>
                              <a:solidFill>
                                <a:srgbClr val="51626F">
                                  <a:lumMod val="40000"/>
                                  <a:lumOff val="60000"/>
                                </a:srgbClr>
                              </a:solidFill>
                              <a:ln w="25400" cap="flat" cmpd="sng" algn="ctr">
                                <a:noFill/>
                                <a:prstDash val="solid"/>
                              </a:ln>
                              <a:effectLst/>
                            </wps:spPr>
                            <wps:txbx>
                              <w:txbxContent>
                                <w:p w14:paraId="133441E5" w14:textId="77777777" w:rsidR="00944739" w:rsidRDefault="00944739" w:rsidP="00D33150">
                                  <w:pPr>
                                    <w:pStyle w:val="ab"/>
                                    <w:spacing w:before="0" w:beforeAutospacing="0" w:after="0" w:afterAutospacing="0"/>
                                  </w:pPr>
                                  <w:r>
                                    <w:rPr>
                                      <w:rFonts w:asciiTheme="minorHAnsi" w:hAnsi="Calibri" w:cstheme="minorBidi"/>
                                      <w:color w:val="000000"/>
                                      <w:kern w:val="24"/>
                                    </w:rPr>
                                    <w:t xml:space="preserve">МБК </w:t>
                                  </w:r>
                                  <w:r>
                                    <w:rPr>
                                      <w:rFonts w:asciiTheme="minorHAnsi" w:hAnsi="Calibri" w:cstheme="minorBidi"/>
                                      <w:color w:val="000000"/>
                                      <w:kern w:val="24"/>
                                      <w:sz w:val="22"/>
                                      <w:szCs w:val="22"/>
                                    </w:rPr>
                                    <w:t xml:space="preserve">(рейтинг банков </w:t>
                                  </w:r>
                                  <w:r>
                                    <w:rPr>
                                      <w:rFonts w:asciiTheme="minorHAnsi" w:hAnsi="Calibri" w:cstheme="minorBidi"/>
                                      <w:color w:val="000000"/>
                                      <w:kern w:val="24"/>
                                      <w:sz w:val="22"/>
                                      <w:szCs w:val="22"/>
                                      <w:lang w:val="en-US"/>
                                    </w:rPr>
                                    <w:t>BB</w:t>
                                  </w:r>
                                  <w:r w:rsidRPr="00CA5055">
                                    <w:rPr>
                                      <w:rFonts w:asciiTheme="minorHAnsi" w:hAnsi="Calibri" w:cstheme="minorBidi"/>
                                      <w:color w:val="000000"/>
                                      <w:kern w:val="24"/>
                                      <w:sz w:val="22"/>
                                      <w:szCs w:val="22"/>
                                    </w:rPr>
                                    <w:t>+</w:t>
                                  </w:r>
                                  <w:r>
                                    <w:rPr>
                                      <w:rFonts w:asciiTheme="minorHAnsi" w:hAnsi="Calibri" w:cstheme="minorBidi"/>
                                      <w:color w:val="000000"/>
                                      <w:kern w:val="24"/>
                                      <w:sz w:val="22"/>
                                      <w:szCs w:val="22"/>
                                    </w:rPr>
                                    <w:t xml:space="preserve"> и выше)</w:t>
                                  </w:r>
                                </w:p>
                              </w:txbxContent>
                            </wps:txbx>
                            <wps:bodyPr rot="0" spcFirstLastPara="0" vert="horz" wrap="square" lIns="91440" tIns="45720" rIns="36000" bIns="45720" numCol="1" spcCol="0" rtlCol="0" fromWordArt="0" anchor="ctr" anchorCtr="0" forceAA="0" compatLnSpc="1">
                              <a:prstTxWarp prst="textNoShape">
                                <a:avLst/>
                              </a:prstTxWarp>
                              <a:noAutofit/>
                            </wps:bodyPr>
                          </wps:wsp>
                          <wps:wsp>
                            <wps:cNvPr id="129" name="Прямоугольник 129"/>
                            <wps:cNvSpPr/>
                            <wps:spPr>
                              <a:xfrm>
                                <a:off x="2683970" y="3566588"/>
                                <a:ext cx="3643974" cy="324000"/>
                              </a:xfrm>
                              <a:prstGeom prst="rect">
                                <a:avLst/>
                              </a:prstGeom>
                              <a:solidFill>
                                <a:sysClr val="window" lastClr="FFFFFF"/>
                              </a:solidFill>
                              <a:ln w="12700" cap="flat" cmpd="sng" algn="ctr">
                                <a:solidFill>
                                  <a:srgbClr val="51626F"/>
                                </a:solidFill>
                                <a:prstDash val="solid"/>
                              </a:ln>
                              <a:effectLst/>
                            </wps:spPr>
                            <wps:txbx>
                              <w:txbxContent>
                                <w:p w14:paraId="1FFEAA74"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до </w:t>
                                  </w:r>
                                  <w:r>
                                    <w:rPr>
                                      <w:rFonts w:asciiTheme="minorHAnsi" w:hAnsi="Calibri" w:cstheme="minorBidi"/>
                                      <w:color w:val="000000"/>
                                      <w:kern w:val="24"/>
                                      <w:sz w:val="20"/>
                                      <w:szCs w:val="20"/>
                                      <w:lang w:val="en-US"/>
                                    </w:rPr>
                                    <w:t>9</w:t>
                                  </w:r>
                                  <w:r>
                                    <w:rPr>
                                      <w:rFonts w:asciiTheme="minorHAnsi" w:hAnsi="Calibri" w:cstheme="minorBidi"/>
                                      <w:color w:val="000000"/>
                                      <w:kern w:val="24"/>
                                      <w:sz w:val="20"/>
                                      <w:szCs w:val="20"/>
                                    </w:rPr>
                                    <w:t>0 дней</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30" name="Прямоугольник 130"/>
                            <wps:cNvSpPr/>
                            <wps:spPr>
                              <a:xfrm>
                                <a:off x="4978" y="4362375"/>
                                <a:ext cx="2592000" cy="324000"/>
                              </a:xfrm>
                              <a:prstGeom prst="rect">
                                <a:avLst/>
                              </a:prstGeom>
                              <a:solidFill>
                                <a:srgbClr val="51626F">
                                  <a:lumMod val="40000"/>
                                  <a:lumOff val="60000"/>
                                </a:srgbClr>
                              </a:solidFill>
                              <a:ln w="25400" cap="flat" cmpd="sng" algn="ctr">
                                <a:noFill/>
                                <a:prstDash val="solid"/>
                              </a:ln>
                              <a:effectLst/>
                            </wps:spPr>
                            <wps:txbx>
                              <w:txbxContent>
                                <w:p w14:paraId="694304EA" w14:textId="77777777" w:rsidR="00944739" w:rsidRDefault="00944739" w:rsidP="00D33150">
                                  <w:pPr>
                                    <w:pStyle w:val="ab"/>
                                    <w:spacing w:before="0" w:beforeAutospacing="0" w:after="0" w:afterAutospacing="0"/>
                                  </w:pPr>
                                  <w:r>
                                    <w:rPr>
                                      <w:rFonts w:asciiTheme="minorHAnsi" w:hAnsi="Calibri" w:cstheme="minorBidi"/>
                                      <w:color w:val="000000"/>
                                      <w:kern w:val="24"/>
                                    </w:rPr>
                                    <w:t xml:space="preserve">Гос. Облигации </w:t>
                                  </w:r>
                                  <w:r>
                                    <w:rPr>
                                      <w:rFonts w:asciiTheme="minorHAnsi" w:hAnsi="Calibri" w:cstheme="minorBidi"/>
                                      <w:color w:val="000000"/>
                                      <w:kern w:val="24"/>
                                      <w:sz w:val="22"/>
                                      <w:szCs w:val="22"/>
                                    </w:rPr>
                                    <w:t>(РФ)</w:t>
                                  </w:r>
                                </w:p>
                              </w:txbxContent>
                            </wps:txbx>
                            <wps:bodyPr rot="0" spcFirstLastPara="0" vert="horz" wrap="square" lIns="91440" tIns="45720" rIns="36000" bIns="45720" numCol="1" spcCol="0" rtlCol="0" fromWordArt="0" anchor="ctr" anchorCtr="0" forceAA="0" compatLnSpc="1">
                              <a:prstTxWarp prst="textNoShape">
                                <a:avLst/>
                              </a:prstTxWarp>
                              <a:noAutofit/>
                            </wps:bodyPr>
                          </wps:wsp>
                          <wps:wsp>
                            <wps:cNvPr id="131" name="Прямоугольник 131"/>
                            <wps:cNvSpPr/>
                            <wps:spPr>
                              <a:xfrm>
                                <a:off x="4978" y="4761601"/>
                                <a:ext cx="2592000" cy="324000"/>
                              </a:xfrm>
                              <a:prstGeom prst="rect">
                                <a:avLst/>
                              </a:prstGeom>
                              <a:solidFill>
                                <a:srgbClr val="51626F">
                                  <a:lumMod val="40000"/>
                                  <a:lumOff val="60000"/>
                                </a:srgbClr>
                              </a:solidFill>
                              <a:ln w="25400" cap="flat" cmpd="sng" algn="ctr">
                                <a:noFill/>
                                <a:prstDash val="solid"/>
                              </a:ln>
                              <a:effectLst/>
                            </wps:spPr>
                            <wps:txbx>
                              <w:txbxContent>
                                <w:p w14:paraId="38B4A506" w14:textId="77777777" w:rsidR="00944739" w:rsidRDefault="00944739" w:rsidP="00D33150">
                                  <w:pPr>
                                    <w:pStyle w:val="ab"/>
                                    <w:spacing w:before="0" w:beforeAutospacing="0" w:after="0" w:afterAutospacing="0"/>
                                  </w:pPr>
                                  <w:r>
                                    <w:rPr>
                                      <w:rFonts w:asciiTheme="minorHAnsi" w:hAnsi="Calibri" w:cstheme="minorBidi"/>
                                      <w:color w:val="000000"/>
                                      <w:kern w:val="24"/>
                                    </w:rPr>
                                    <w:t xml:space="preserve">Гос. Облигации </w:t>
                                  </w:r>
                                  <w:r>
                                    <w:rPr>
                                      <w:rFonts w:asciiTheme="minorHAnsi" w:hAnsi="Calibri" w:cstheme="minorBidi"/>
                                      <w:color w:val="000000"/>
                                      <w:kern w:val="24"/>
                                      <w:sz w:val="22"/>
                                      <w:szCs w:val="22"/>
                                    </w:rPr>
                                    <w:t>(других стран)</w:t>
                                  </w:r>
                                </w:p>
                              </w:txbxContent>
                            </wps:txbx>
                            <wps:bodyPr rot="0" spcFirstLastPara="0" vert="horz" wrap="square" lIns="91440" tIns="45720" rIns="36000" bIns="45720" numCol="1" spcCol="0" rtlCol="0" fromWordArt="0" anchor="ctr" anchorCtr="0" forceAA="0" compatLnSpc="1">
                              <a:prstTxWarp prst="textNoShape">
                                <a:avLst/>
                              </a:prstTxWarp>
                              <a:noAutofit/>
                            </wps:bodyPr>
                          </wps:wsp>
                          <wps:wsp>
                            <wps:cNvPr id="132" name="Прямоугольник 132"/>
                            <wps:cNvSpPr/>
                            <wps:spPr>
                              <a:xfrm>
                                <a:off x="2683970" y="4758452"/>
                                <a:ext cx="3643972" cy="324000"/>
                              </a:xfrm>
                              <a:prstGeom prst="rect">
                                <a:avLst/>
                              </a:prstGeom>
                              <a:solidFill>
                                <a:sysClr val="window" lastClr="FFFFFF"/>
                              </a:solidFill>
                              <a:ln w="12700" cap="flat" cmpd="sng" algn="ctr">
                                <a:solidFill>
                                  <a:srgbClr val="51626F"/>
                                </a:solidFill>
                                <a:prstDash val="solid"/>
                              </a:ln>
                              <a:effectLst/>
                            </wps:spPr>
                            <wps:txbx>
                              <w:txbxContent>
                                <w:p w14:paraId="77A604D2"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до 3 лет</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33" name="Прямоугольник 133"/>
                            <wps:cNvSpPr/>
                            <wps:spPr>
                              <a:xfrm>
                                <a:off x="4978" y="5160827"/>
                                <a:ext cx="2592000" cy="324000"/>
                              </a:xfrm>
                              <a:prstGeom prst="rect">
                                <a:avLst/>
                              </a:prstGeom>
                              <a:solidFill>
                                <a:srgbClr val="51626F">
                                  <a:lumMod val="40000"/>
                                  <a:lumOff val="60000"/>
                                </a:srgbClr>
                              </a:solidFill>
                              <a:ln w="25400" cap="flat" cmpd="sng" algn="ctr">
                                <a:noFill/>
                                <a:prstDash val="solid"/>
                              </a:ln>
                              <a:effectLst/>
                            </wps:spPr>
                            <wps:txbx>
                              <w:txbxContent>
                                <w:p w14:paraId="13D73EC4" w14:textId="77777777" w:rsidR="00944739" w:rsidRDefault="00944739" w:rsidP="00D33150">
                                  <w:pPr>
                                    <w:pStyle w:val="ab"/>
                                    <w:spacing w:before="0" w:beforeAutospacing="0" w:after="0" w:afterAutospacing="0"/>
                                  </w:pPr>
                                  <w:r>
                                    <w:rPr>
                                      <w:rFonts w:asciiTheme="minorHAnsi" w:hAnsi="Calibri" w:cstheme="minorBidi"/>
                                      <w:color w:val="000000"/>
                                      <w:kern w:val="24"/>
                                    </w:rPr>
                                    <w:t>Корпоративные Облигации</w:t>
                                  </w:r>
                                </w:p>
                              </w:txbxContent>
                            </wps:txbx>
                            <wps:bodyPr rot="0" spcFirstLastPara="0" vert="horz" wrap="square" lIns="91440" tIns="45720" rIns="36000" bIns="45720" numCol="1" spcCol="0" rtlCol="0" fromWordArt="0" anchor="ctr" anchorCtr="0" forceAA="0" compatLnSpc="1">
                              <a:prstTxWarp prst="textNoShape">
                                <a:avLst/>
                              </a:prstTxWarp>
                              <a:noAutofit/>
                            </wps:bodyPr>
                          </wps:wsp>
                          <wps:wsp>
                            <wps:cNvPr id="134" name="Прямоугольник 134"/>
                            <wps:cNvSpPr/>
                            <wps:spPr>
                              <a:xfrm>
                                <a:off x="2683970" y="5157678"/>
                                <a:ext cx="3643972" cy="324000"/>
                              </a:xfrm>
                              <a:prstGeom prst="rect">
                                <a:avLst/>
                              </a:prstGeom>
                              <a:solidFill>
                                <a:sysClr val="window" lastClr="FFFFFF"/>
                              </a:solidFill>
                              <a:ln w="12700" cap="flat" cmpd="sng" algn="ctr">
                                <a:solidFill>
                                  <a:srgbClr val="51626F"/>
                                </a:solidFill>
                                <a:prstDash val="solid"/>
                              </a:ln>
                              <a:effectLst/>
                            </wps:spPr>
                            <wps:txbx>
                              <w:txbxContent>
                                <w:p w14:paraId="77A1B437"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до 3 лет</w:t>
                                  </w:r>
                                </w:p>
                              </w:txbxContent>
                            </wps:txbx>
                            <wps:bodyPr rot="0" spcFirstLastPara="0" vert="horz" wrap="square" lIns="0" tIns="45720" rIns="0" bIns="45720" numCol="1" spcCol="0" rtlCol="0" fromWordArt="0" anchor="ctr" anchorCtr="0" forceAA="0" compatLnSpc="1">
                              <a:prstTxWarp prst="textNoShape">
                                <a:avLst/>
                              </a:prstTxWarp>
                              <a:noAutofit/>
                            </wps:bodyPr>
                          </wps:wsp>
                        </wpg:grpSp>
                        <wps:wsp>
                          <wps:cNvPr id="135" name="Прямоугольник 135"/>
                          <wps:cNvSpPr/>
                          <wps:spPr>
                            <a:xfrm>
                              <a:off x="0" y="1935935"/>
                              <a:ext cx="2610369" cy="324000"/>
                            </a:xfrm>
                            <a:prstGeom prst="rect">
                              <a:avLst/>
                            </a:prstGeom>
                            <a:solidFill>
                              <a:srgbClr val="51626F">
                                <a:lumMod val="40000"/>
                                <a:lumOff val="60000"/>
                              </a:srgbClr>
                            </a:solidFill>
                            <a:ln w="25400" cap="flat" cmpd="sng" algn="ctr">
                              <a:noFill/>
                              <a:prstDash val="solid"/>
                            </a:ln>
                            <a:effectLst/>
                          </wps:spPr>
                          <wps:txbx>
                            <w:txbxContent>
                              <w:p w14:paraId="33A62496" w14:textId="77777777" w:rsidR="00944739" w:rsidRDefault="00944739" w:rsidP="00D33150">
                                <w:pPr>
                                  <w:pStyle w:val="ab"/>
                                  <w:spacing w:before="0" w:beforeAutospacing="0" w:after="0" w:afterAutospacing="0"/>
                                </w:pPr>
                                <w:r>
                                  <w:rPr>
                                    <w:rFonts w:asciiTheme="minorHAnsi" w:hAnsi="Calibri" w:cstheme="minorBidi"/>
                                    <w:color w:val="000000"/>
                                    <w:kern w:val="24"/>
                                  </w:rPr>
                                  <w:t>СВОП (валюта)</w:t>
                                </w:r>
                              </w:p>
                            </w:txbxContent>
                          </wps:txbx>
                          <wps:bodyPr rot="0" spcFirstLastPara="0" vert="horz" wrap="square" lIns="91440" tIns="45720" rIns="36000" bIns="45720" numCol="1" spcCol="0" rtlCol="0" fromWordArt="0" anchor="ctr" anchorCtr="0" forceAA="0" compatLnSpc="1">
                            <a:prstTxWarp prst="textNoShape">
                              <a:avLst/>
                            </a:prstTxWarp>
                            <a:noAutofit/>
                          </wps:bodyPr>
                        </wps:wsp>
                        <wps:wsp>
                          <wps:cNvPr id="136" name="Прямоугольник 136"/>
                          <wps:cNvSpPr/>
                          <wps:spPr>
                            <a:xfrm>
                              <a:off x="2684969" y="1935935"/>
                              <a:ext cx="1790660" cy="324000"/>
                            </a:xfrm>
                            <a:prstGeom prst="rect">
                              <a:avLst/>
                            </a:prstGeom>
                            <a:solidFill>
                              <a:sysClr val="window" lastClr="FFFFFF"/>
                            </a:solidFill>
                            <a:ln w="12700" cap="flat" cmpd="sng" algn="ctr">
                              <a:solidFill>
                                <a:srgbClr val="51626F"/>
                              </a:solidFill>
                              <a:prstDash val="solid"/>
                            </a:ln>
                            <a:effectLst/>
                          </wps:spPr>
                          <wps:txbx>
                            <w:txbxContent>
                              <w:p w14:paraId="447398D2"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до 365 дней</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37" name="Прямоугольник 137"/>
                          <wps:cNvSpPr/>
                          <wps:spPr>
                            <a:xfrm>
                              <a:off x="2680444" y="2355757"/>
                              <a:ext cx="1778532" cy="324000"/>
                            </a:xfrm>
                            <a:prstGeom prst="rect">
                              <a:avLst/>
                            </a:prstGeom>
                            <a:solidFill>
                              <a:sysClr val="window" lastClr="FFFFFF"/>
                            </a:solidFill>
                            <a:ln w="12700" cap="flat" cmpd="sng" algn="ctr">
                              <a:solidFill>
                                <a:srgbClr val="51626F"/>
                              </a:solidFill>
                              <a:prstDash val="dash"/>
                            </a:ln>
                            <a:effectLst/>
                          </wps:spPr>
                          <wps:txbx>
                            <w:txbxContent>
                              <w:p w14:paraId="0EEFA788" w14:textId="77777777" w:rsidR="00944739" w:rsidRDefault="00944739" w:rsidP="00D33150">
                                <w:pPr>
                                  <w:pStyle w:val="ab"/>
                                  <w:spacing w:before="0" w:beforeAutospacing="0" w:after="0" w:afterAutospacing="0"/>
                                  <w:jc w:val="center"/>
                                </w:pPr>
                                <w:r>
                                  <w:rPr>
                                    <w:rFonts w:asciiTheme="minorHAnsi" w:hAnsi="Calibri" w:cstheme="minorBidi"/>
                                    <w:color w:val="51626F"/>
                                    <w:kern w:val="24"/>
                                    <w:sz w:val="20"/>
                                    <w:szCs w:val="20"/>
                                  </w:rPr>
                                  <w:t>не используется</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38" name="Прямоугольник 138"/>
                          <wps:cNvSpPr/>
                          <wps:spPr>
                            <a:xfrm>
                              <a:off x="0" y="2356528"/>
                              <a:ext cx="2592000" cy="324000"/>
                            </a:xfrm>
                            <a:prstGeom prst="rect">
                              <a:avLst/>
                            </a:prstGeom>
                            <a:solidFill>
                              <a:srgbClr val="51626F">
                                <a:lumMod val="40000"/>
                                <a:lumOff val="60000"/>
                              </a:srgbClr>
                            </a:solidFill>
                            <a:ln w="25400" cap="flat" cmpd="sng" algn="ctr">
                              <a:noFill/>
                              <a:prstDash val="solid"/>
                            </a:ln>
                            <a:effectLst/>
                          </wps:spPr>
                          <wps:txbx>
                            <w:txbxContent>
                              <w:p w14:paraId="2063B57E" w14:textId="77777777" w:rsidR="00944739" w:rsidRDefault="00944739" w:rsidP="00D33150">
                                <w:pPr>
                                  <w:pStyle w:val="ab"/>
                                  <w:spacing w:before="0" w:beforeAutospacing="0" w:after="0" w:afterAutospacing="0"/>
                                </w:pPr>
                                <w:r>
                                  <w:rPr>
                                    <w:rFonts w:asciiTheme="minorHAnsi" w:hAnsi="Calibri" w:cstheme="minorBidi"/>
                                    <w:color w:val="000000"/>
                                    <w:kern w:val="24"/>
                                  </w:rPr>
                                  <w:t>СВОП (% и валютно-%)</w:t>
                                </w:r>
                              </w:p>
                            </w:txbxContent>
                          </wps:txbx>
                          <wps:bodyPr rot="0" spcFirstLastPara="0" vert="horz" wrap="square" lIns="91440" tIns="45720" rIns="36000" bIns="45720" numCol="1" spcCol="0" rtlCol="0" fromWordArt="0" anchor="ctr" anchorCtr="0" forceAA="0" compatLnSpc="1">
                            <a:prstTxWarp prst="textNoShape">
                              <a:avLst/>
                            </a:prstTxWarp>
                            <a:noAutofit/>
                          </wps:bodyPr>
                        </wps:wsp>
                        <wps:wsp>
                          <wps:cNvPr id="139" name="Прямоугольник 139"/>
                          <wps:cNvSpPr/>
                          <wps:spPr>
                            <a:xfrm>
                              <a:off x="4558644" y="1543542"/>
                              <a:ext cx="1770298" cy="1136215"/>
                            </a:xfrm>
                            <a:prstGeom prst="rect">
                              <a:avLst/>
                            </a:prstGeom>
                            <a:solidFill>
                              <a:sysClr val="window" lastClr="FFFFFF"/>
                            </a:solidFill>
                            <a:ln w="12700" cap="flat" cmpd="sng" algn="ctr">
                              <a:solidFill>
                                <a:srgbClr val="51626F"/>
                              </a:solidFill>
                              <a:prstDash val="dash"/>
                            </a:ln>
                            <a:effectLst/>
                          </wps:spPr>
                          <wps:txbx>
                            <w:txbxContent>
                              <w:p w14:paraId="3CFEF6C2" w14:textId="77777777" w:rsidR="00944739" w:rsidRPr="00CA5055" w:rsidRDefault="00944739" w:rsidP="00D33150">
                                <w:pPr>
                                  <w:pStyle w:val="ab"/>
                                  <w:spacing w:before="0" w:beforeAutospacing="0" w:after="0" w:afterAutospacing="0"/>
                                  <w:jc w:val="center"/>
                                  <w:rPr>
                                    <w:color w:val="44546A" w:themeColor="text2"/>
                                  </w:rPr>
                                </w:pPr>
                                <w:r w:rsidRPr="00CA5055">
                                  <w:rPr>
                                    <w:rFonts w:asciiTheme="minorHAnsi" w:hAnsi="Calibri" w:cstheme="minorBidi"/>
                                    <w:color w:val="44546A" w:themeColor="text2"/>
                                    <w:kern w:val="24"/>
                                    <w:sz w:val="20"/>
                                    <w:szCs w:val="20"/>
                                  </w:rPr>
                                  <w:t>максимальные сроки по торгуемым на МБ инструментам</w:t>
                                </w:r>
                              </w:p>
                            </w:txbxContent>
                          </wps:txbx>
                          <wps:bodyPr rot="0" spcFirstLastPara="0" vert="horz" wrap="square" lIns="0" tIns="45720" rIns="0" bIns="45720" numCol="1" spcCol="0" rtlCol="0" fromWordArt="0" anchor="ctr" anchorCtr="0" forceAA="0" compatLnSpc="1">
                            <a:prstTxWarp prst="textNoShape">
                              <a:avLst/>
                            </a:prstTxWarp>
                            <a:noAutofit/>
                          </wps:bodyPr>
                        </wps:wsp>
                      </wpg:grpSp>
                      <wps:wsp>
                        <wps:cNvPr id="61" name="Прямоугольник 60"/>
                        <wps:cNvSpPr/>
                        <wps:spPr>
                          <a:xfrm>
                            <a:off x="2533650" y="4229100"/>
                            <a:ext cx="3419475" cy="323850"/>
                          </a:xfrm>
                          <a:prstGeom prst="rect">
                            <a:avLst/>
                          </a:prstGeom>
                          <a:solidFill>
                            <a:sysClr val="window" lastClr="FFFFFF"/>
                          </a:solidFill>
                          <a:ln w="12700" cap="flat" cmpd="sng" algn="ctr">
                            <a:solidFill>
                              <a:srgbClr val="51626F"/>
                            </a:solidFill>
                            <a:prstDash val="dash"/>
                          </a:ln>
                          <a:effectLst/>
                        </wps:spPr>
                        <wps:txbx>
                          <w:txbxContent>
                            <w:p w14:paraId="59A21432" w14:textId="77777777" w:rsidR="00944739" w:rsidRDefault="00944739" w:rsidP="00D33150">
                              <w:pPr>
                                <w:pStyle w:val="ab"/>
                                <w:spacing w:before="0" w:beforeAutospacing="0" w:after="0" w:afterAutospacing="0"/>
                                <w:jc w:val="center"/>
                              </w:pPr>
                              <w:r>
                                <w:rPr>
                                  <w:rFonts w:ascii="Tahoma" w:eastAsia="+mn-ea" w:hAnsi="Tahoma" w:cs="+mn-cs"/>
                                  <w:color w:val="51626F"/>
                                  <w:kern w:val="24"/>
                                  <w:sz w:val="20"/>
                                  <w:szCs w:val="20"/>
                                </w:rPr>
                                <w:t>не устанавливаются ограничения</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C8E3C8" id="Группа 140" o:spid="_x0000_s1039" style="position:absolute;left:0;text-align:left;margin-left:-2.1pt;margin-top:341.25pt;width:440.25pt;height:385.5pt;z-index:251659264;mso-width-relative:margin;mso-height-relative:margin" coordsize="59721,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">
                <v:group id="Группа 1" o:spid="_x0000_s1040" style="position:absolute;width:59721;height:53340" coordsize="63499,5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oundrect id="Скругленный прямоугольник 111" o:spid="_x0000_s1041" style="position:absolute;left:45552;top:13125;width:17947;height:33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" filled="f" stroked="f" strokeweight="1pt">
                    <v:stroke dashstyle="longDash"/>
                  </v:roundrect>
                  <v:group id="Группа 112" o:spid="_x0000_s1042" style="position:absolute;width:63289;height:54848" coordsize="63289,5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Полилиния 113" o:spid="_x0000_s1043" style="position:absolute;width:25969;height:10833;visibility:visible;mso-wrap-style:square;v-text-anchor:middle" coordsize="1592677,853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" adj="-11796480,,5400" path="m,l1592677,r,853500l,853500,,xe" fillcolor="#c8102e" strokecolor="white" strokeweight="2pt">
                      <v:stroke joinstyle="miter"/>
                      <v:formulas/>
                      <v:path arrowok="t" o:connecttype="custom" o:connectlocs="0,0;2596978,0;2596978,1083332;0,1083332;0,0" o:connectangles="0,0,0,0,0" textboxrect="0,0,1592677,853500"/>
                      <v:textbox inset=".65pt,.65pt,.65pt,.65pt">
                        <w:txbxContent>
                          <w:p w14:paraId="2B4FA850" w14:textId="77777777" w:rsidR="00944739" w:rsidRDefault="00944739" w:rsidP="00D33150">
                            <w:pPr>
                              <w:pStyle w:val="ab"/>
                              <w:spacing w:before="0" w:beforeAutospacing="0" w:after="101" w:afterAutospacing="0" w:line="216" w:lineRule="auto"/>
                              <w:jc w:val="center"/>
                            </w:pPr>
                            <w:r>
                              <w:rPr>
                                <w:rFonts w:asciiTheme="minorHAnsi" w:hAnsi="Calibri" w:cs="Arial"/>
                                <w:color w:val="FFFFFF"/>
                                <w:kern w:val="24"/>
                              </w:rPr>
                              <w:t>Используемые финансовые инструменты</w:t>
                            </w:r>
                          </w:p>
                        </w:txbxContent>
                      </v:textbox>
                    </v:shape>
                    <v:shape id="Полилиния 114" o:spid="_x0000_s1044" style="position:absolute;left:26565;width:36724;height:5040;visibility:visible;mso-wrap-style:square;v-text-anchor:middle" coordsize="1592677,7963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" adj="-11796480,,5400" path="m,l1592677,r,796338l,796338,,xe" fillcolor="#51626f" strokecolor="white" strokeweight="2pt">
                      <v:stroke joinstyle="miter"/>
                      <v:formulas/>
                      <v:path arrowok="t" o:connecttype="custom" o:connectlocs="0,0;3672407,0;3672407,504056;0,504056;0,0" o:connectangles="0,0,0,0,0" textboxrect="0,0,1592677,796338"/>
                      <v:textbox inset=".65pt,.65pt,.65pt,.65pt">
                        <w:txbxContent>
                          <w:p w14:paraId="4AD41DDE" w14:textId="77777777" w:rsidR="00944739" w:rsidRPr="00CA5055" w:rsidRDefault="00944739" w:rsidP="00D33150">
                            <w:pPr>
                              <w:pStyle w:val="ab"/>
                              <w:spacing w:before="0" w:beforeAutospacing="0" w:after="101" w:afterAutospacing="0" w:line="216" w:lineRule="auto"/>
                              <w:jc w:val="center"/>
                              <w:rPr>
                                <w:rFonts w:asciiTheme="minorHAnsi" w:hAnsiTheme="minorHAnsi" w:cstheme="minorHAnsi"/>
                              </w:rPr>
                            </w:pPr>
                            <w:r w:rsidRPr="00CA5055">
                              <w:rPr>
                                <w:rFonts w:asciiTheme="minorHAnsi" w:hAnsiTheme="minorHAnsi" w:cstheme="minorHAnsi"/>
                                <w:color w:val="FFFFFF"/>
                                <w:kern w:val="24"/>
                              </w:rPr>
                              <w:t>Ограничения по срокам размещения</w:t>
                            </w:r>
                          </w:p>
                        </w:txbxContent>
                      </v:textbox>
                    </v:shape>
                    <v:rect id="Прямоугольник 115" o:spid="_x0000_s1045" style="position:absolute;left:77;top:11585;width:25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" fillcolor="#b5c1c9" stroked="f" strokeweight="2pt">
                      <v:textbox inset=",,1mm">
                        <w:txbxContent>
                          <w:p w14:paraId="4F7F0122" w14:textId="77777777" w:rsidR="00944739" w:rsidRDefault="00944739" w:rsidP="00D33150">
                            <w:pPr>
                              <w:pStyle w:val="ab"/>
                              <w:spacing w:before="0" w:beforeAutospacing="0" w:after="0" w:afterAutospacing="0"/>
                            </w:pPr>
                            <w:r>
                              <w:rPr>
                                <w:rFonts w:asciiTheme="minorHAnsi" w:hAnsi="Calibri" w:cstheme="minorBidi"/>
                                <w:color w:val="000000"/>
                                <w:kern w:val="24"/>
                              </w:rPr>
                              <w:t xml:space="preserve">Макс. </w:t>
                            </w:r>
                            <w:proofErr w:type="spellStart"/>
                            <w:r>
                              <w:rPr>
                                <w:rFonts w:asciiTheme="minorHAnsi" w:hAnsi="Calibri" w:cstheme="minorBidi"/>
                                <w:color w:val="000000"/>
                                <w:kern w:val="24"/>
                              </w:rPr>
                              <w:t>дюрация</w:t>
                            </w:r>
                            <w:proofErr w:type="spellEnd"/>
                            <w:r>
                              <w:rPr>
                                <w:rFonts w:asciiTheme="minorHAnsi" w:hAnsi="Calibri" w:cstheme="minorBidi"/>
                                <w:color w:val="000000"/>
                                <w:kern w:val="24"/>
                              </w:rPr>
                              <w:t xml:space="preserve"> портфеля</w:t>
                            </w:r>
                          </w:p>
                        </w:txbxContent>
                      </v:textbox>
                    </v:rect>
                    <v:rect id="Прямоугольник 116" o:spid="_x0000_s1046" style="position:absolute;left:26849;top:5792;width:17718;height:5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" fillcolor="#dae0e4" stroked="f" strokeweight="1pt">
                      <v:textbox inset="1mm,,1mm">
                        <w:txbxContent>
                          <w:p w14:paraId="0AE53ADA"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использование собственных средств</w:t>
                            </w:r>
                          </w:p>
                        </w:txbxContent>
                      </v:textbox>
                    </v:rect>
                    <v:rect id="Прямоугольник 117" o:spid="_x0000_s1047" style="position:absolute;left:45571;top:5741;width:17718;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" fillcolor="#dae0e4" stroked="f" strokeweight="1pt">
                      <v:textbox inset="1mm,,1mm">
                        <w:txbxContent>
                          <w:p w14:paraId="46B88447"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Использование клиринговых пассивов</w:t>
                            </w:r>
                          </w:p>
                        </w:txbxContent>
                      </v:textbox>
                    </v:rect>
                    <v:rect id="Прямоугольник 118" o:spid="_x0000_s1048" style="position:absolute;left:77;top:15462;width:25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" fillcolor="#b5c1c9" stroked="f" strokeweight="2pt">
                      <v:textbox inset=",,1mm">
                        <w:txbxContent>
                          <w:p w14:paraId="2A36350B" w14:textId="77777777" w:rsidR="00944739" w:rsidRDefault="00944739" w:rsidP="00D33150">
                            <w:pPr>
                              <w:pStyle w:val="ab"/>
                              <w:spacing w:before="0" w:beforeAutospacing="0" w:after="0" w:afterAutospacing="0"/>
                            </w:pPr>
                            <w:r>
                              <w:rPr>
                                <w:rFonts w:asciiTheme="minorHAnsi" w:hAnsi="Calibri" w:cstheme="minorBidi"/>
                                <w:color w:val="000000"/>
                                <w:kern w:val="24"/>
                              </w:rPr>
                              <w:t>РЕПО с облигациями</w:t>
                            </w:r>
                          </w:p>
                        </w:txbxContent>
                      </v:textbox>
                    </v:rect>
                    <v:rect id="Прямоугольник 119" o:spid="_x0000_s1049" style="position:absolute;top:27857;width:25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" fillcolor="#b5c1c9" stroked="f" strokeweight="2pt">
                      <v:textbox inset=",,1mm">
                        <w:txbxContent>
                          <w:p w14:paraId="4A496B6F" w14:textId="77777777" w:rsidR="00944739" w:rsidRDefault="00944739" w:rsidP="00D33150">
                            <w:pPr>
                              <w:pStyle w:val="ab"/>
                              <w:spacing w:before="0" w:beforeAutospacing="0" w:after="0" w:afterAutospacing="0"/>
                            </w:pPr>
                            <w:r>
                              <w:rPr>
                                <w:rFonts w:asciiTheme="minorHAnsi" w:hAnsi="Calibri" w:cstheme="minorBidi"/>
                                <w:color w:val="000000"/>
                                <w:kern w:val="24"/>
                              </w:rPr>
                              <w:t>СВОП (драгоценные металлы)</w:t>
                            </w:r>
                          </w:p>
                        </w:txbxContent>
                      </v:textbox>
                    </v:rect>
                    <v:rect id="Прямоугольник 120" o:spid="_x0000_s1050" style="position:absolute;left:45629;top:31823;width:1765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" fillcolor="window" strokecolor="#51626f" strokeweight="1pt">
                      <v:stroke dashstyle="dash"/>
                      <v:textbox inset="0,,0">
                        <w:txbxContent>
                          <w:p w14:paraId="2FCFC336" w14:textId="77777777" w:rsidR="00944739" w:rsidRDefault="00944739" w:rsidP="00D33150">
                            <w:pPr>
                              <w:pStyle w:val="ab"/>
                              <w:spacing w:before="0" w:beforeAutospacing="0" w:after="0" w:afterAutospacing="0"/>
                              <w:jc w:val="center"/>
                            </w:pPr>
                            <w:r>
                              <w:rPr>
                                <w:rFonts w:asciiTheme="minorHAnsi" w:hAnsi="Calibri" w:cstheme="minorBidi"/>
                                <w:color w:val="51626F"/>
                                <w:kern w:val="24"/>
                                <w:sz w:val="20"/>
                                <w:szCs w:val="20"/>
                              </w:rPr>
                              <w:t>не устанавливаются ограничения</w:t>
                            </w:r>
                          </w:p>
                        </w:txbxContent>
                      </v:textbox>
                    </v:rect>
                    <v:rect id="Прямоугольник 121" o:spid="_x0000_s1051" style="position:absolute;left:26849;top:11619;width:364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" fillcolor="window" strokecolor="#51626f" strokeweight="1pt">
                      <v:textbox inset="0,,0">
                        <w:txbxContent>
                          <w:p w14:paraId="73BA2EA9"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 до 18 месяцев</w:t>
                            </w:r>
                          </w:p>
                        </w:txbxContent>
                      </v:textbox>
                    </v:rect>
                    <v:rect id="Прямоугольник 122" o:spid="_x0000_s1052" style="position:absolute;left:49;top:31763;width:25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" fillcolor="#b5c1c9" stroked="f" strokeweight="2pt">
                      <v:textbox inset=",,1mm">
                        <w:txbxContent>
                          <w:p w14:paraId="4B2FC835" w14:textId="77777777" w:rsidR="00944739" w:rsidRDefault="00944739" w:rsidP="00D33150">
                            <w:pPr>
                              <w:pStyle w:val="ab"/>
                              <w:spacing w:before="0" w:beforeAutospacing="0" w:after="0" w:afterAutospacing="0"/>
                            </w:pPr>
                            <w:r>
                              <w:rPr>
                                <w:rFonts w:asciiTheme="minorHAnsi" w:hAnsi="Calibri" w:cstheme="minorBidi"/>
                                <w:color w:val="000000"/>
                                <w:kern w:val="24"/>
                              </w:rPr>
                              <w:t>Депозиты Банка России</w:t>
                            </w:r>
                          </w:p>
                        </w:txbxContent>
                      </v:textbox>
                    </v:rect>
                    <v:rect id="Прямоугольник 123" o:spid="_x0000_s1053" style="position:absolute;left:26782;top:15460;width:17964;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" fillcolor="window" strokecolor="#51626f" strokeweight="1pt">
                      <v:textbox inset="0,,0">
                        <w:txbxContent>
                          <w:p w14:paraId="112DF766"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 до 180 дней</w:t>
                            </w:r>
                          </w:p>
                        </w:txbxContent>
                      </v:textbox>
                    </v:rect>
                    <v:rect id="Прямоугольник 124" o:spid="_x0000_s1054" style="position:absolute;left:26789;top:27857;width:3649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" fillcolor="window" strokecolor="#51626f" strokeweight="1pt">
                      <v:textbox inset="0,,0">
                        <w:txbxContent>
                          <w:p w14:paraId="536D4AD4"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до 365 дней</w:t>
                            </w:r>
                          </w:p>
                        </w:txbxContent>
                      </v:textbox>
                    </v:rect>
                    <v:rect id="Прямоугольник 125" o:spid="_x0000_s1055" style="position:absolute;left:26839;top:31732;width:17907;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" fillcolor="window" strokecolor="#51626f" strokeweight="1pt">
                      <v:textbox inset="0,,0">
                        <w:txbxContent>
                          <w:p w14:paraId="7FF7A6D9"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до 31 дня</w:t>
                            </w:r>
                          </w:p>
                        </w:txbxContent>
                      </v:textbox>
                    </v:rect>
                    <v:rect id="Прямоугольник 126" o:spid="_x0000_s1056" style="position:absolute;left:49;top:35660;width:25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" fillcolor="#b5c1c9" stroked="f" strokeweight="2pt">
                      <v:textbox inset=",,1mm">
                        <w:txbxContent>
                          <w:p w14:paraId="654F1246" w14:textId="77777777" w:rsidR="00944739" w:rsidRDefault="00944739" w:rsidP="00D33150">
                            <w:pPr>
                              <w:pStyle w:val="ab"/>
                              <w:spacing w:before="0" w:beforeAutospacing="0" w:after="0" w:afterAutospacing="0"/>
                            </w:pPr>
                            <w:r>
                              <w:rPr>
                                <w:rFonts w:asciiTheme="minorHAnsi" w:hAnsi="Calibri" w:cstheme="minorBidi"/>
                                <w:color w:val="000000"/>
                                <w:kern w:val="24"/>
                              </w:rPr>
                              <w:t xml:space="preserve">МБК </w:t>
                            </w:r>
                            <w:r>
                              <w:rPr>
                                <w:rFonts w:asciiTheme="minorHAnsi" w:hAnsi="Calibri" w:cstheme="minorBidi"/>
                                <w:color w:val="000000"/>
                                <w:kern w:val="24"/>
                                <w:sz w:val="22"/>
                                <w:szCs w:val="22"/>
                              </w:rPr>
                              <w:t xml:space="preserve">(рейтинг банков </w:t>
                            </w:r>
                            <w:r>
                              <w:rPr>
                                <w:rFonts w:asciiTheme="minorHAnsi" w:hAnsi="Calibri" w:cstheme="minorBidi"/>
                                <w:color w:val="000000"/>
                                <w:kern w:val="24"/>
                                <w:sz w:val="22"/>
                                <w:szCs w:val="22"/>
                                <w:lang w:val="en-US"/>
                              </w:rPr>
                              <w:t>BB</w:t>
                            </w:r>
                            <w:r>
                              <w:rPr>
                                <w:rFonts w:asciiTheme="minorHAnsi" w:hAnsi="Calibri" w:cstheme="minorBidi"/>
                                <w:color w:val="000000"/>
                                <w:kern w:val="24"/>
                                <w:sz w:val="22"/>
                                <w:szCs w:val="22"/>
                              </w:rPr>
                              <w:t xml:space="preserve">- и </w:t>
                            </w:r>
                            <w:r>
                              <w:rPr>
                                <w:rFonts w:asciiTheme="minorHAnsi" w:hAnsi="Calibri" w:cstheme="minorBidi"/>
                                <w:color w:val="000000"/>
                                <w:kern w:val="24"/>
                                <w:sz w:val="22"/>
                                <w:szCs w:val="22"/>
                                <w:lang w:val="en-US"/>
                              </w:rPr>
                              <w:t>BB</w:t>
                            </w:r>
                            <w:r>
                              <w:rPr>
                                <w:rFonts w:asciiTheme="minorHAnsi" w:hAnsi="Calibri" w:cstheme="minorBidi"/>
                                <w:color w:val="000000"/>
                                <w:kern w:val="24"/>
                                <w:sz w:val="22"/>
                                <w:szCs w:val="22"/>
                              </w:rPr>
                              <w:t>)</w:t>
                            </w:r>
                          </w:p>
                        </w:txbxContent>
                      </v:textbox>
                    </v:rect>
                    <v:rect id="Прямоугольник 127" o:spid="_x0000_s1057" style="position:absolute;left:26839;top:39481;width:364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" fillcolor="window" strokecolor="#51626f" strokeweight="1pt">
                      <v:textbox inset="0,,0">
                        <w:txbxContent>
                          <w:p w14:paraId="45112C43"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до </w:t>
                            </w:r>
                            <w:r>
                              <w:rPr>
                                <w:rFonts w:asciiTheme="minorHAnsi" w:hAnsi="Calibri" w:cstheme="minorBidi"/>
                                <w:color w:val="000000"/>
                                <w:kern w:val="24"/>
                                <w:sz w:val="20"/>
                                <w:szCs w:val="20"/>
                                <w:lang w:val="en-US"/>
                              </w:rPr>
                              <w:t>18</w:t>
                            </w:r>
                            <w:r>
                              <w:rPr>
                                <w:rFonts w:asciiTheme="minorHAnsi" w:hAnsi="Calibri" w:cstheme="minorBidi"/>
                                <w:color w:val="000000"/>
                                <w:kern w:val="24"/>
                                <w:sz w:val="20"/>
                                <w:szCs w:val="20"/>
                              </w:rPr>
                              <w:t>0 дней</w:t>
                            </w:r>
                          </w:p>
                        </w:txbxContent>
                      </v:textbox>
                    </v:rect>
                    <v:rect id="Прямоугольник 128" o:spid="_x0000_s1058" style="position:absolute;left:49;top:39600;width:25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" fillcolor="#b5c1c9" stroked="f" strokeweight="2pt">
                      <v:textbox inset=",,1mm">
                        <w:txbxContent>
                          <w:p w14:paraId="133441E5" w14:textId="77777777" w:rsidR="00944739" w:rsidRDefault="00944739" w:rsidP="00D33150">
                            <w:pPr>
                              <w:pStyle w:val="ab"/>
                              <w:spacing w:before="0" w:beforeAutospacing="0" w:after="0" w:afterAutospacing="0"/>
                            </w:pPr>
                            <w:r>
                              <w:rPr>
                                <w:rFonts w:asciiTheme="minorHAnsi" w:hAnsi="Calibri" w:cstheme="minorBidi"/>
                                <w:color w:val="000000"/>
                                <w:kern w:val="24"/>
                              </w:rPr>
                              <w:t xml:space="preserve">МБК </w:t>
                            </w:r>
                            <w:r>
                              <w:rPr>
                                <w:rFonts w:asciiTheme="minorHAnsi" w:hAnsi="Calibri" w:cstheme="minorBidi"/>
                                <w:color w:val="000000"/>
                                <w:kern w:val="24"/>
                                <w:sz w:val="22"/>
                                <w:szCs w:val="22"/>
                              </w:rPr>
                              <w:t xml:space="preserve">(рейтинг банков </w:t>
                            </w:r>
                            <w:r>
                              <w:rPr>
                                <w:rFonts w:asciiTheme="minorHAnsi" w:hAnsi="Calibri" w:cstheme="minorBidi"/>
                                <w:color w:val="000000"/>
                                <w:kern w:val="24"/>
                                <w:sz w:val="22"/>
                                <w:szCs w:val="22"/>
                                <w:lang w:val="en-US"/>
                              </w:rPr>
                              <w:t>BB</w:t>
                            </w:r>
                            <w:r w:rsidRPr="00CA5055">
                              <w:rPr>
                                <w:rFonts w:asciiTheme="minorHAnsi" w:hAnsi="Calibri" w:cstheme="minorBidi"/>
                                <w:color w:val="000000"/>
                                <w:kern w:val="24"/>
                                <w:sz w:val="22"/>
                                <w:szCs w:val="22"/>
                              </w:rPr>
                              <w:t>+</w:t>
                            </w:r>
                            <w:r>
                              <w:rPr>
                                <w:rFonts w:asciiTheme="minorHAnsi" w:hAnsi="Calibri" w:cstheme="minorBidi"/>
                                <w:color w:val="000000"/>
                                <w:kern w:val="24"/>
                                <w:sz w:val="22"/>
                                <w:szCs w:val="22"/>
                              </w:rPr>
                              <w:t xml:space="preserve"> и выше)</w:t>
                            </w:r>
                          </w:p>
                        </w:txbxContent>
                      </v:textbox>
                    </v:rect>
                    <v:rect id="Прямоугольник 129" o:spid="_x0000_s1059" style="position:absolute;left:26839;top:35665;width:364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" fillcolor="window" strokecolor="#51626f" strokeweight="1pt">
                      <v:textbox inset="0,,0">
                        <w:txbxContent>
                          <w:p w14:paraId="1FFEAA74"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до </w:t>
                            </w:r>
                            <w:r>
                              <w:rPr>
                                <w:rFonts w:asciiTheme="minorHAnsi" w:hAnsi="Calibri" w:cstheme="minorBidi"/>
                                <w:color w:val="000000"/>
                                <w:kern w:val="24"/>
                                <w:sz w:val="20"/>
                                <w:szCs w:val="20"/>
                                <w:lang w:val="en-US"/>
                              </w:rPr>
                              <w:t>9</w:t>
                            </w:r>
                            <w:r>
                              <w:rPr>
                                <w:rFonts w:asciiTheme="minorHAnsi" w:hAnsi="Calibri" w:cstheme="minorBidi"/>
                                <w:color w:val="000000"/>
                                <w:kern w:val="24"/>
                                <w:sz w:val="20"/>
                                <w:szCs w:val="20"/>
                              </w:rPr>
                              <w:t>0 дней</w:t>
                            </w:r>
                          </w:p>
                        </w:txbxContent>
                      </v:textbox>
                    </v:rect>
                    <v:rect id="Прямоугольник 130" o:spid="_x0000_s1060" style="position:absolute;left:49;top:43623;width:25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" fillcolor="#b5c1c9" stroked="f" strokeweight="2pt">
                      <v:textbox inset=",,1mm">
                        <w:txbxContent>
                          <w:p w14:paraId="694304EA" w14:textId="77777777" w:rsidR="00944739" w:rsidRDefault="00944739" w:rsidP="00D33150">
                            <w:pPr>
                              <w:pStyle w:val="ab"/>
                              <w:spacing w:before="0" w:beforeAutospacing="0" w:after="0" w:afterAutospacing="0"/>
                            </w:pPr>
                            <w:r>
                              <w:rPr>
                                <w:rFonts w:asciiTheme="minorHAnsi" w:hAnsi="Calibri" w:cstheme="minorBidi"/>
                                <w:color w:val="000000"/>
                                <w:kern w:val="24"/>
                              </w:rPr>
                              <w:t xml:space="preserve">Гос. Облигации </w:t>
                            </w:r>
                            <w:r>
                              <w:rPr>
                                <w:rFonts w:asciiTheme="minorHAnsi" w:hAnsi="Calibri" w:cstheme="minorBidi"/>
                                <w:color w:val="000000"/>
                                <w:kern w:val="24"/>
                                <w:sz w:val="22"/>
                                <w:szCs w:val="22"/>
                              </w:rPr>
                              <w:t>(РФ)</w:t>
                            </w:r>
                          </w:p>
                        </w:txbxContent>
                      </v:textbox>
                    </v:rect>
                    <v:rect id="Прямоугольник 131" o:spid="_x0000_s1061" style="position:absolute;left:49;top:47616;width:25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" fillcolor="#b5c1c9" stroked="f" strokeweight="2pt">
                      <v:textbox inset=",,1mm">
                        <w:txbxContent>
                          <w:p w14:paraId="38B4A506" w14:textId="77777777" w:rsidR="00944739" w:rsidRDefault="00944739" w:rsidP="00D33150">
                            <w:pPr>
                              <w:pStyle w:val="ab"/>
                              <w:spacing w:before="0" w:beforeAutospacing="0" w:after="0" w:afterAutospacing="0"/>
                            </w:pPr>
                            <w:r>
                              <w:rPr>
                                <w:rFonts w:asciiTheme="minorHAnsi" w:hAnsi="Calibri" w:cstheme="minorBidi"/>
                                <w:color w:val="000000"/>
                                <w:kern w:val="24"/>
                              </w:rPr>
                              <w:t xml:space="preserve">Гос. Облигации </w:t>
                            </w:r>
                            <w:r>
                              <w:rPr>
                                <w:rFonts w:asciiTheme="minorHAnsi" w:hAnsi="Calibri" w:cstheme="minorBidi"/>
                                <w:color w:val="000000"/>
                                <w:kern w:val="24"/>
                                <w:sz w:val="22"/>
                                <w:szCs w:val="22"/>
                              </w:rPr>
                              <w:t>(других стран)</w:t>
                            </w:r>
                          </w:p>
                        </w:txbxContent>
                      </v:textbox>
                    </v:rect>
                    <v:rect id="Прямоугольник 132" o:spid="_x0000_s1062" style="position:absolute;left:26839;top:47584;width:364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" fillcolor="window" strokecolor="#51626f" strokeweight="1pt">
                      <v:textbox inset="0,,0">
                        <w:txbxContent>
                          <w:p w14:paraId="77A604D2"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до 3 лет</w:t>
                            </w:r>
                          </w:p>
                        </w:txbxContent>
                      </v:textbox>
                    </v:rect>
                    <v:rect id="Прямоугольник 133" o:spid="_x0000_s1063" style="position:absolute;left:49;top:51608;width:25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" fillcolor="#b5c1c9" stroked="f" strokeweight="2pt">
                      <v:textbox inset=",,1mm">
                        <w:txbxContent>
                          <w:p w14:paraId="13D73EC4" w14:textId="77777777" w:rsidR="00944739" w:rsidRDefault="00944739" w:rsidP="00D33150">
                            <w:pPr>
                              <w:pStyle w:val="ab"/>
                              <w:spacing w:before="0" w:beforeAutospacing="0" w:after="0" w:afterAutospacing="0"/>
                            </w:pPr>
                            <w:r>
                              <w:rPr>
                                <w:rFonts w:asciiTheme="minorHAnsi" w:hAnsi="Calibri" w:cstheme="minorBidi"/>
                                <w:color w:val="000000"/>
                                <w:kern w:val="24"/>
                              </w:rPr>
                              <w:t>Корпоративные Облигации</w:t>
                            </w:r>
                          </w:p>
                        </w:txbxContent>
                      </v:textbox>
                    </v:rect>
                    <v:rect id="Прямоугольник 134" o:spid="_x0000_s1064" style="position:absolute;left:26839;top:51576;width:364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" fillcolor="window" strokecolor="#51626f" strokeweight="1pt">
                      <v:textbox inset="0,,0">
                        <w:txbxContent>
                          <w:p w14:paraId="77A1B437"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до 3 лет</w:t>
                            </w:r>
                          </w:p>
                        </w:txbxContent>
                      </v:textbox>
                    </v:rect>
                  </v:group>
                  <v:rect id="Прямоугольник 135" o:spid="_x0000_s1065" style="position:absolute;top:19359;width:26103;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" fillcolor="#b5c1c9" stroked="f" strokeweight="2pt">
                    <v:textbox inset=",,1mm">
                      <w:txbxContent>
                        <w:p w14:paraId="33A62496" w14:textId="77777777" w:rsidR="00944739" w:rsidRDefault="00944739" w:rsidP="00D33150">
                          <w:pPr>
                            <w:pStyle w:val="ab"/>
                            <w:spacing w:before="0" w:beforeAutospacing="0" w:after="0" w:afterAutospacing="0"/>
                          </w:pPr>
                          <w:r>
                            <w:rPr>
                              <w:rFonts w:asciiTheme="minorHAnsi" w:hAnsi="Calibri" w:cstheme="minorBidi"/>
                              <w:color w:val="000000"/>
                              <w:kern w:val="24"/>
                            </w:rPr>
                            <w:t>СВОП (валюта)</w:t>
                          </w:r>
                        </w:p>
                      </w:txbxContent>
                    </v:textbox>
                  </v:rect>
                  <v:rect id="Прямоугольник 136" o:spid="_x0000_s1066" style="position:absolute;left:26849;top:19359;width:17907;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" fillcolor="window" strokecolor="#51626f" strokeweight="1pt">
                    <v:textbox inset="0,,0">
                      <w:txbxContent>
                        <w:p w14:paraId="447398D2"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до 365 дней</w:t>
                          </w:r>
                        </w:p>
                      </w:txbxContent>
                    </v:textbox>
                  </v:rect>
                  <v:rect id="Прямоугольник 137" o:spid="_x0000_s1067" style="position:absolute;left:26804;top:23557;width:17785;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" fillcolor="window" strokecolor="#51626f" strokeweight="1pt">
                    <v:stroke dashstyle="dash"/>
                    <v:textbox inset="0,,0">
                      <w:txbxContent>
                        <w:p w14:paraId="0EEFA788" w14:textId="77777777" w:rsidR="00944739" w:rsidRDefault="00944739" w:rsidP="00D33150">
                          <w:pPr>
                            <w:pStyle w:val="ab"/>
                            <w:spacing w:before="0" w:beforeAutospacing="0" w:after="0" w:afterAutospacing="0"/>
                            <w:jc w:val="center"/>
                          </w:pPr>
                          <w:r>
                            <w:rPr>
                              <w:rFonts w:asciiTheme="minorHAnsi" w:hAnsi="Calibri" w:cstheme="minorBidi"/>
                              <w:color w:val="51626F"/>
                              <w:kern w:val="24"/>
                              <w:sz w:val="20"/>
                              <w:szCs w:val="20"/>
                            </w:rPr>
                            <w:t>не используется</w:t>
                          </w:r>
                        </w:p>
                      </w:txbxContent>
                    </v:textbox>
                  </v:rect>
                  <v:rect id="Прямоугольник 138" o:spid="_x0000_s1068" style="position:absolute;top:23565;width:25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" fillcolor="#b5c1c9" stroked="f" strokeweight="2pt">
                    <v:textbox inset=",,1mm">
                      <w:txbxContent>
                        <w:p w14:paraId="2063B57E" w14:textId="77777777" w:rsidR="00944739" w:rsidRDefault="00944739" w:rsidP="00D33150">
                          <w:pPr>
                            <w:pStyle w:val="ab"/>
                            <w:spacing w:before="0" w:beforeAutospacing="0" w:after="0" w:afterAutospacing="0"/>
                          </w:pPr>
                          <w:r>
                            <w:rPr>
                              <w:rFonts w:asciiTheme="minorHAnsi" w:hAnsi="Calibri" w:cstheme="minorBidi"/>
                              <w:color w:val="000000"/>
                              <w:kern w:val="24"/>
                            </w:rPr>
                            <w:t>СВОП (% и валютно-%)</w:t>
                          </w:r>
                        </w:p>
                      </w:txbxContent>
                    </v:textbox>
                  </v:rect>
                  <v:rect id="Прямоугольник 139" o:spid="_x0000_s1069" style="position:absolute;left:45586;top:15435;width:17703;height:11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" fillcolor="window" strokecolor="#51626f" strokeweight="1pt">
                    <v:stroke dashstyle="dash"/>
                    <v:textbox inset="0,,0">
                      <w:txbxContent>
                        <w:p w14:paraId="3CFEF6C2" w14:textId="77777777" w:rsidR="00944739" w:rsidRPr="00CA5055" w:rsidRDefault="00944739" w:rsidP="00D33150">
                          <w:pPr>
                            <w:pStyle w:val="ab"/>
                            <w:spacing w:before="0" w:beforeAutospacing="0" w:after="0" w:afterAutospacing="0"/>
                            <w:jc w:val="center"/>
                            <w:rPr>
                              <w:color w:val="44546A" w:themeColor="text2"/>
                            </w:rPr>
                          </w:pPr>
                          <w:r w:rsidRPr="00CA5055">
                            <w:rPr>
                              <w:rFonts w:asciiTheme="minorHAnsi" w:hAnsi="Calibri" w:cstheme="minorBidi"/>
                              <w:color w:val="44546A" w:themeColor="text2"/>
                              <w:kern w:val="24"/>
                              <w:sz w:val="20"/>
                              <w:szCs w:val="20"/>
                            </w:rPr>
                            <w:t>максимальные сроки по торгуемым на МБ инструментам</w:t>
                          </w:r>
                        </w:p>
                      </w:txbxContent>
                    </v:textbox>
                  </v:rect>
                </v:group>
                <v:rect id="Прямоугольник 60" o:spid="_x0000_s1070" style="position:absolute;left:25336;top:42291;width:3419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" fillcolor="window" strokecolor="#51626f" strokeweight="1pt">
                  <v:stroke dashstyle="dash"/>
                  <v:textbox inset="0,,0">
                    <w:txbxContent>
                      <w:p w14:paraId="59A21432" w14:textId="77777777" w:rsidR="00944739" w:rsidRDefault="00944739" w:rsidP="00D33150">
                        <w:pPr>
                          <w:pStyle w:val="ab"/>
                          <w:spacing w:before="0" w:beforeAutospacing="0" w:after="0" w:afterAutospacing="0"/>
                          <w:jc w:val="center"/>
                        </w:pPr>
                        <w:r>
                          <w:rPr>
                            <w:rFonts w:ascii="Tahoma" w:eastAsia="+mn-ea" w:hAnsi="Tahoma" w:cs="+mn-cs"/>
                            <w:color w:val="51626F"/>
                            <w:kern w:val="24"/>
                            <w:sz w:val="20"/>
                            <w:szCs w:val="20"/>
                          </w:rPr>
                          <w:t>не устанавливаются ограничения</w:t>
                        </w:r>
                      </w:p>
                    </w:txbxContent>
                  </v:textbox>
                </v:rect>
                <w10:wrap type="topAndBottom"/>
              </v:group>
            </w:pict>
          </mc:Fallback>
        </mc:AlternateContent>
      </w:r>
      <w:r>
        <w:rPr>
          <w:noProof/>
          <w:lang w:eastAsia="ru-RU"/>
        </w:rPr>
        <mc:AlternateContent>
          <mc:Choice Requires="wpg">
            <w:drawing>
              <wp:inline distT="0" distB="0" distL="0" distR="0" wp14:anchorId="012E95B4" wp14:editId="7331CDF0">
                <wp:extent cx="5562600" cy="4057650"/>
                <wp:effectExtent l="0" t="0" r="19050" b="0"/>
                <wp:docPr id="54" name="Группа 6"/>
                <wp:cNvGraphicFramePr/>
                <a:graphic xmlns:a="http://schemas.openxmlformats.org/drawingml/2006/main">
                  <a:graphicData uri="http://schemas.microsoft.com/office/word/2010/wordprocessingGroup">
                    <wpg:wgp>
                      <wpg:cNvGrpSpPr/>
                      <wpg:grpSpPr>
                        <a:xfrm>
                          <a:off x="0" y="0"/>
                          <a:ext cx="5562600" cy="4057650"/>
                          <a:chOff x="0" y="0"/>
                          <a:chExt cx="6146000" cy="5214302"/>
                        </a:xfrm>
                      </wpg:grpSpPr>
                      <wps:wsp>
                        <wps:cNvPr id="55" name="Скругленный прямоугольник 55"/>
                        <wps:cNvSpPr/>
                        <wps:spPr>
                          <a:xfrm>
                            <a:off x="3835039" y="1379648"/>
                            <a:ext cx="1794661" cy="3366725"/>
                          </a:xfrm>
                          <a:prstGeom prst="roundRect">
                            <a:avLst/>
                          </a:prstGeom>
                          <a:noFill/>
                          <a:ln w="12700" cap="flat" cmpd="sng" algn="ctr">
                            <a:noFill/>
                            <a:prstDash val="lgDash"/>
                          </a:ln>
                          <a:effectLst/>
                        </wps:spPr>
                        <wps:bodyPr tIns="0" bIns="0" rtlCol="0" anchor="ctr" anchorCtr="0">
                          <a:normAutofit/>
                        </wps:bodyPr>
                      </wps:wsp>
                      <wpg:grpSp>
                        <wpg:cNvPr id="67" name="Группа 67"/>
                        <wpg:cNvGrpSpPr/>
                        <wpg:grpSpPr>
                          <a:xfrm>
                            <a:off x="5470" y="0"/>
                            <a:ext cx="6127459" cy="3970327"/>
                            <a:chOff x="5470" y="0"/>
                            <a:chExt cx="6127459" cy="3970327"/>
                          </a:xfrm>
                        </wpg:grpSpPr>
                        <wps:wsp>
                          <wps:cNvPr id="71" name="Полилиния 71"/>
                          <wps:cNvSpPr/>
                          <wps:spPr>
                            <a:xfrm>
                              <a:off x="5470" y="0"/>
                              <a:ext cx="2373153" cy="1063398"/>
                            </a:xfrm>
                            <a:custGeom>
                              <a:avLst/>
                              <a:gdLst>
                                <a:gd name="connsiteX0" fmla="*/ 0 w 1592677"/>
                                <a:gd name="connsiteY0" fmla="*/ 0 h 853500"/>
                                <a:gd name="connsiteX1" fmla="*/ 1592677 w 1592677"/>
                                <a:gd name="connsiteY1" fmla="*/ 0 h 853500"/>
                                <a:gd name="connsiteX2" fmla="*/ 1592677 w 1592677"/>
                                <a:gd name="connsiteY2" fmla="*/ 853500 h 853500"/>
                                <a:gd name="connsiteX3" fmla="*/ 0 w 1592677"/>
                                <a:gd name="connsiteY3" fmla="*/ 853500 h 853500"/>
                                <a:gd name="connsiteX4" fmla="*/ 0 w 1592677"/>
                                <a:gd name="connsiteY4" fmla="*/ 0 h 853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92677" h="853500">
                                  <a:moveTo>
                                    <a:pt x="0" y="0"/>
                                  </a:moveTo>
                                  <a:lnTo>
                                    <a:pt x="1592677" y="0"/>
                                  </a:lnTo>
                                  <a:lnTo>
                                    <a:pt x="1592677" y="853500"/>
                                  </a:lnTo>
                                  <a:lnTo>
                                    <a:pt x="0" y="853500"/>
                                  </a:lnTo>
                                  <a:lnTo>
                                    <a:pt x="0" y="0"/>
                                  </a:lnTo>
                                  <a:close/>
                                </a:path>
                              </a:pathLst>
                            </a:custGeom>
                            <a:solidFill>
                              <a:srgbClr val="C8102E"/>
                            </a:solidFill>
                            <a:ln w="25400" cap="flat" cmpd="sng" algn="ctr">
                              <a:noFill/>
                              <a:prstDash val="solid"/>
                            </a:ln>
                            <a:effectLst/>
                          </wps:spPr>
                          <wps:txbx>
                            <w:txbxContent>
                              <w:p w14:paraId="6C6F798F" w14:textId="77777777" w:rsidR="00944739" w:rsidRDefault="00944739" w:rsidP="00D33150">
                                <w:pPr>
                                  <w:pStyle w:val="ab"/>
                                  <w:spacing w:before="0" w:beforeAutospacing="0" w:after="101" w:afterAutospacing="0" w:line="216" w:lineRule="auto"/>
                                  <w:jc w:val="center"/>
                                </w:pPr>
                                <w:r>
                                  <w:rPr>
                                    <w:rFonts w:asciiTheme="minorHAnsi" w:hAnsi="Calibri" w:cs="Arial"/>
                                    <w:color w:val="FFFFFF"/>
                                    <w:kern w:val="24"/>
                                  </w:rPr>
                                  <w:t>Используемые финансовые инструменты</w:t>
                                </w:r>
                              </w:p>
                            </w:txbxContent>
                          </wps:txbx>
                          <wps:bodyPr spcFirstLastPara="0" vert="horz" wrap="square" lIns="8255" tIns="0" rIns="8255" bIns="0" numCol="1" spcCol="1270" anchor="ctr" anchorCtr="0">
                            <a:noAutofit/>
                          </wps:bodyPr>
                        </wps:wsp>
                        <wps:wsp>
                          <wps:cNvPr id="72" name="Полилиния 72"/>
                          <wps:cNvSpPr/>
                          <wps:spPr>
                            <a:xfrm>
                              <a:off x="2450631" y="0"/>
                              <a:ext cx="3672408" cy="504000"/>
                            </a:xfrm>
                            <a:custGeom>
                              <a:avLst/>
                              <a:gdLst>
                                <a:gd name="connsiteX0" fmla="*/ 0 w 1592677"/>
                                <a:gd name="connsiteY0" fmla="*/ 0 h 796338"/>
                                <a:gd name="connsiteX1" fmla="*/ 1592677 w 1592677"/>
                                <a:gd name="connsiteY1" fmla="*/ 0 h 796338"/>
                                <a:gd name="connsiteX2" fmla="*/ 1592677 w 1592677"/>
                                <a:gd name="connsiteY2" fmla="*/ 796338 h 796338"/>
                                <a:gd name="connsiteX3" fmla="*/ 0 w 1592677"/>
                                <a:gd name="connsiteY3" fmla="*/ 796338 h 796338"/>
                                <a:gd name="connsiteX4" fmla="*/ 0 w 1592677"/>
                                <a:gd name="connsiteY4" fmla="*/ 0 h 7963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92677" h="796338">
                                  <a:moveTo>
                                    <a:pt x="0" y="0"/>
                                  </a:moveTo>
                                  <a:lnTo>
                                    <a:pt x="1592677" y="0"/>
                                  </a:lnTo>
                                  <a:lnTo>
                                    <a:pt x="1592677" y="796338"/>
                                  </a:lnTo>
                                  <a:lnTo>
                                    <a:pt x="0" y="796338"/>
                                  </a:lnTo>
                                  <a:lnTo>
                                    <a:pt x="0" y="0"/>
                                  </a:lnTo>
                                  <a:close/>
                                </a:path>
                              </a:pathLst>
                            </a:custGeom>
                            <a:solidFill>
                              <a:srgbClr val="51626F"/>
                            </a:solidFill>
                            <a:ln w="25400" cap="flat" cmpd="sng" algn="ctr">
                              <a:solidFill>
                                <a:sysClr val="window" lastClr="FFFFFF">
                                  <a:hueOff val="0"/>
                                  <a:satOff val="0"/>
                                  <a:lumOff val="0"/>
                                  <a:alphaOff val="0"/>
                                </a:sysClr>
                              </a:solidFill>
                              <a:prstDash val="solid"/>
                            </a:ln>
                            <a:effectLst/>
                          </wps:spPr>
                          <wps:txbx>
                            <w:txbxContent>
                              <w:p w14:paraId="45AA7032" w14:textId="77777777" w:rsidR="00944739" w:rsidRPr="00CA5055" w:rsidRDefault="00944739" w:rsidP="00D33150">
                                <w:pPr>
                                  <w:pStyle w:val="ab"/>
                                  <w:spacing w:before="0" w:beforeAutospacing="0" w:after="101" w:afterAutospacing="0" w:line="216" w:lineRule="auto"/>
                                  <w:jc w:val="center"/>
                                  <w:rPr>
                                    <w:rFonts w:asciiTheme="minorHAnsi" w:hAnsiTheme="minorHAnsi" w:cstheme="minorHAnsi"/>
                                  </w:rPr>
                                </w:pPr>
                                <w:r w:rsidRPr="00CA5055">
                                  <w:rPr>
                                    <w:rFonts w:asciiTheme="minorHAnsi" w:hAnsiTheme="minorHAnsi" w:cstheme="minorHAnsi"/>
                                    <w:color w:val="FFFFFF"/>
                                    <w:kern w:val="24"/>
                                  </w:rPr>
                                  <w:t>Требования по кредитному рейтингу</w:t>
                                </w:r>
                                <w:r w:rsidRPr="00CA5055">
                                  <w:rPr>
                                    <w:rFonts w:asciiTheme="minorHAnsi" w:hAnsiTheme="minorHAnsi" w:cstheme="minorHAnsi"/>
                                    <w:color w:val="FFFFFF"/>
                                    <w:kern w:val="24"/>
                                    <w:lang w:val="en-US"/>
                                  </w:rPr>
                                  <w:t xml:space="preserve"> </w:t>
                                </w:r>
                              </w:p>
                            </w:txbxContent>
                          </wps:txbx>
                          <wps:bodyPr spcFirstLastPara="0" vert="horz" wrap="square" lIns="8255" tIns="0" rIns="8255" bIns="0" numCol="1" spcCol="1270" anchor="ctr" anchorCtr="0">
                            <a:noAutofit/>
                          </wps:bodyPr>
                        </wps:wsp>
                        <wps:wsp>
                          <wps:cNvPr id="73" name="Прямоугольник 73"/>
                          <wps:cNvSpPr/>
                          <wps:spPr>
                            <a:xfrm>
                              <a:off x="14019" y="1136932"/>
                              <a:ext cx="2364604" cy="504000"/>
                            </a:xfrm>
                            <a:prstGeom prst="rect">
                              <a:avLst/>
                            </a:prstGeom>
                            <a:solidFill>
                              <a:srgbClr val="51626F">
                                <a:lumMod val="40000"/>
                                <a:lumOff val="60000"/>
                              </a:srgbClr>
                            </a:solidFill>
                            <a:ln w="25400" cap="flat" cmpd="sng" algn="ctr">
                              <a:noFill/>
                              <a:prstDash val="solid"/>
                            </a:ln>
                            <a:effectLst/>
                          </wps:spPr>
                          <wps:txbx>
                            <w:txbxContent>
                              <w:p w14:paraId="0B7C1D23"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МБК / конверсия / СВОП</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74" name="Прямоугольник 74"/>
                          <wps:cNvSpPr/>
                          <wps:spPr>
                            <a:xfrm>
                              <a:off x="2479066" y="559398"/>
                              <a:ext cx="1771765" cy="504000"/>
                            </a:xfrm>
                            <a:prstGeom prst="rect">
                              <a:avLst/>
                            </a:prstGeom>
                            <a:solidFill>
                              <a:srgbClr val="51626F">
                                <a:lumMod val="20000"/>
                                <a:lumOff val="80000"/>
                              </a:srgbClr>
                            </a:solidFill>
                            <a:ln w="12700" cap="flat" cmpd="sng" algn="ctr">
                              <a:noFill/>
                              <a:prstDash val="solid"/>
                            </a:ln>
                            <a:effectLst/>
                          </wps:spPr>
                          <wps:txbx>
                            <w:txbxContent>
                              <w:p w14:paraId="6449ADFF"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Резиденты РФ</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75" name="Прямоугольник 75"/>
                          <wps:cNvSpPr/>
                          <wps:spPr>
                            <a:xfrm>
                              <a:off x="4351274" y="554226"/>
                              <a:ext cx="1771765" cy="504000"/>
                            </a:xfrm>
                            <a:prstGeom prst="rect">
                              <a:avLst/>
                            </a:prstGeom>
                            <a:solidFill>
                              <a:srgbClr val="51626F">
                                <a:lumMod val="20000"/>
                                <a:lumOff val="80000"/>
                              </a:srgbClr>
                            </a:solidFill>
                            <a:ln w="12700" cap="flat" cmpd="sng" algn="ctr">
                              <a:noFill/>
                              <a:prstDash val="solid"/>
                            </a:ln>
                            <a:effectLst/>
                          </wps:spPr>
                          <wps:txbx>
                            <w:txbxContent>
                              <w:p w14:paraId="48444BFB"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Нерезиденты РФ</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76" name="Прямоугольник 76"/>
                          <wps:cNvSpPr/>
                          <wps:spPr>
                            <a:xfrm>
                              <a:off x="14019" y="1722018"/>
                              <a:ext cx="2364604" cy="504000"/>
                            </a:xfrm>
                            <a:prstGeom prst="rect">
                              <a:avLst/>
                            </a:prstGeom>
                            <a:solidFill>
                              <a:srgbClr val="51626F">
                                <a:lumMod val="40000"/>
                                <a:lumOff val="60000"/>
                              </a:srgbClr>
                            </a:solidFill>
                            <a:ln w="25400" cap="flat" cmpd="sng" algn="ctr">
                              <a:noFill/>
                              <a:prstDash val="solid"/>
                            </a:ln>
                            <a:effectLst/>
                          </wps:spPr>
                          <wps:txbx>
                            <w:txbxContent>
                              <w:p w14:paraId="193008AA"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Корпоративные и субфедеральные облигации</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77" name="Прямоугольник 77"/>
                          <wps:cNvSpPr/>
                          <wps:spPr>
                            <a:xfrm>
                              <a:off x="5470" y="2294265"/>
                              <a:ext cx="2364604" cy="504000"/>
                            </a:xfrm>
                            <a:prstGeom prst="rect">
                              <a:avLst/>
                            </a:prstGeom>
                            <a:solidFill>
                              <a:srgbClr val="51626F">
                                <a:lumMod val="40000"/>
                                <a:lumOff val="60000"/>
                              </a:srgbClr>
                            </a:solidFill>
                            <a:ln w="25400" cap="flat" cmpd="sng" algn="ctr">
                              <a:noFill/>
                              <a:prstDash val="solid"/>
                            </a:ln>
                            <a:effectLst/>
                          </wps:spPr>
                          <wps:txbx>
                            <w:txbxContent>
                              <w:p w14:paraId="576E6E66"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Государственные облигации</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78" name="Прямоугольник 78"/>
                          <wps:cNvSpPr/>
                          <wps:spPr>
                            <a:xfrm>
                              <a:off x="2479065" y="3466327"/>
                              <a:ext cx="925266" cy="504000"/>
                            </a:xfrm>
                            <a:prstGeom prst="rect">
                              <a:avLst/>
                            </a:prstGeom>
                            <a:solidFill>
                              <a:srgbClr val="51626F">
                                <a:lumMod val="20000"/>
                                <a:lumOff val="80000"/>
                              </a:srgbClr>
                            </a:solidFill>
                            <a:ln w="12700" cap="flat" cmpd="sng" algn="ctr">
                              <a:noFill/>
                              <a:prstDash val="solid"/>
                            </a:ln>
                            <a:effectLst/>
                          </wps:spPr>
                          <wps:txbx>
                            <w:txbxContent>
                              <w:p w14:paraId="61EA8904"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АКРА</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79" name="Прямоугольник 79"/>
                          <wps:cNvSpPr/>
                          <wps:spPr>
                            <a:xfrm>
                              <a:off x="3454250" y="3466327"/>
                              <a:ext cx="811167" cy="504000"/>
                            </a:xfrm>
                            <a:prstGeom prst="rect">
                              <a:avLst/>
                            </a:prstGeom>
                            <a:solidFill>
                              <a:srgbClr val="51626F">
                                <a:lumMod val="20000"/>
                                <a:lumOff val="80000"/>
                              </a:srgbClr>
                            </a:solidFill>
                            <a:ln w="12700" cap="flat" cmpd="sng" algn="ctr">
                              <a:noFill/>
                              <a:prstDash val="solid"/>
                            </a:ln>
                            <a:effectLst/>
                          </wps:spPr>
                          <wps:txbx>
                            <w:txbxContent>
                              <w:p w14:paraId="2E48DC0E" w14:textId="77777777" w:rsidR="00944739" w:rsidRDefault="00944739" w:rsidP="00D33150">
                                <w:pPr>
                                  <w:pStyle w:val="ab"/>
                                  <w:spacing w:before="0" w:beforeAutospacing="0" w:after="0" w:afterAutospacing="0"/>
                                  <w:jc w:val="center"/>
                                </w:pPr>
                                <w:r>
                                  <w:rPr>
                                    <w:rFonts w:asciiTheme="minorHAnsi" w:hAnsi="Calibri" w:cstheme="minorBidi"/>
                                    <w:color w:val="000000"/>
                                    <w:kern w:val="24"/>
                                    <w:lang w:val="en-US"/>
                                  </w:rPr>
                                  <w:t>RAEX</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0" name="Прямоугольник 80"/>
                          <wps:cNvSpPr/>
                          <wps:spPr>
                            <a:xfrm>
                              <a:off x="4357471" y="3466327"/>
                              <a:ext cx="504000" cy="504000"/>
                            </a:xfrm>
                            <a:prstGeom prst="rect">
                              <a:avLst/>
                            </a:prstGeom>
                            <a:solidFill>
                              <a:srgbClr val="51626F">
                                <a:lumMod val="20000"/>
                                <a:lumOff val="80000"/>
                              </a:srgbClr>
                            </a:solidFill>
                            <a:ln w="12700" cap="flat" cmpd="sng" algn="ctr">
                              <a:noFill/>
                              <a:prstDash val="solid"/>
                            </a:ln>
                            <a:effectLst/>
                          </wps:spPr>
                          <wps:txbx>
                            <w:txbxContent>
                              <w:p w14:paraId="6CFCFDD6" w14:textId="77777777" w:rsidR="00944739" w:rsidRDefault="00944739" w:rsidP="00D33150">
                                <w:pPr>
                                  <w:pStyle w:val="ab"/>
                                  <w:spacing w:before="0" w:beforeAutospacing="0" w:after="0" w:afterAutospacing="0"/>
                                  <w:jc w:val="center"/>
                                </w:pPr>
                                <w:r>
                                  <w:rPr>
                                    <w:rFonts w:asciiTheme="minorHAnsi" w:hAnsi="Calibri" w:cstheme="minorBidi"/>
                                    <w:color w:val="000000"/>
                                    <w:kern w:val="24"/>
                                    <w:lang w:val="en-US"/>
                                  </w:rPr>
                                  <w:t>S&amp;P</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81" name="Прямоугольник 81"/>
                          <wps:cNvSpPr/>
                          <wps:spPr>
                            <a:xfrm>
                              <a:off x="4922194" y="3466327"/>
                              <a:ext cx="504000" cy="504000"/>
                            </a:xfrm>
                            <a:prstGeom prst="rect">
                              <a:avLst/>
                            </a:prstGeom>
                            <a:solidFill>
                              <a:srgbClr val="51626F">
                                <a:lumMod val="20000"/>
                                <a:lumOff val="80000"/>
                              </a:srgbClr>
                            </a:solidFill>
                            <a:ln w="12700" cap="flat" cmpd="sng" algn="ctr">
                              <a:noFill/>
                              <a:prstDash val="solid"/>
                            </a:ln>
                            <a:effectLst/>
                          </wps:spPr>
                          <wps:txbx>
                            <w:txbxContent>
                              <w:p w14:paraId="45D2BB0F" w14:textId="77777777" w:rsidR="00944739" w:rsidRDefault="00944739" w:rsidP="00D33150">
                                <w:pPr>
                                  <w:pStyle w:val="ab"/>
                                  <w:spacing w:before="0" w:beforeAutospacing="0" w:after="0" w:afterAutospacing="0"/>
                                  <w:jc w:val="center"/>
                                </w:pPr>
                                <w:r>
                                  <w:rPr>
                                    <w:rFonts w:asciiTheme="minorHAnsi" w:hAnsi="Calibri" w:cstheme="minorBidi"/>
                                    <w:color w:val="000000"/>
                                    <w:kern w:val="24"/>
                                    <w:lang w:val="en-US"/>
                                  </w:rPr>
                                  <w:t>Fitch</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82" name="Прямоугольник 82"/>
                          <wps:cNvSpPr/>
                          <wps:spPr>
                            <a:xfrm>
                              <a:off x="5486916" y="3466327"/>
                              <a:ext cx="642322" cy="504000"/>
                            </a:xfrm>
                            <a:prstGeom prst="rect">
                              <a:avLst/>
                            </a:prstGeom>
                            <a:solidFill>
                              <a:srgbClr val="51626F">
                                <a:lumMod val="20000"/>
                                <a:lumOff val="80000"/>
                              </a:srgbClr>
                            </a:solidFill>
                            <a:ln w="12700" cap="flat" cmpd="sng" algn="ctr">
                              <a:noFill/>
                              <a:prstDash val="solid"/>
                            </a:ln>
                            <a:effectLst/>
                          </wps:spPr>
                          <wps:txbx>
                            <w:txbxContent>
                              <w:p w14:paraId="1A6E9DCE" w14:textId="77777777" w:rsidR="00944739" w:rsidRDefault="00944739" w:rsidP="00D33150">
                                <w:pPr>
                                  <w:pStyle w:val="ab"/>
                                  <w:spacing w:before="0" w:beforeAutospacing="0" w:after="0" w:afterAutospacing="0"/>
                                  <w:jc w:val="center"/>
                                </w:pPr>
                                <w:r>
                                  <w:rPr>
                                    <w:rFonts w:asciiTheme="minorHAnsi" w:hAnsi="Calibri" w:cstheme="minorBidi"/>
                                    <w:color w:val="000000"/>
                                    <w:kern w:val="24"/>
                                    <w:lang w:val="en-US"/>
                                  </w:rPr>
                                  <w:t>Moody’s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3" name="Прямоугольник 83"/>
                          <wps:cNvSpPr/>
                          <wps:spPr>
                            <a:xfrm>
                              <a:off x="2479065" y="1718352"/>
                              <a:ext cx="913487" cy="504000"/>
                            </a:xfrm>
                            <a:prstGeom prst="rect">
                              <a:avLst/>
                            </a:prstGeom>
                            <a:solidFill>
                              <a:sysClr val="window" lastClr="FFFFFF"/>
                            </a:solidFill>
                            <a:ln w="12700" cap="flat" cmpd="sng" algn="ctr">
                              <a:solidFill>
                                <a:srgbClr val="51626F"/>
                              </a:solidFill>
                              <a:prstDash val="solid"/>
                            </a:ln>
                            <a:effectLst/>
                          </wps:spPr>
                          <wps:txbx>
                            <w:txbxContent>
                              <w:p w14:paraId="01B9A273"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4999D59E"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A-(RU)</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4" name="Прямоугольник 84"/>
                          <wps:cNvSpPr/>
                          <wps:spPr>
                            <a:xfrm>
                              <a:off x="3451041" y="1714440"/>
                              <a:ext cx="806482" cy="504000"/>
                            </a:xfrm>
                            <a:prstGeom prst="rect">
                              <a:avLst/>
                            </a:prstGeom>
                            <a:solidFill>
                              <a:sysClr val="window" lastClr="FFFFFF"/>
                            </a:solidFill>
                            <a:ln w="12700" cap="flat" cmpd="sng" algn="ctr">
                              <a:solidFill>
                                <a:srgbClr val="51626F"/>
                              </a:solidFill>
                              <a:prstDash val="solid"/>
                            </a:ln>
                            <a:effectLst/>
                          </wps:spPr>
                          <wps:txbx>
                            <w:txbxContent>
                              <w:p w14:paraId="2909E4E0"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не менее </w:t>
                                </w:r>
                                <w:r>
                                  <w:rPr>
                                    <w:rFonts w:asciiTheme="minorHAnsi" w:hAnsi="Calibri" w:cstheme="minorBidi"/>
                                    <w:b/>
                                    <w:bCs/>
                                    <w:color w:val="C00000"/>
                                    <w:kern w:val="24"/>
                                    <w:sz w:val="20"/>
                                    <w:szCs w:val="20"/>
                                    <w:lang w:val="en-US"/>
                                  </w:rPr>
                                  <w:t>ruA-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5" name="Прямоугольник 85"/>
                          <wps:cNvSpPr/>
                          <wps:spPr>
                            <a:xfrm>
                              <a:off x="2472299" y="2286769"/>
                              <a:ext cx="1790660" cy="504000"/>
                            </a:xfrm>
                            <a:prstGeom prst="rect">
                              <a:avLst/>
                            </a:prstGeom>
                            <a:solidFill>
                              <a:sysClr val="window" lastClr="FFFFFF"/>
                            </a:solidFill>
                            <a:ln w="12700" cap="flat" cmpd="sng" algn="ctr">
                              <a:solidFill>
                                <a:srgbClr val="51626F"/>
                              </a:solidFill>
                              <a:prstDash val="dash"/>
                            </a:ln>
                            <a:effectLst/>
                          </wps:spPr>
                          <wps:txbx>
                            <w:txbxContent>
                              <w:p w14:paraId="7B969014" w14:textId="77777777" w:rsidR="00944739" w:rsidRDefault="00944739" w:rsidP="00D33150">
                                <w:pPr>
                                  <w:pStyle w:val="ab"/>
                                  <w:spacing w:before="0" w:beforeAutospacing="0" w:after="0" w:afterAutospacing="0"/>
                                  <w:jc w:val="center"/>
                                </w:pPr>
                                <w:r>
                                  <w:rPr>
                                    <w:rFonts w:asciiTheme="minorHAnsi" w:hAnsi="Calibri" w:cstheme="minorBidi"/>
                                    <w:color w:val="51626F"/>
                                    <w:kern w:val="24"/>
                                    <w:sz w:val="20"/>
                                    <w:szCs w:val="20"/>
                                  </w:rPr>
                                  <w:t>не устанавливаются ограничения</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6" name="Прямоугольник 86"/>
                          <wps:cNvSpPr/>
                          <wps:spPr>
                            <a:xfrm>
                              <a:off x="4351272" y="1718352"/>
                              <a:ext cx="1068721" cy="504000"/>
                            </a:xfrm>
                            <a:prstGeom prst="rect">
                              <a:avLst/>
                            </a:prstGeom>
                            <a:solidFill>
                              <a:sysClr val="window" lastClr="FFFFFF"/>
                            </a:solidFill>
                            <a:ln w="12700" cap="flat" cmpd="sng" algn="ctr">
                              <a:solidFill>
                                <a:srgbClr val="51626F"/>
                              </a:solidFill>
                              <a:prstDash val="solid"/>
                            </a:ln>
                            <a:effectLst/>
                          </wps:spPr>
                          <wps:txbx>
                            <w:txbxContent>
                              <w:p w14:paraId="71667F4E"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042EB918"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BB+</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7" name="Прямоугольник 87"/>
                          <wps:cNvSpPr/>
                          <wps:spPr>
                            <a:xfrm>
                              <a:off x="5475282" y="1709518"/>
                              <a:ext cx="654447" cy="504000"/>
                            </a:xfrm>
                            <a:prstGeom prst="rect">
                              <a:avLst/>
                            </a:prstGeom>
                            <a:solidFill>
                              <a:sysClr val="window" lastClr="FFFFFF"/>
                            </a:solidFill>
                            <a:ln w="12700" cap="flat" cmpd="sng" algn="ctr">
                              <a:solidFill>
                                <a:srgbClr val="51626F"/>
                              </a:solidFill>
                              <a:prstDash val="solid"/>
                            </a:ln>
                            <a:effectLst/>
                          </wps:spPr>
                          <wps:txbx>
                            <w:txbxContent>
                              <w:p w14:paraId="27A94291"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не менее </w:t>
                                </w:r>
                                <w:r>
                                  <w:rPr>
                                    <w:rFonts w:asciiTheme="minorHAnsi" w:hAnsi="Calibri" w:cstheme="minorBidi"/>
                                    <w:b/>
                                    <w:bCs/>
                                    <w:color w:val="C8102E"/>
                                    <w:kern w:val="24"/>
                                    <w:sz w:val="20"/>
                                    <w:szCs w:val="20"/>
                                    <w:lang w:val="en-US"/>
                                  </w:rPr>
                                  <w:t>Ba1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8" name="Прямоугольник 88"/>
                          <wps:cNvSpPr/>
                          <wps:spPr>
                            <a:xfrm>
                              <a:off x="4351272" y="2291313"/>
                              <a:ext cx="1068721" cy="504000"/>
                            </a:xfrm>
                            <a:prstGeom prst="rect">
                              <a:avLst/>
                            </a:prstGeom>
                            <a:solidFill>
                              <a:sysClr val="window" lastClr="FFFFFF"/>
                            </a:solidFill>
                            <a:ln w="12700" cap="flat" cmpd="sng" algn="ctr">
                              <a:solidFill>
                                <a:srgbClr val="51626F"/>
                              </a:solidFill>
                              <a:prstDash val="solid"/>
                            </a:ln>
                            <a:effectLst/>
                          </wps:spPr>
                          <wps:txbx>
                            <w:txbxContent>
                              <w:p w14:paraId="6ABB2F82"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2A1A9087"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AA-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9" name="Прямоугольник 89"/>
                          <wps:cNvSpPr/>
                          <wps:spPr>
                            <a:xfrm>
                              <a:off x="5472788" y="2286769"/>
                              <a:ext cx="654447" cy="504000"/>
                            </a:xfrm>
                            <a:prstGeom prst="rect">
                              <a:avLst/>
                            </a:prstGeom>
                            <a:solidFill>
                              <a:sysClr val="window" lastClr="FFFFFF"/>
                            </a:solidFill>
                            <a:ln w="12700" cap="flat" cmpd="sng" algn="ctr">
                              <a:solidFill>
                                <a:srgbClr val="51626F"/>
                              </a:solidFill>
                              <a:prstDash val="solid"/>
                            </a:ln>
                            <a:effectLst/>
                          </wps:spPr>
                          <wps:txbx>
                            <w:txbxContent>
                              <w:p w14:paraId="799B2C2D"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не менее </w:t>
                                </w:r>
                                <w:r>
                                  <w:rPr>
                                    <w:rFonts w:asciiTheme="minorHAnsi" w:hAnsi="Calibri" w:cstheme="minorBidi"/>
                                    <w:b/>
                                    <w:bCs/>
                                    <w:color w:val="C8102E"/>
                                    <w:kern w:val="24"/>
                                    <w:sz w:val="20"/>
                                    <w:szCs w:val="20"/>
                                    <w:lang w:val="en-US"/>
                                  </w:rPr>
                                  <w:t>Aa3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0" name="Прямоугольник 90"/>
                          <wps:cNvSpPr/>
                          <wps:spPr>
                            <a:xfrm>
                              <a:off x="2479065" y="1140334"/>
                              <a:ext cx="913487" cy="504000"/>
                            </a:xfrm>
                            <a:prstGeom prst="rect">
                              <a:avLst/>
                            </a:prstGeom>
                            <a:solidFill>
                              <a:sysClr val="window" lastClr="FFFFFF"/>
                            </a:solidFill>
                            <a:ln w="12700" cap="flat" cmpd="sng" algn="ctr">
                              <a:solidFill>
                                <a:srgbClr val="51626F"/>
                              </a:solidFill>
                              <a:prstDash val="solid"/>
                            </a:ln>
                            <a:effectLst/>
                          </wps:spPr>
                          <wps:txbx>
                            <w:txbxContent>
                              <w:p w14:paraId="3DA866D6"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007DEA3A"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A-(RU)</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1" name="Прямоугольник 91"/>
                          <wps:cNvSpPr/>
                          <wps:spPr>
                            <a:xfrm>
                              <a:off x="3451041" y="1139739"/>
                              <a:ext cx="806482" cy="504000"/>
                            </a:xfrm>
                            <a:prstGeom prst="rect">
                              <a:avLst/>
                            </a:prstGeom>
                            <a:solidFill>
                              <a:sysClr val="window" lastClr="FFFFFF"/>
                            </a:solidFill>
                            <a:ln w="12700" cap="flat" cmpd="sng" algn="ctr">
                              <a:solidFill>
                                <a:srgbClr val="51626F"/>
                              </a:solidFill>
                              <a:prstDash val="solid"/>
                            </a:ln>
                            <a:effectLst/>
                          </wps:spPr>
                          <wps:txbx>
                            <w:txbxContent>
                              <w:p w14:paraId="0AC8B848"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5152557B" w14:textId="77777777" w:rsidR="00944739" w:rsidRDefault="00944739" w:rsidP="00D33150">
                                <w:pPr>
                                  <w:pStyle w:val="ab"/>
                                  <w:spacing w:before="0" w:beforeAutospacing="0" w:after="0" w:afterAutospacing="0"/>
                                  <w:jc w:val="center"/>
                                </w:pPr>
                                <w:r>
                                  <w:rPr>
                                    <w:rFonts w:asciiTheme="minorHAnsi" w:hAnsi="Calibri" w:cstheme="minorBidi"/>
                                    <w:b/>
                                    <w:bCs/>
                                    <w:color w:val="C00000"/>
                                    <w:kern w:val="24"/>
                                    <w:sz w:val="20"/>
                                    <w:szCs w:val="20"/>
                                    <w:lang w:val="en-US"/>
                                  </w:rPr>
                                  <w:t>ruA-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2" name="Прямоугольник 92"/>
                          <wps:cNvSpPr/>
                          <wps:spPr>
                            <a:xfrm>
                              <a:off x="4351272" y="1140334"/>
                              <a:ext cx="1068721" cy="504000"/>
                            </a:xfrm>
                            <a:prstGeom prst="rect">
                              <a:avLst/>
                            </a:prstGeom>
                            <a:solidFill>
                              <a:sysClr val="window" lastClr="FFFFFF"/>
                            </a:solidFill>
                            <a:ln w="12700" cap="flat" cmpd="sng" algn="ctr">
                              <a:solidFill>
                                <a:srgbClr val="51626F"/>
                              </a:solidFill>
                              <a:prstDash val="solid"/>
                            </a:ln>
                            <a:effectLst/>
                          </wps:spPr>
                          <wps:txbx>
                            <w:txbxContent>
                              <w:p w14:paraId="2A038F4A"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659CD75B"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BBB-</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3" name="Прямоугольник 93"/>
                          <wps:cNvSpPr/>
                          <wps:spPr>
                            <a:xfrm>
                              <a:off x="5475282" y="1132198"/>
                              <a:ext cx="654447" cy="504000"/>
                            </a:xfrm>
                            <a:prstGeom prst="rect">
                              <a:avLst/>
                            </a:prstGeom>
                            <a:solidFill>
                              <a:sysClr val="window" lastClr="FFFFFF"/>
                            </a:solidFill>
                            <a:ln w="12700" cap="flat" cmpd="sng" algn="ctr">
                              <a:solidFill>
                                <a:srgbClr val="51626F"/>
                              </a:solidFill>
                              <a:prstDash val="solid"/>
                            </a:ln>
                            <a:effectLst/>
                          </wps:spPr>
                          <wps:txbx>
                            <w:txbxContent>
                              <w:p w14:paraId="62C7AE2B"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не менее </w:t>
                                </w:r>
                                <w:r>
                                  <w:rPr>
                                    <w:rFonts w:asciiTheme="minorHAnsi" w:hAnsi="Calibri" w:cstheme="minorBidi"/>
                                    <w:b/>
                                    <w:bCs/>
                                    <w:color w:val="C8102E"/>
                                    <w:kern w:val="24"/>
                                    <w:sz w:val="20"/>
                                    <w:szCs w:val="20"/>
                                    <w:lang w:val="en-US"/>
                                  </w:rPr>
                                  <w:t>Baa3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4" name="Прямоугольник 94"/>
                          <wps:cNvSpPr/>
                          <wps:spPr>
                            <a:xfrm>
                              <a:off x="5470" y="2867317"/>
                              <a:ext cx="2364604" cy="504000"/>
                            </a:xfrm>
                            <a:prstGeom prst="rect">
                              <a:avLst/>
                            </a:prstGeom>
                            <a:solidFill>
                              <a:srgbClr val="51626F">
                                <a:lumMod val="40000"/>
                                <a:lumOff val="60000"/>
                              </a:srgbClr>
                            </a:solidFill>
                            <a:ln w="25400" cap="flat" cmpd="sng" algn="ctr">
                              <a:noFill/>
                              <a:prstDash val="solid"/>
                            </a:ln>
                            <a:effectLst/>
                          </wps:spPr>
                          <wps:txbx>
                            <w:txbxContent>
                              <w:p w14:paraId="1AFED7DA"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Прямое и обратное РЕПО и прочие инструменты</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95" name="Прямоугольник 95"/>
                          <wps:cNvSpPr/>
                          <wps:spPr>
                            <a:xfrm>
                              <a:off x="2479065" y="2877256"/>
                              <a:ext cx="913487" cy="504000"/>
                            </a:xfrm>
                            <a:prstGeom prst="rect">
                              <a:avLst/>
                            </a:prstGeom>
                            <a:solidFill>
                              <a:sysClr val="window" lastClr="FFFFFF"/>
                            </a:solidFill>
                            <a:ln w="12700" cap="flat" cmpd="sng" algn="ctr">
                              <a:solidFill>
                                <a:srgbClr val="51626F"/>
                              </a:solidFill>
                              <a:prstDash val="solid"/>
                            </a:ln>
                            <a:effectLst/>
                          </wps:spPr>
                          <wps:txbx>
                            <w:txbxContent>
                              <w:p w14:paraId="77E8BBD3"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367A7E45"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A-(RU)</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6" name="Прямоугольник 96"/>
                          <wps:cNvSpPr/>
                          <wps:spPr>
                            <a:xfrm>
                              <a:off x="3461347" y="2876181"/>
                              <a:ext cx="806482" cy="504000"/>
                            </a:xfrm>
                            <a:prstGeom prst="rect">
                              <a:avLst/>
                            </a:prstGeom>
                            <a:solidFill>
                              <a:sysClr val="window" lastClr="FFFFFF"/>
                            </a:solidFill>
                            <a:ln w="12700" cap="flat" cmpd="sng" algn="ctr">
                              <a:solidFill>
                                <a:srgbClr val="51626F"/>
                              </a:solidFill>
                              <a:prstDash val="solid"/>
                            </a:ln>
                            <a:effectLst/>
                          </wps:spPr>
                          <wps:txbx>
                            <w:txbxContent>
                              <w:p w14:paraId="1AFA7370"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не менее </w:t>
                                </w:r>
                                <w:r>
                                  <w:rPr>
                                    <w:rFonts w:asciiTheme="minorHAnsi" w:hAnsi="Calibri" w:cstheme="minorBidi"/>
                                    <w:b/>
                                    <w:bCs/>
                                    <w:color w:val="C00000"/>
                                    <w:kern w:val="24"/>
                                    <w:sz w:val="20"/>
                                    <w:szCs w:val="20"/>
                                    <w:lang w:val="en-US"/>
                                  </w:rPr>
                                  <w:t>ruA-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7" name="Прямоугольник 97"/>
                          <wps:cNvSpPr/>
                          <wps:spPr>
                            <a:xfrm>
                              <a:off x="4351272" y="2882432"/>
                              <a:ext cx="1068721" cy="504000"/>
                            </a:xfrm>
                            <a:prstGeom prst="rect">
                              <a:avLst/>
                            </a:prstGeom>
                            <a:solidFill>
                              <a:sysClr val="window" lastClr="FFFFFF"/>
                            </a:solidFill>
                            <a:ln w="12700" cap="flat" cmpd="sng" algn="ctr">
                              <a:solidFill>
                                <a:srgbClr val="51626F"/>
                              </a:solidFill>
                              <a:prstDash val="solid"/>
                            </a:ln>
                            <a:effectLst/>
                          </wps:spPr>
                          <wps:txbx>
                            <w:txbxContent>
                              <w:p w14:paraId="3AF28EF1"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06629795"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BB+</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8" name="Прямоугольник 98"/>
                          <wps:cNvSpPr/>
                          <wps:spPr>
                            <a:xfrm>
                              <a:off x="5478482" y="2879418"/>
                              <a:ext cx="654447" cy="504000"/>
                            </a:xfrm>
                            <a:prstGeom prst="rect">
                              <a:avLst/>
                            </a:prstGeom>
                            <a:solidFill>
                              <a:sysClr val="window" lastClr="FFFFFF"/>
                            </a:solidFill>
                            <a:ln w="12700" cap="flat" cmpd="sng" algn="ctr">
                              <a:solidFill>
                                <a:srgbClr val="51626F"/>
                              </a:solidFill>
                              <a:prstDash val="solid"/>
                            </a:ln>
                            <a:effectLst/>
                          </wps:spPr>
                          <wps:txbx>
                            <w:txbxContent>
                              <w:p w14:paraId="229CA586"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не менее </w:t>
                                </w:r>
                                <w:r>
                                  <w:rPr>
                                    <w:rFonts w:asciiTheme="minorHAnsi" w:hAnsi="Calibri" w:cstheme="minorBidi"/>
                                    <w:b/>
                                    <w:bCs/>
                                    <w:color w:val="C8102E"/>
                                    <w:kern w:val="24"/>
                                    <w:sz w:val="20"/>
                                    <w:szCs w:val="20"/>
                                    <w:lang w:val="en-US"/>
                                  </w:rPr>
                                  <w:t>Ba1</w:t>
                                </w:r>
                              </w:p>
                            </w:txbxContent>
                          </wps:txbx>
                          <wps:bodyPr rot="0" spcFirstLastPara="0" vert="horz" wrap="square" lIns="0" tIns="0" rIns="0" bIns="0" numCol="1" spcCol="0" rtlCol="0" fromWordArt="0" anchor="ctr" anchorCtr="0" forceAA="0" compatLnSpc="1">
                            <a:prstTxWarp prst="textNoShape">
                              <a:avLst/>
                            </a:prstTxWarp>
                            <a:noAutofit/>
                          </wps:bodyPr>
                        </wps:wsp>
                      </wpg:grpSp>
                      <wpg:grpSp>
                        <wpg:cNvPr id="99" name="Группа 99"/>
                        <wpg:cNvGrpSpPr/>
                        <wpg:grpSpPr>
                          <a:xfrm>
                            <a:off x="0" y="4120156"/>
                            <a:ext cx="4261630" cy="505075"/>
                            <a:chOff x="0" y="4120156"/>
                            <a:chExt cx="4261630" cy="505075"/>
                          </a:xfrm>
                        </wpg:grpSpPr>
                        <wps:wsp>
                          <wps:cNvPr id="100" name="Полилиния 100"/>
                          <wps:cNvSpPr/>
                          <wps:spPr>
                            <a:xfrm>
                              <a:off x="0" y="4121218"/>
                              <a:ext cx="2373153" cy="502938"/>
                            </a:xfrm>
                            <a:custGeom>
                              <a:avLst/>
                              <a:gdLst>
                                <a:gd name="connsiteX0" fmla="*/ 0 w 1592677"/>
                                <a:gd name="connsiteY0" fmla="*/ 0 h 853500"/>
                                <a:gd name="connsiteX1" fmla="*/ 1592677 w 1592677"/>
                                <a:gd name="connsiteY1" fmla="*/ 0 h 853500"/>
                                <a:gd name="connsiteX2" fmla="*/ 1592677 w 1592677"/>
                                <a:gd name="connsiteY2" fmla="*/ 853500 h 853500"/>
                                <a:gd name="connsiteX3" fmla="*/ 0 w 1592677"/>
                                <a:gd name="connsiteY3" fmla="*/ 853500 h 853500"/>
                                <a:gd name="connsiteX4" fmla="*/ 0 w 1592677"/>
                                <a:gd name="connsiteY4" fmla="*/ 0 h 853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92677" h="853500">
                                  <a:moveTo>
                                    <a:pt x="0" y="0"/>
                                  </a:moveTo>
                                  <a:lnTo>
                                    <a:pt x="1592677" y="0"/>
                                  </a:lnTo>
                                  <a:lnTo>
                                    <a:pt x="1592677" y="853500"/>
                                  </a:lnTo>
                                  <a:lnTo>
                                    <a:pt x="0" y="853500"/>
                                  </a:lnTo>
                                  <a:lnTo>
                                    <a:pt x="0" y="0"/>
                                  </a:lnTo>
                                  <a:close/>
                                </a:path>
                              </a:pathLst>
                            </a:custGeom>
                            <a:solidFill>
                              <a:srgbClr val="C8102E"/>
                            </a:solidFill>
                            <a:ln w="25400" cap="flat" cmpd="sng" algn="ctr">
                              <a:noFill/>
                              <a:prstDash val="solid"/>
                            </a:ln>
                            <a:effectLst/>
                          </wps:spPr>
                          <wps:txbx>
                            <w:txbxContent>
                              <w:p w14:paraId="419F6386" w14:textId="77777777" w:rsidR="00944739" w:rsidRDefault="00944739" w:rsidP="00D33150">
                                <w:pPr>
                                  <w:pStyle w:val="ab"/>
                                  <w:spacing w:before="0" w:beforeAutospacing="0" w:after="101" w:afterAutospacing="0" w:line="216" w:lineRule="auto"/>
                                  <w:jc w:val="center"/>
                                </w:pPr>
                                <w:r>
                                  <w:rPr>
                                    <w:rFonts w:asciiTheme="minorHAnsi" w:hAnsi="Calibri" w:cs="Arial"/>
                                    <w:color w:val="FFFFFF"/>
                                    <w:kern w:val="24"/>
                                  </w:rPr>
                                  <w:t>Размещение выделенного капитала</w:t>
                                </w:r>
                              </w:p>
                            </w:txbxContent>
                          </wps:txbx>
                          <wps:bodyPr spcFirstLastPara="0" vert="horz" wrap="square" lIns="8255" tIns="0" rIns="8255" bIns="0" numCol="1" spcCol="1270" anchor="ctr" anchorCtr="0">
                            <a:noAutofit/>
                          </wps:bodyPr>
                        </wps:wsp>
                        <wps:wsp>
                          <wps:cNvPr id="101" name="Прямоугольник 101"/>
                          <wps:cNvSpPr/>
                          <wps:spPr>
                            <a:xfrm>
                              <a:off x="2472867" y="4121231"/>
                              <a:ext cx="919686" cy="504000"/>
                            </a:xfrm>
                            <a:prstGeom prst="rect">
                              <a:avLst/>
                            </a:prstGeom>
                            <a:solidFill>
                              <a:sysClr val="window" lastClr="FFFFFF"/>
                            </a:solidFill>
                            <a:ln w="12700" cap="flat" cmpd="sng" algn="ctr">
                              <a:solidFill>
                                <a:srgbClr val="51626F"/>
                              </a:solidFill>
                              <a:prstDash val="solid"/>
                            </a:ln>
                            <a:effectLst/>
                          </wps:spPr>
                          <wps:txbx>
                            <w:txbxContent>
                              <w:p w14:paraId="66510BE3"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4E41EA0B"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AAA(RU)</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2" name="Прямоугольник 102"/>
                          <wps:cNvSpPr/>
                          <wps:spPr>
                            <a:xfrm>
                              <a:off x="3451041" y="4120156"/>
                              <a:ext cx="810589" cy="504000"/>
                            </a:xfrm>
                            <a:prstGeom prst="rect">
                              <a:avLst/>
                            </a:prstGeom>
                            <a:solidFill>
                              <a:sysClr val="window" lastClr="FFFFFF"/>
                            </a:solidFill>
                            <a:ln w="12700" cap="flat" cmpd="sng" algn="ctr">
                              <a:solidFill>
                                <a:srgbClr val="51626F"/>
                              </a:solidFill>
                              <a:prstDash val="solid"/>
                            </a:ln>
                            <a:effectLst/>
                          </wps:spPr>
                          <wps:txbx>
                            <w:txbxContent>
                              <w:p w14:paraId="45E23687"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не менее </w:t>
                                </w:r>
                                <w:r>
                                  <w:rPr>
                                    <w:rFonts w:asciiTheme="minorHAnsi" w:hAnsi="Calibri" w:cstheme="minorBidi"/>
                                    <w:b/>
                                    <w:bCs/>
                                    <w:color w:val="C00000"/>
                                    <w:kern w:val="24"/>
                                    <w:sz w:val="20"/>
                                    <w:szCs w:val="20"/>
                                    <w:lang w:val="en-US"/>
                                  </w:rPr>
                                  <w:t>ruAAA</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103" name="Прямоугольник 103"/>
                        <wps:cNvSpPr/>
                        <wps:spPr>
                          <a:xfrm>
                            <a:off x="4356669" y="4710302"/>
                            <a:ext cx="504000" cy="504000"/>
                          </a:xfrm>
                          <a:prstGeom prst="rect">
                            <a:avLst/>
                          </a:prstGeom>
                          <a:solidFill>
                            <a:srgbClr val="51626F">
                              <a:lumMod val="20000"/>
                              <a:lumOff val="80000"/>
                            </a:srgbClr>
                          </a:solidFill>
                          <a:ln w="12700" cap="flat" cmpd="sng" algn="ctr">
                            <a:noFill/>
                            <a:prstDash val="solid"/>
                          </a:ln>
                          <a:effectLst/>
                        </wps:spPr>
                        <wps:txbx>
                          <w:txbxContent>
                            <w:p w14:paraId="0BB3621C" w14:textId="77777777" w:rsidR="00944739" w:rsidRDefault="00944739" w:rsidP="00D33150">
                              <w:pPr>
                                <w:pStyle w:val="ab"/>
                                <w:spacing w:before="0" w:beforeAutospacing="0" w:after="0" w:afterAutospacing="0"/>
                                <w:jc w:val="center"/>
                              </w:pPr>
                              <w:r>
                                <w:rPr>
                                  <w:rFonts w:asciiTheme="minorHAnsi" w:hAnsi="Calibri" w:cstheme="minorBidi"/>
                                  <w:color w:val="000000"/>
                                  <w:kern w:val="24"/>
                                  <w:lang w:val="en-US"/>
                                </w:rPr>
                                <w:t>S&amp;P</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04" name="Прямоугольник 104"/>
                        <wps:cNvSpPr/>
                        <wps:spPr>
                          <a:xfrm>
                            <a:off x="4925130" y="4710302"/>
                            <a:ext cx="504000" cy="504000"/>
                          </a:xfrm>
                          <a:prstGeom prst="rect">
                            <a:avLst/>
                          </a:prstGeom>
                          <a:solidFill>
                            <a:srgbClr val="51626F">
                              <a:lumMod val="20000"/>
                              <a:lumOff val="80000"/>
                            </a:srgbClr>
                          </a:solidFill>
                          <a:ln w="12700" cap="flat" cmpd="sng" algn="ctr">
                            <a:noFill/>
                            <a:prstDash val="solid"/>
                          </a:ln>
                          <a:effectLst/>
                        </wps:spPr>
                        <wps:txbx>
                          <w:txbxContent>
                            <w:p w14:paraId="315E9F1F" w14:textId="77777777" w:rsidR="00944739" w:rsidRDefault="00944739" w:rsidP="00D33150">
                              <w:pPr>
                                <w:pStyle w:val="ab"/>
                                <w:spacing w:before="0" w:beforeAutospacing="0" w:after="0" w:afterAutospacing="0"/>
                                <w:jc w:val="center"/>
                              </w:pPr>
                              <w:r>
                                <w:rPr>
                                  <w:rFonts w:asciiTheme="minorHAnsi" w:hAnsi="Calibri" w:cstheme="minorBidi"/>
                                  <w:color w:val="000000"/>
                                  <w:kern w:val="24"/>
                                  <w:lang w:val="en-US"/>
                                </w:rPr>
                                <w:t>Fitch</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05" name="Прямоугольник 105"/>
                        <wps:cNvSpPr/>
                        <wps:spPr>
                          <a:xfrm>
                            <a:off x="5487736" y="4710302"/>
                            <a:ext cx="655852" cy="504000"/>
                          </a:xfrm>
                          <a:prstGeom prst="rect">
                            <a:avLst/>
                          </a:prstGeom>
                          <a:solidFill>
                            <a:srgbClr val="51626F">
                              <a:lumMod val="20000"/>
                              <a:lumOff val="80000"/>
                            </a:srgbClr>
                          </a:solidFill>
                          <a:ln w="12700" cap="flat" cmpd="sng" algn="ctr">
                            <a:noFill/>
                            <a:prstDash val="solid"/>
                          </a:ln>
                          <a:effectLst/>
                        </wps:spPr>
                        <wps:txbx>
                          <w:txbxContent>
                            <w:p w14:paraId="48023BFB" w14:textId="77777777" w:rsidR="00944739" w:rsidRDefault="00944739" w:rsidP="00D33150">
                              <w:pPr>
                                <w:pStyle w:val="ab"/>
                                <w:spacing w:before="0" w:beforeAutospacing="0" w:after="0" w:afterAutospacing="0"/>
                                <w:jc w:val="center"/>
                              </w:pPr>
                              <w:r>
                                <w:rPr>
                                  <w:rFonts w:asciiTheme="minorHAnsi" w:hAnsi="Calibri" w:cstheme="minorBidi"/>
                                  <w:color w:val="000000"/>
                                  <w:kern w:val="24"/>
                                  <w:lang w:val="en-US"/>
                                </w:rPr>
                                <w:t>Moody’s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6" name="Прямоугольник 106"/>
                        <wps:cNvSpPr/>
                        <wps:spPr>
                          <a:xfrm>
                            <a:off x="4357236" y="4121231"/>
                            <a:ext cx="1061955" cy="504000"/>
                          </a:xfrm>
                          <a:prstGeom prst="rect">
                            <a:avLst/>
                          </a:prstGeom>
                          <a:solidFill>
                            <a:sysClr val="window" lastClr="FFFFFF"/>
                          </a:solidFill>
                          <a:ln w="12700" cap="flat" cmpd="sng" algn="ctr">
                            <a:solidFill>
                              <a:srgbClr val="51626F"/>
                            </a:solidFill>
                            <a:prstDash val="solid"/>
                          </a:ln>
                          <a:effectLst/>
                        </wps:spPr>
                        <wps:txbx>
                          <w:txbxContent>
                            <w:p w14:paraId="2E6D8514"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3A9710EE"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BBB-</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7" name="Прямоугольник 107"/>
                        <wps:cNvSpPr/>
                        <wps:spPr>
                          <a:xfrm>
                            <a:off x="5493936" y="4120156"/>
                            <a:ext cx="652064" cy="504000"/>
                          </a:xfrm>
                          <a:prstGeom prst="rect">
                            <a:avLst/>
                          </a:prstGeom>
                          <a:solidFill>
                            <a:sysClr val="window" lastClr="FFFFFF"/>
                          </a:solidFill>
                          <a:ln w="12700" cap="flat" cmpd="sng" algn="ctr">
                            <a:solidFill>
                              <a:srgbClr val="51626F"/>
                            </a:solidFill>
                            <a:prstDash val="solid"/>
                          </a:ln>
                          <a:effectLst/>
                        </wps:spPr>
                        <wps:txbx>
                          <w:txbxContent>
                            <w:p w14:paraId="25548FD0"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не менее </w:t>
                              </w:r>
                              <w:r>
                                <w:rPr>
                                  <w:rFonts w:asciiTheme="minorHAnsi" w:hAnsi="Calibri" w:cstheme="minorBidi"/>
                                  <w:b/>
                                  <w:bCs/>
                                  <w:color w:val="C8102E"/>
                                  <w:kern w:val="24"/>
                                  <w:sz w:val="20"/>
                                  <w:szCs w:val="20"/>
                                  <w:lang w:val="en-US"/>
                                </w:rPr>
                                <w:t>Baa3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8" name="Прямоугольник 108"/>
                        <wps:cNvSpPr/>
                        <wps:spPr>
                          <a:xfrm>
                            <a:off x="2469257" y="4699671"/>
                            <a:ext cx="925266" cy="504000"/>
                          </a:xfrm>
                          <a:prstGeom prst="rect">
                            <a:avLst/>
                          </a:prstGeom>
                          <a:solidFill>
                            <a:srgbClr val="51626F">
                              <a:lumMod val="20000"/>
                              <a:lumOff val="80000"/>
                            </a:srgbClr>
                          </a:solidFill>
                          <a:ln w="12700" cap="flat" cmpd="sng" algn="ctr">
                            <a:noFill/>
                            <a:prstDash val="solid"/>
                          </a:ln>
                          <a:effectLst/>
                        </wps:spPr>
                        <wps:txbx>
                          <w:txbxContent>
                            <w:p w14:paraId="6D73DFC1"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АКРА</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09" name="Прямоугольник 109"/>
                        <wps:cNvSpPr/>
                        <wps:spPr>
                          <a:xfrm>
                            <a:off x="3451041" y="4699671"/>
                            <a:ext cx="804568" cy="504000"/>
                          </a:xfrm>
                          <a:prstGeom prst="rect">
                            <a:avLst/>
                          </a:prstGeom>
                          <a:solidFill>
                            <a:srgbClr val="51626F">
                              <a:lumMod val="20000"/>
                              <a:lumOff val="80000"/>
                            </a:srgbClr>
                          </a:solidFill>
                          <a:ln w="12700" cap="flat" cmpd="sng" algn="ctr">
                            <a:noFill/>
                            <a:prstDash val="solid"/>
                          </a:ln>
                          <a:effectLst/>
                        </wps:spPr>
                        <wps:txbx>
                          <w:txbxContent>
                            <w:p w14:paraId="0F96E123" w14:textId="77777777" w:rsidR="00944739" w:rsidRDefault="00944739" w:rsidP="00D33150">
                              <w:pPr>
                                <w:pStyle w:val="ab"/>
                                <w:spacing w:before="0" w:beforeAutospacing="0" w:after="0" w:afterAutospacing="0"/>
                                <w:jc w:val="center"/>
                              </w:pPr>
                              <w:r>
                                <w:rPr>
                                  <w:rFonts w:asciiTheme="minorHAnsi" w:hAnsi="Calibri" w:cstheme="minorBidi"/>
                                  <w:color w:val="000000"/>
                                  <w:kern w:val="24"/>
                                  <w:lang w:val="en-US"/>
                                </w:rPr>
                                <w:t>RAEX</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012E95B4" id="Группа 6" o:spid="_x0000_s1071" style="width:438pt;height:319.5pt;mso-position-horizontal-relative:char;mso-position-vertical-relative:line" coordsize="61460,52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">
                <v:roundrect id="Скругленный прямоугольник 55" o:spid="_x0000_s1072" style="position:absolute;left:38350;top:13796;width:17947;height:33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" filled="f" stroked="f" strokeweight="1pt">
                  <v:stroke dashstyle="longDash"/>
                  <v:textbox inset=",0,,0"/>
                </v:roundrect>
                <v:group id="Группа 67" o:spid="_x0000_s1073" style="position:absolute;left:54;width:61275;height:39703" coordorigin="54" coordsize="61274,3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Полилиния 71" o:spid="_x0000_s1074" style="position:absolute;left:54;width:23732;height:10633;visibility:visible;mso-wrap-style:square;v-text-anchor:middle" coordsize="1592677,853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" adj="-11796480,,5400" path="m,l1592677,r,853500l,853500,,xe" fillcolor="#c8102e" stroked="f" strokeweight="2pt">
                    <v:stroke joinstyle="miter"/>
                    <v:formulas/>
                    <v:path arrowok="t" o:connecttype="custom" o:connectlocs="0,0;2373153,0;2373153,1063398;0,1063398;0,0" o:connectangles="0,0,0,0,0" textboxrect="0,0,1592677,853500"/>
                    <v:textbox inset=".65pt,0,.65pt,0">
                      <w:txbxContent>
                        <w:p w14:paraId="6C6F798F" w14:textId="77777777" w:rsidR="00944739" w:rsidRDefault="00944739" w:rsidP="00D33150">
                          <w:pPr>
                            <w:pStyle w:val="ab"/>
                            <w:spacing w:before="0" w:beforeAutospacing="0" w:after="101" w:afterAutospacing="0" w:line="216" w:lineRule="auto"/>
                            <w:jc w:val="center"/>
                          </w:pPr>
                          <w:r>
                            <w:rPr>
                              <w:rFonts w:asciiTheme="minorHAnsi" w:hAnsi="Calibri" w:cs="Arial"/>
                              <w:color w:val="FFFFFF"/>
                              <w:kern w:val="24"/>
                            </w:rPr>
                            <w:t>Используемые финансовые инструменты</w:t>
                          </w:r>
                        </w:p>
                      </w:txbxContent>
                    </v:textbox>
                  </v:shape>
                  <v:shape id="Полилиния 72" o:spid="_x0000_s1075" style="position:absolute;left:24506;width:36724;height:5040;visibility:visible;mso-wrap-style:square;v-text-anchor:middle" coordsize="1592677,7963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" adj="-11796480,,5400" path="m,l1592677,r,796338l,796338,,xe" fillcolor="#51626f" strokecolor="white" strokeweight="2pt">
                    <v:stroke joinstyle="miter"/>
                    <v:formulas/>
                    <v:path arrowok="t" o:connecttype="custom" o:connectlocs="0,0;3672408,0;3672408,504000;0,504000;0,0" o:connectangles="0,0,0,0,0" textboxrect="0,0,1592677,796338"/>
                    <v:textbox inset=".65pt,0,.65pt,0">
                      <w:txbxContent>
                        <w:p w14:paraId="45AA7032" w14:textId="77777777" w:rsidR="00944739" w:rsidRPr="00CA5055" w:rsidRDefault="00944739" w:rsidP="00D33150">
                          <w:pPr>
                            <w:pStyle w:val="ab"/>
                            <w:spacing w:before="0" w:beforeAutospacing="0" w:after="101" w:afterAutospacing="0" w:line="216" w:lineRule="auto"/>
                            <w:jc w:val="center"/>
                            <w:rPr>
                              <w:rFonts w:asciiTheme="minorHAnsi" w:hAnsiTheme="minorHAnsi" w:cstheme="minorHAnsi"/>
                            </w:rPr>
                          </w:pPr>
                          <w:r w:rsidRPr="00CA5055">
                            <w:rPr>
                              <w:rFonts w:asciiTheme="minorHAnsi" w:hAnsiTheme="minorHAnsi" w:cstheme="minorHAnsi"/>
                              <w:color w:val="FFFFFF"/>
                              <w:kern w:val="24"/>
                            </w:rPr>
                            <w:t>Требования по кредитному рейтингу</w:t>
                          </w:r>
                          <w:r w:rsidRPr="00CA5055">
                            <w:rPr>
                              <w:rFonts w:asciiTheme="minorHAnsi" w:hAnsiTheme="minorHAnsi" w:cstheme="minorHAnsi"/>
                              <w:color w:val="FFFFFF"/>
                              <w:kern w:val="24"/>
                              <w:lang w:val="en-US"/>
                            </w:rPr>
                            <w:t xml:space="preserve"> </w:t>
                          </w:r>
                        </w:p>
                      </w:txbxContent>
                    </v:textbox>
                  </v:shape>
                  <v:rect id="Прямоугольник 73" o:spid="_x0000_s1076" style="position:absolute;left:140;top:11369;width:23646;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" fillcolor="#b5c1c9" stroked="f" strokeweight="2pt">
                    <v:textbox inset=",0,,0">
                      <w:txbxContent>
                        <w:p w14:paraId="0B7C1D23"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МБК / конверсия / СВОП</w:t>
                          </w:r>
                        </w:p>
                      </w:txbxContent>
                    </v:textbox>
                  </v:rect>
                  <v:rect id="Прямоугольник 74" o:spid="_x0000_s1077" style="position:absolute;left:24790;top:5593;width:17718;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" fillcolor="#dae0e4" stroked="f" strokeweight="1pt">
                    <v:textbox inset=",0,,0">
                      <w:txbxContent>
                        <w:p w14:paraId="6449ADFF"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Резиденты РФ</w:t>
                          </w:r>
                        </w:p>
                      </w:txbxContent>
                    </v:textbox>
                  </v:rect>
                  <v:rect id="Прямоугольник 75" o:spid="_x0000_s1078" style="position:absolute;left:43512;top:5542;width:17718;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" fillcolor="#dae0e4" stroked="f" strokeweight="1pt">
                    <v:textbox inset=",0,,0">
                      <w:txbxContent>
                        <w:p w14:paraId="48444BFB"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Нерезиденты РФ</w:t>
                          </w:r>
                        </w:p>
                      </w:txbxContent>
                    </v:textbox>
                  </v:rect>
                  <v:rect id="Прямоугольник 76" o:spid="_x0000_s1079" style="position:absolute;left:140;top:17220;width:23646;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" fillcolor="#b5c1c9" stroked="f" strokeweight="2pt">
                    <v:textbox inset=",0,,0">
                      <w:txbxContent>
                        <w:p w14:paraId="193008AA"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Корпоративные и субфедеральные облигации</w:t>
                          </w:r>
                        </w:p>
                      </w:txbxContent>
                    </v:textbox>
                  </v:rect>
                  <v:rect id="Прямоугольник 77" o:spid="_x0000_s1080" style="position:absolute;left:54;top:22942;width:23646;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" fillcolor="#b5c1c9" stroked="f" strokeweight="2pt">
                    <v:textbox inset=",0,,0">
                      <w:txbxContent>
                        <w:p w14:paraId="576E6E66"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Государственные облигации</w:t>
                          </w:r>
                        </w:p>
                      </w:txbxContent>
                    </v:textbox>
                  </v:rect>
                  <v:rect id="Прямоугольник 78" o:spid="_x0000_s1081" style="position:absolute;left:24790;top:34663;width:9253;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" fillcolor="#dae0e4" stroked="f" strokeweight="1pt">
                    <v:textbox inset="1mm,0,1mm,0">
                      <w:txbxContent>
                        <w:p w14:paraId="61EA8904"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АКРА</w:t>
                          </w:r>
                        </w:p>
                      </w:txbxContent>
                    </v:textbox>
                  </v:rect>
                  <v:rect id="Прямоугольник 79" o:spid="_x0000_s1082" style="position:absolute;left:34542;top:34663;width:8112;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" fillcolor="#dae0e4" stroked="f" strokeweight="1pt">
                    <v:textbox inset="0,0,0,0">
                      <w:txbxContent>
                        <w:p w14:paraId="2E48DC0E" w14:textId="77777777" w:rsidR="00944739" w:rsidRDefault="00944739" w:rsidP="00D33150">
                          <w:pPr>
                            <w:pStyle w:val="ab"/>
                            <w:spacing w:before="0" w:beforeAutospacing="0" w:after="0" w:afterAutospacing="0"/>
                            <w:jc w:val="center"/>
                          </w:pPr>
                          <w:r>
                            <w:rPr>
                              <w:rFonts w:asciiTheme="minorHAnsi" w:hAnsi="Calibri" w:cstheme="minorBidi"/>
                              <w:color w:val="000000"/>
                              <w:kern w:val="24"/>
                              <w:lang w:val="en-US"/>
                            </w:rPr>
                            <w:t>RAEX</w:t>
                          </w:r>
                        </w:p>
                      </w:txbxContent>
                    </v:textbox>
                  </v:rect>
                  <v:rect id="Прямоугольник 80" o:spid="_x0000_s1083" style="position:absolute;left:43574;top:34663;width:504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" fillcolor="#dae0e4" stroked="f" strokeweight="1pt">
                    <v:textbox inset="1mm,0,1mm,0">
                      <w:txbxContent>
                        <w:p w14:paraId="6CFCFDD6" w14:textId="77777777" w:rsidR="00944739" w:rsidRDefault="00944739" w:rsidP="00D33150">
                          <w:pPr>
                            <w:pStyle w:val="ab"/>
                            <w:spacing w:before="0" w:beforeAutospacing="0" w:after="0" w:afterAutospacing="0"/>
                            <w:jc w:val="center"/>
                          </w:pPr>
                          <w:r>
                            <w:rPr>
                              <w:rFonts w:asciiTheme="minorHAnsi" w:hAnsi="Calibri" w:cstheme="minorBidi"/>
                              <w:color w:val="000000"/>
                              <w:kern w:val="24"/>
                              <w:lang w:val="en-US"/>
                            </w:rPr>
                            <w:t>S&amp;P</w:t>
                          </w:r>
                        </w:p>
                      </w:txbxContent>
                    </v:textbox>
                  </v:rect>
                  <v:rect id="Прямоугольник 81" o:spid="_x0000_s1084" style="position:absolute;left:49221;top:34663;width:504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" fillcolor="#dae0e4" stroked="f" strokeweight="1pt">
                    <v:textbox inset="1mm,0,1mm,0">
                      <w:txbxContent>
                        <w:p w14:paraId="45D2BB0F" w14:textId="77777777" w:rsidR="00944739" w:rsidRDefault="00944739" w:rsidP="00D33150">
                          <w:pPr>
                            <w:pStyle w:val="ab"/>
                            <w:spacing w:before="0" w:beforeAutospacing="0" w:after="0" w:afterAutospacing="0"/>
                            <w:jc w:val="center"/>
                          </w:pPr>
                          <w:r>
                            <w:rPr>
                              <w:rFonts w:asciiTheme="minorHAnsi" w:hAnsi="Calibri" w:cstheme="minorBidi"/>
                              <w:color w:val="000000"/>
                              <w:kern w:val="24"/>
                              <w:lang w:val="en-US"/>
                            </w:rPr>
                            <w:t>Fitch</w:t>
                          </w:r>
                        </w:p>
                      </w:txbxContent>
                    </v:textbox>
                  </v:rect>
                  <v:rect id="Прямоугольник 82" o:spid="_x0000_s1085" style="position:absolute;left:54869;top:34663;width:6423;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" fillcolor="#dae0e4" stroked="f" strokeweight="1pt">
                    <v:textbox inset="0,0,0,0">
                      <w:txbxContent>
                        <w:p w14:paraId="1A6E9DCE" w14:textId="77777777" w:rsidR="00944739" w:rsidRDefault="00944739" w:rsidP="00D33150">
                          <w:pPr>
                            <w:pStyle w:val="ab"/>
                            <w:spacing w:before="0" w:beforeAutospacing="0" w:after="0" w:afterAutospacing="0"/>
                            <w:jc w:val="center"/>
                          </w:pPr>
                          <w:proofErr w:type="gramStart"/>
                          <w:r>
                            <w:rPr>
                              <w:rFonts w:asciiTheme="minorHAnsi" w:hAnsi="Calibri" w:cstheme="minorBidi"/>
                              <w:color w:val="000000"/>
                              <w:kern w:val="24"/>
                              <w:lang w:val="en-US"/>
                            </w:rPr>
                            <w:t>Moody’s</w:t>
                          </w:r>
                          <w:proofErr w:type="gramEnd"/>
                        </w:p>
                      </w:txbxContent>
                    </v:textbox>
                  </v:rect>
                  <v:rect id="Прямоугольник 83" o:spid="_x0000_s1086" style="position:absolute;left:24790;top:17183;width:9135;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" fillcolor="window" strokecolor="#51626f" strokeweight="1pt">
                    <v:textbox inset="0,0,0,0">
                      <w:txbxContent>
                        <w:p w14:paraId="01B9A273"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4999D59E"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A-(RU)</w:t>
                          </w:r>
                        </w:p>
                      </w:txbxContent>
                    </v:textbox>
                  </v:rect>
                  <v:rect id="Прямоугольник 84" o:spid="_x0000_s1087" style="position:absolute;left:34510;top:17144;width:8065;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" fillcolor="window" strokecolor="#51626f" strokeweight="1pt">
                    <v:textbox inset="0,0,0,0">
                      <w:txbxContent>
                        <w:p w14:paraId="2909E4E0"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не менее </w:t>
                          </w:r>
                          <w:proofErr w:type="spellStart"/>
                          <w:r>
                            <w:rPr>
                              <w:rFonts w:asciiTheme="minorHAnsi" w:hAnsi="Calibri" w:cstheme="minorBidi"/>
                              <w:b/>
                              <w:bCs/>
                              <w:color w:val="C00000"/>
                              <w:kern w:val="24"/>
                              <w:sz w:val="20"/>
                              <w:szCs w:val="20"/>
                              <w:lang w:val="en-US"/>
                            </w:rPr>
                            <w:t>ruA</w:t>
                          </w:r>
                          <w:proofErr w:type="spellEnd"/>
                          <w:r>
                            <w:rPr>
                              <w:rFonts w:asciiTheme="minorHAnsi" w:hAnsi="Calibri" w:cstheme="minorBidi"/>
                              <w:b/>
                              <w:bCs/>
                              <w:color w:val="C00000"/>
                              <w:kern w:val="24"/>
                              <w:sz w:val="20"/>
                              <w:szCs w:val="20"/>
                              <w:lang w:val="en-US"/>
                            </w:rPr>
                            <w:t>-</w:t>
                          </w:r>
                        </w:p>
                      </w:txbxContent>
                    </v:textbox>
                  </v:rect>
                  <v:rect id="Прямоугольник 85" o:spid="_x0000_s1088" style="position:absolute;left:24722;top:22867;width:17907;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" fillcolor="window" strokecolor="#51626f" strokeweight="1pt">
                    <v:stroke dashstyle="dash"/>
                    <v:textbox inset="0,0,0,0">
                      <w:txbxContent>
                        <w:p w14:paraId="7B969014" w14:textId="77777777" w:rsidR="00944739" w:rsidRDefault="00944739" w:rsidP="00D33150">
                          <w:pPr>
                            <w:pStyle w:val="ab"/>
                            <w:spacing w:before="0" w:beforeAutospacing="0" w:after="0" w:afterAutospacing="0"/>
                            <w:jc w:val="center"/>
                          </w:pPr>
                          <w:r>
                            <w:rPr>
                              <w:rFonts w:asciiTheme="minorHAnsi" w:hAnsi="Calibri" w:cstheme="minorBidi"/>
                              <w:color w:val="51626F"/>
                              <w:kern w:val="24"/>
                              <w:sz w:val="20"/>
                              <w:szCs w:val="20"/>
                            </w:rPr>
                            <w:t>не устанавливаются ограничения</w:t>
                          </w:r>
                        </w:p>
                      </w:txbxContent>
                    </v:textbox>
                  </v:rect>
                  <v:rect id="Прямоугольник 86" o:spid="_x0000_s1089" style="position:absolute;left:43512;top:17183;width:10687;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" fillcolor="window" strokecolor="#51626f" strokeweight="1pt">
                    <v:textbox inset="0,0,0,0">
                      <w:txbxContent>
                        <w:p w14:paraId="71667F4E"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042EB918"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BB+</w:t>
                          </w:r>
                        </w:p>
                      </w:txbxContent>
                    </v:textbox>
                  </v:rect>
                  <v:rect id="Прямоугольник 87" o:spid="_x0000_s1090" style="position:absolute;left:54752;top:17095;width:6545;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" fillcolor="window" strokecolor="#51626f" strokeweight="1pt">
                    <v:textbox inset="0,0,0,0">
                      <w:txbxContent>
                        <w:p w14:paraId="27A94291"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не менее </w:t>
                          </w:r>
                          <w:r>
                            <w:rPr>
                              <w:rFonts w:asciiTheme="minorHAnsi" w:hAnsi="Calibri" w:cstheme="minorBidi"/>
                              <w:b/>
                              <w:bCs/>
                              <w:color w:val="C8102E"/>
                              <w:kern w:val="24"/>
                              <w:sz w:val="20"/>
                              <w:szCs w:val="20"/>
                              <w:lang w:val="en-US"/>
                            </w:rPr>
                            <w:t>Ba1</w:t>
                          </w:r>
                        </w:p>
                      </w:txbxContent>
                    </v:textbox>
                  </v:rect>
                  <v:rect id="Прямоугольник 88" o:spid="_x0000_s1091" style="position:absolute;left:43512;top:22913;width:10687;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" fillcolor="window" strokecolor="#51626f" strokeweight="1pt">
                    <v:textbox inset="0,0,0,0">
                      <w:txbxContent>
                        <w:p w14:paraId="6ABB2F82"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2A1A9087"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AA-</w:t>
                          </w:r>
                        </w:p>
                      </w:txbxContent>
                    </v:textbox>
                  </v:rect>
                  <v:rect id="Прямоугольник 89" o:spid="_x0000_s1092" style="position:absolute;left:54727;top:22867;width:6545;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" fillcolor="window" strokecolor="#51626f" strokeweight="1pt">
                    <v:textbox inset="0,0,0,0">
                      <w:txbxContent>
                        <w:p w14:paraId="799B2C2D"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не менее </w:t>
                          </w:r>
                          <w:r>
                            <w:rPr>
                              <w:rFonts w:asciiTheme="minorHAnsi" w:hAnsi="Calibri" w:cstheme="minorBidi"/>
                              <w:b/>
                              <w:bCs/>
                              <w:color w:val="C8102E"/>
                              <w:kern w:val="24"/>
                              <w:sz w:val="20"/>
                              <w:szCs w:val="20"/>
                              <w:lang w:val="en-US"/>
                            </w:rPr>
                            <w:t>Aa3</w:t>
                          </w:r>
                        </w:p>
                      </w:txbxContent>
                    </v:textbox>
                  </v:rect>
                  <v:rect id="Прямоугольник 90" o:spid="_x0000_s1093" style="position:absolute;left:24790;top:11403;width:9135;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" fillcolor="window" strokecolor="#51626f" strokeweight="1pt">
                    <v:textbox inset="0,0,0,0">
                      <w:txbxContent>
                        <w:p w14:paraId="3DA866D6"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007DEA3A"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A-(RU)</w:t>
                          </w:r>
                        </w:p>
                      </w:txbxContent>
                    </v:textbox>
                  </v:rect>
                  <v:rect id="Прямоугольник 91" o:spid="_x0000_s1094" style="position:absolute;left:34510;top:11397;width:8065;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" fillcolor="window" strokecolor="#51626f" strokeweight="1pt">
                    <v:textbox inset="0,0,0,0">
                      <w:txbxContent>
                        <w:p w14:paraId="0AC8B848"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5152557B" w14:textId="77777777" w:rsidR="00944739" w:rsidRDefault="00944739" w:rsidP="00D33150">
                          <w:pPr>
                            <w:pStyle w:val="ab"/>
                            <w:spacing w:before="0" w:beforeAutospacing="0" w:after="0" w:afterAutospacing="0"/>
                            <w:jc w:val="center"/>
                          </w:pPr>
                          <w:proofErr w:type="spellStart"/>
                          <w:proofErr w:type="gramStart"/>
                          <w:r>
                            <w:rPr>
                              <w:rFonts w:asciiTheme="minorHAnsi" w:hAnsi="Calibri" w:cstheme="minorBidi"/>
                              <w:b/>
                              <w:bCs/>
                              <w:color w:val="C00000"/>
                              <w:kern w:val="24"/>
                              <w:sz w:val="20"/>
                              <w:szCs w:val="20"/>
                              <w:lang w:val="en-US"/>
                            </w:rPr>
                            <w:t>ruA</w:t>
                          </w:r>
                          <w:proofErr w:type="spellEnd"/>
                          <w:r>
                            <w:rPr>
                              <w:rFonts w:asciiTheme="minorHAnsi" w:hAnsi="Calibri" w:cstheme="minorBidi"/>
                              <w:b/>
                              <w:bCs/>
                              <w:color w:val="C00000"/>
                              <w:kern w:val="24"/>
                              <w:sz w:val="20"/>
                              <w:szCs w:val="20"/>
                              <w:lang w:val="en-US"/>
                            </w:rPr>
                            <w:t>-</w:t>
                          </w:r>
                          <w:proofErr w:type="gramEnd"/>
                        </w:p>
                      </w:txbxContent>
                    </v:textbox>
                  </v:rect>
                  <v:rect id="Прямоугольник 92" o:spid="_x0000_s1095" style="position:absolute;left:43512;top:11403;width:10687;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" fillcolor="window" strokecolor="#51626f" strokeweight="1pt">
                    <v:textbox inset="0,0,0,0">
                      <w:txbxContent>
                        <w:p w14:paraId="2A038F4A"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659CD75B"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BBB-</w:t>
                          </w:r>
                        </w:p>
                      </w:txbxContent>
                    </v:textbox>
                  </v:rect>
                  <v:rect id="Прямоугольник 93" o:spid="_x0000_s1096" style="position:absolute;left:54752;top:11321;width:6545;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" fillcolor="window" strokecolor="#51626f" strokeweight="1pt">
                    <v:textbox inset="0,0,0,0">
                      <w:txbxContent>
                        <w:p w14:paraId="62C7AE2B"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не менее </w:t>
                          </w:r>
                          <w:r>
                            <w:rPr>
                              <w:rFonts w:asciiTheme="minorHAnsi" w:hAnsi="Calibri" w:cstheme="minorBidi"/>
                              <w:b/>
                              <w:bCs/>
                              <w:color w:val="C8102E"/>
                              <w:kern w:val="24"/>
                              <w:sz w:val="20"/>
                              <w:szCs w:val="20"/>
                              <w:lang w:val="en-US"/>
                            </w:rPr>
                            <w:t>Baa3</w:t>
                          </w:r>
                        </w:p>
                      </w:txbxContent>
                    </v:textbox>
                  </v:rect>
                  <v:rect id="Прямоугольник 94" o:spid="_x0000_s1097" style="position:absolute;left:54;top:28673;width:23646;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" fillcolor="#b5c1c9" stroked="f" strokeweight="2pt">
                    <v:textbox inset=",0,,0">
                      <w:txbxContent>
                        <w:p w14:paraId="1AFED7DA"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Прямое и обратное РЕПО и прочие инструменты</w:t>
                          </w:r>
                        </w:p>
                      </w:txbxContent>
                    </v:textbox>
                  </v:rect>
                  <v:rect id="Прямоугольник 95" o:spid="_x0000_s1098" style="position:absolute;left:24790;top:28772;width:9135;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" fillcolor="window" strokecolor="#51626f" strokeweight="1pt">
                    <v:textbox inset="0,0,0,0">
                      <w:txbxContent>
                        <w:p w14:paraId="77E8BBD3"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367A7E45"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A-(RU)</w:t>
                          </w:r>
                        </w:p>
                      </w:txbxContent>
                    </v:textbox>
                  </v:rect>
                  <v:rect id="Прямоугольник 96" o:spid="_x0000_s1099" style="position:absolute;left:34613;top:28761;width:8065;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" fillcolor="window" strokecolor="#51626f" strokeweight="1pt">
                    <v:textbox inset="0,0,0,0">
                      <w:txbxContent>
                        <w:p w14:paraId="1AFA7370"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не менее </w:t>
                          </w:r>
                          <w:proofErr w:type="spellStart"/>
                          <w:r>
                            <w:rPr>
                              <w:rFonts w:asciiTheme="minorHAnsi" w:hAnsi="Calibri" w:cstheme="minorBidi"/>
                              <w:b/>
                              <w:bCs/>
                              <w:color w:val="C00000"/>
                              <w:kern w:val="24"/>
                              <w:sz w:val="20"/>
                              <w:szCs w:val="20"/>
                              <w:lang w:val="en-US"/>
                            </w:rPr>
                            <w:t>ruA</w:t>
                          </w:r>
                          <w:proofErr w:type="spellEnd"/>
                          <w:r>
                            <w:rPr>
                              <w:rFonts w:asciiTheme="minorHAnsi" w:hAnsi="Calibri" w:cstheme="minorBidi"/>
                              <w:b/>
                              <w:bCs/>
                              <w:color w:val="C00000"/>
                              <w:kern w:val="24"/>
                              <w:sz w:val="20"/>
                              <w:szCs w:val="20"/>
                              <w:lang w:val="en-US"/>
                            </w:rPr>
                            <w:t>-</w:t>
                          </w:r>
                        </w:p>
                      </w:txbxContent>
                    </v:textbox>
                  </v:rect>
                  <v:rect id="Прямоугольник 97" o:spid="_x0000_s1100" style="position:absolute;left:43512;top:28824;width:10687;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" fillcolor="window" strokecolor="#51626f" strokeweight="1pt">
                    <v:textbox inset="0,0,0,0">
                      <w:txbxContent>
                        <w:p w14:paraId="3AF28EF1"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06629795"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BB+</w:t>
                          </w:r>
                        </w:p>
                      </w:txbxContent>
                    </v:textbox>
                  </v:rect>
                  <v:rect id="Прямоугольник 98" o:spid="_x0000_s1101" style="position:absolute;left:54784;top:28794;width:6545;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" fillcolor="window" strokecolor="#51626f" strokeweight="1pt">
                    <v:textbox inset="0,0,0,0">
                      <w:txbxContent>
                        <w:p w14:paraId="229CA586"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не менее </w:t>
                          </w:r>
                          <w:r>
                            <w:rPr>
                              <w:rFonts w:asciiTheme="minorHAnsi" w:hAnsi="Calibri" w:cstheme="minorBidi"/>
                              <w:b/>
                              <w:bCs/>
                              <w:color w:val="C8102E"/>
                              <w:kern w:val="24"/>
                              <w:sz w:val="20"/>
                              <w:szCs w:val="20"/>
                              <w:lang w:val="en-US"/>
                            </w:rPr>
                            <w:t>Ba1</w:t>
                          </w:r>
                        </w:p>
                      </w:txbxContent>
                    </v:textbox>
                  </v:rect>
                </v:group>
                <v:group id="Группа 99" o:spid="_x0000_s1102" style="position:absolute;top:41201;width:42616;height:5051" coordorigin=",41201" coordsize="42616,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Полилиния 100" o:spid="_x0000_s1103" style="position:absolute;top:41212;width:23731;height:5029;visibility:visible;mso-wrap-style:square;v-text-anchor:middle" coordsize="1592677,853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" adj="-11796480,,5400" path="m,l1592677,r,853500l,853500,,xe" fillcolor="#c8102e" stroked="f" strokeweight="2pt">
                    <v:stroke joinstyle="miter"/>
                    <v:formulas/>
                    <v:path arrowok="t" o:connecttype="custom" o:connectlocs="0,0;2373153,0;2373153,502938;0,502938;0,0" o:connectangles="0,0,0,0,0" textboxrect="0,0,1592677,853500"/>
                    <v:textbox inset=".65pt,0,.65pt,0">
                      <w:txbxContent>
                        <w:p w14:paraId="419F6386" w14:textId="77777777" w:rsidR="00944739" w:rsidRDefault="00944739" w:rsidP="00D33150">
                          <w:pPr>
                            <w:pStyle w:val="ab"/>
                            <w:spacing w:before="0" w:beforeAutospacing="0" w:after="101" w:afterAutospacing="0" w:line="216" w:lineRule="auto"/>
                            <w:jc w:val="center"/>
                          </w:pPr>
                          <w:r>
                            <w:rPr>
                              <w:rFonts w:asciiTheme="minorHAnsi" w:hAnsi="Calibri" w:cs="Arial"/>
                              <w:color w:val="FFFFFF"/>
                              <w:kern w:val="24"/>
                            </w:rPr>
                            <w:t>Размещение выделенного капитала</w:t>
                          </w:r>
                        </w:p>
                      </w:txbxContent>
                    </v:textbox>
                  </v:shape>
                  <v:rect id="Прямоугольник 101" o:spid="_x0000_s1104" style="position:absolute;left:24728;top:41212;width:9197;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" fillcolor="window" strokecolor="#51626f" strokeweight="1pt">
                    <v:textbox inset="0,0,0,0">
                      <w:txbxContent>
                        <w:p w14:paraId="66510BE3"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4E41EA0B" w14:textId="77777777" w:rsidR="00944739" w:rsidRDefault="00944739" w:rsidP="00D33150">
                          <w:pPr>
                            <w:pStyle w:val="ab"/>
                            <w:spacing w:before="0" w:beforeAutospacing="0" w:after="0" w:afterAutospacing="0"/>
                            <w:jc w:val="center"/>
                          </w:pPr>
                          <w:proofErr w:type="gramStart"/>
                          <w:r>
                            <w:rPr>
                              <w:rFonts w:asciiTheme="minorHAnsi" w:hAnsi="Calibri" w:cstheme="minorBidi"/>
                              <w:b/>
                              <w:bCs/>
                              <w:color w:val="C8102E"/>
                              <w:kern w:val="24"/>
                              <w:sz w:val="20"/>
                              <w:szCs w:val="20"/>
                              <w:lang w:val="en-US"/>
                            </w:rPr>
                            <w:t>AAA(</w:t>
                          </w:r>
                          <w:proofErr w:type="gramEnd"/>
                          <w:r>
                            <w:rPr>
                              <w:rFonts w:asciiTheme="minorHAnsi" w:hAnsi="Calibri" w:cstheme="minorBidi"/>
                              <w:b/>
                              <w:bCs/>
                              <w:color w:val="C8102E"/>
                              <w:kern w:val="24"/>
                              <w:sz w:val="20"/>
                              <w:szCs w:val="20"/>
                              <w:lang w:val="en-US"/>
                            </w:rPr>
                            <w:t>RU)</w:t>
                          </w:r>
                        </w:p>
                      </w:txbxContent>
                    </v:textbox>
                  </v:rect>
                  <v:rect id="Прямоугольник 102" o:spid="_x0000_s1105" style="position:absolute;left:34510;top:41201;width:8106;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" fillcolor="window" strokecolor="#51626f" strokeweight="1pt">
                    <v:textbox inset="0,0,0,0">
                      <w:txbxContent>
                        <w:p w14:paraId="45E23687"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не менее </w:t>
                          </w:r>
                          <w:proofErr w:type="spellStart"/>
                          <w:r>
                            <w:rPr>
                              <w:rFonts w:asciiTheme="minorHAnsi" w:hAnsi="Calibri" w:cstheme="minorBidi"/>
                              <w:b/>
                              <w:bCs/>
                              <w:color w:val="C00000"/>
                              <w:kern w:val="24"/>
                              <w:sz w:val="20"/>
                              <w:szCs w:val="20"/>
                              <w:lang w:val="en-US"/>
                            </w:rPr>
                            <w:t>ruAAA</w:t>
                          </w:r>
                          <w:proofErr w:type="spellEnd"/>
                        </w:p>
                      </w:txbxContent>
                    </v:textbox>
                  </v:rect>
                </v:group>
                <v:rect id="Прямоугольник 103" o:spid="_x0000_s1106" style="position:absolute;left:43566;top:47103;width:504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" fillcolor="#dae0e4" stroked="f" strokeweight="1pt">
                  <v:textbox inset="1mm,0,1mm,0">
                    <w:txbxContent>
                      <w:p w14:paraId="0BB3621C" w14:textId="77777777" w:rsidR="00944739" w:rsidRDefault="00944739" w:rsidP="00D33150">
                        <w:pPr>
                          <w:pStyle w:val="ab"/>
                          <w:spacing w:before="0" w:beforeAutospacing="0" w:after="0" w:afterAutospacing="0"/>
                          <w:jc w:val="center"/>
                        </w:pPr>
                        <w:r>
                          <w:rPr>
                            <w:rFonts w:asciiTheme="minorHAnsi" w:hAnsi="Calibri" w:cstheme="minorBidi"/>
                            <w:color w:val="000000"/>
                            <w:kern w:val="24"/>
                            <w:lang w:val="en-US"/>
                          </w:rPr>
                          <w:t>S&amp;P</w:t>
                        </w:r>
                      </w:p>
                    </w:txbxContent>
                  </v:textbox>
                </v:rect>
                <v:rect id="Прямоугольник 104" o:spid="_x0000_s1107" style="position:absolute;left:49251;top:47103;width:504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" fillcolor="#dae0e4" stroked="f" strokeweight="1pt">
                  <v:textbox inset="1mm,0,1mm,0">
                    <w:txbxContent>
                      <w:p w14:paraId="315E9F1F" w14:textId="77777777" w:rsidR="00944739" w:rsidRDefault="00944739" w:rsidP="00D33150">
                        <w:pPr>
                          <w:pStyle w:val="ab"/>
                          <w:spacing w:before="0" w:beforeAutospacing="0" w:after="0" w:afterAutospacing="0"/>
                          <w:jc w:val="center"/>
                        </w:pPr>
                        <w:r>
                          <w:rPr>
                            <w:rFonts w:asciiTheme="minorHAnsi" w:hAnsi="Calibri" w:cstheme="minorBidi"/>
                            <w:color w:val="000000"/>
                            <w:kern w:val="24"/>
                            <w:lang w:val="en-US"/>
                          </w:rPr>
                          <w:t>Fitch</w:t>
                        </w:r>
                      </w:p>
                    </w:txbxContent>
                  </v:textbox>
                </v:rect>
                <v:rect id="Прямоугольник 105" o:spid="_x0000_s1108" style="position:absolute;left:54877;top:47103;width:6558;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" fillcolor="#dae0e4" stroked="f" strokeweight="1pt">
                  <v:textbox inset="0,0,0,0">
                    <w:txbxContent>
                      <w:p w14:paraId="48023BFB" w14:textId="77777777" w:rsidR="00944739" w:rsidRDefault="00944739" w:rsidP="00D33150">
                        <w:pPr>
                          <w:pStyle w:val="ab"/>
                          <w:spacing w:before="0" w:beforeAutospacing="0" w:after="0" w:afterAutospacing="0"/>
                          <w:jc w:val="center"/>
                        </w:pPr>
                        <w:proofErr w:type="gramStart"/>
                        <w:r>
                          <w:rPr>
                            <w:rFonts w:asciiTheme="minorHAnsi" w:hAnsi="Calibri" w:cstheme="minorBidi"/>
                            <w:color w:val="000000"/>
                            <w:kern w:val="24"/>
                            <w:lang w:val="en-US"/>
                          </w:rPr>
                          <w:t>Moody’s</w:t>
                        </w:r>
                        <w:proofErr w:type="gramEnd"/>
                      </w:p>
                    </w:txbxContent>
                  </v:textbox>
                </v:rect>
                <v:rect id="Прямоугольник 106" o:spid="_x0000_s1109" style="position:absolute;left:43572;top:41212;width:10619;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" fillcolor="window" strokecolor="#51626f" strokeweight="1pt">
                  <v:textbox inset="0,0,0,0">
                    <w:txbxContent>
                      <w:p w14:paraId="2E6D8514"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не менее</w:t>
                        </w:r>
                      </w:p>
                      <w:p w14:paraId="3A9710EE" w14:textId="77777777" w:rsidR="00944739" w:rsidRDefault="00944739" w:rsidP="00D33150">
                        <w:pPr>
                          <w:pStyle w:val="ab"/>
                          <w:spacing w:before="0" w:beforeAutospacing="0" w:after="0" w:afterAutospacing="0"/>
                          <w:jc w:val="center"/>
                        </w:pPr>
                        <w:r>
                          <w:rPr>
                            <w:rFonts w:asciiTheme="minorHAnsi" w:hAnsi="Calibri" w:cstheme="minorBidi"/>
                            <w:b/>
                            <w:bCs/>
                            <w:color w:val="C8102E"/>
                            <w:kern w:val="24"/>
                            <w:sz w:val="20"/>
                            <w:szCs w:val="20"/>
                            <w:lang w:val="en-US"/>
                          </w:rPr>
                          <w:t>BBB-</w:t>
                        </w:r>
                      </w:p>
                    </w:txbxContent>
                  </v:textbox>
                </v:rect>
                <v:rect id="Прямоугольник 107" o:spid="_x0000_s1110" style="position:absolute;left:54939;top:41201;width:6521;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" fillcolor="window" strokecolor="#51626f" strokeweight="1pt">
                  <v:textbox inset="0,0,0,0">
                    <w:txbxContent>
                      <w:p w14:paraId="25548FD0" w14:textId="77777777" w:rsidR="00944739" w:rsidRDefault="00944739" w:rsidP="00D33150">
                        <w:pPr>
                          <w:pStyle w:val="ab"/>
                          <w:spacing w:before="0" w:beforeAutospacing="0" w:after="0" w:afterAutospacing="0"/>
                          <w:jc w:val="center"/>
                        </w:pPr>
                        <w:r>
                          <w:rPr>
                            <w:rFonts w:asciiTheme="minorHAnsi" w:hAnsi="Calibri" w:cstheme="minorBidi"/>
                            <w:color w:val="000000"/>
                            <w:kern w:val="24"/>
                            <w:sz w:val="20"/>
                            <w:szCs w:val="20"/>
                          </w:rPr>
                          <w:t xml:space="preserve">не менее </w:t>
                        </w:r>
                        <w:r>
                          <w:rPr>
                            <w:rFonts w:asciiTheme="minorHAnsi" w:hAnsi="Calibri" w:cstheme="minorBidi"/>
                            <w:b/>
                            <w:bCs/>
                            <w:color w:val="C8102E"/>
                            <w:kern w:val="24"/>
                            <w:sz w:val="20"/>
                            <w:szCs w:val="20"/>
                            <w:lang w:val="en-US"/>
                          </w:rPr>
                          <w:t>Baa3</w:t>
                        </w:r>
                      </w:p>
                    </w:txbxContent>
                  </v:textbox>
                </v:rect>
                <v:rect id="Прямоугольник 108" o:spid="_x0000_s1111" style="position:absolute;left:24692;top:46996;width:9253;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" fillcolor="#dae0e4" stroked="f" strokeweight="1pt">
                  <v:textbox inset="1mm,0,1mm,0">
                    <w:txbxContent>
                      <w:p w14:paraId="6D73DFC1" w14:textId="77777777" w:rsidR="00944739" w:rsidRDefault="00944739" w:rsidP="00D33150">
                        <w:pPr>
                          <w:pStyle w:val="ab"/>
                          <w:spacing w:before="0" w:beforeAutospacing="0" w:after="0" w:afterAutospacing="0"/>
                          <w:jc w:val="center"/>
                        </w:pPr>
                        <w:r>
                          <w:rPr>
                            <w:rFonts w:asciiTheme="minorHAnsi" w:hAnsi="Calibri" w:cstheme="minorBidi"/>
                            <w:color w:val="000000"/>
                            <w:kern w:val="24"/>
                          </w:rPr>
                          <w:t>АКРА</w:t>
                        </w:r>
                      </w:p>
                    </w:txbxContent>
                  </v:textbox>
                </v:rect>
                <v:rect id="Прямоугольник 109" o:spid="_x0000_s1112" style="position:absolute;left:34510;top:46996;width:8046;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" fillcolor="#dae0e4" stroked="f" strokeweight="1pt">
                  <v:textbox inset="0,0,0,0">
                    <w:txbxContent>
                      <w:p w14:paraId="0F96E123" w14:textId="77777777" w:rsidR="00944739" w:rsidRDefault="00944739" w:rsidP="00D33150">
                        <w:pPr>
                          <w:pStyle w:val="ab"/>
                          <w:spacing w:before="0" w:beforeAutospacing="0" w:after="0" w:afterAutospacing="0"/>
                          <w:jc w:val="center"/>
                        </w:pPr>
                        <w:r>
                          <w:rPr>
                            <w:rFonts w:asciiTheme="minorHAnsi" w:hAnsi="Calibri" w:cstheme="minorBidi"/>
                            <w:color w:val="000000"/>
                            <w:kern w:val="24"/>
                            <w:lang w:val="en-US"/>
                          </w:rPr>
                          <w:t>RAEX</w:t>
                        </w:r>
                      </w:p>
                    </w:txbxContent>
                  </v:textbox>
                </v:rect>
                <w10:anchorlock/>
              </v:group>
            </w:pict>
          </mc:Fallback>
        </mc:AlternateContent>
      </w:r>
    </w:p>
    <w:p w14:paraId="22E0FC76" w14:textId="5C7CBB56" w:rsidR="00D33150" w:rsidRPr="00341240" w:rsidRDefault="0098619E" w:rsidP="0098619E">
      <w:pPr>
        <w:spacing w:before="120"/>
        <w:jc w:val="both"/>
        <w:rPr>
          <w:rFonts w:ascii="Times New Roman" w:eastAsia="Calibri" w:hAnsi="Times New Roman"/>
          <w:sz w:val="24"/>
          <w:szCs w:val="24"/>
          <w:lang w:eastAsia="ru-RU"/>
        </w:rPr>
      </w:pPr>
      <w:r>
        <w:rPr>
          <w:rFonts w:ascii="Times New Roman" w:eastAsia="Calibri" w:hAnsi="Times New Roman"/>
          <w:sz w:val="24"/>
          <w:szCs w:val="24"/>
          <w:lang w:eastAsia="ru-RU"/>
        </w:rPr>
        <w:lastRenderedPageBreak/>
        <w:t xml:space="preserve">     </w:t>
      </w:r>
      <w:r w:rsidR="00D33150" w:rsidRPr="00341240">
        <w:rPr>
          <w:rFonts w:ascii="Times New Roman" w:eastAsia="Calibri" w:hAnsi="Times New Roman"/>
          <w:sz w:val="24"/>
          <w:szCs w:val="24"/>
          <w:lang w:eastAsia="ru-RU"/>
        </w:rPr>
        <w:t>Важнейшим элементом контроля кредитных рисков, возникающих при размещении денежных средств, является лимитирование казначейских операций. Действующая система лимитов обеспечивает ограничение объема принимаемых НКЦ рисков на уровне, соответствующем гарантированному выполнению регулятивных требований Банка России и политике осуществления казначейской деятельности НКЦ.</w:t>
      </w:r>
    </w:p>
    <w:p w14:paraId="2C41F3BD" w14:textId="47965752" w:rsidR="00D33150" w:rsidRPr="00341240" w:rsidRDefault="0098619E" w:rsidP="0098619E">
      <w:pPr>
        <w:spacing w:before="120"/>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     </w:t>
      </w:r>
      <w:r w:rsidR="00D33150" w:rsidRPr="00341240">
        <w:rPr>
          <w:rFonts w:ascii="Times New Roman" w:eastAsia="Calibri" w:hAnsi="Times New Roman"/>
          <w:sz w:val="24"/>
          <w:szCs w:val="24"/>
          <w:lang w:eastAsia="ru-RU"/>
        </w:rPr>
        <w:t>По состоянию на 01.01.201</w:t>
      </w:r>
      <w:r w:rsidR="00D33150">
        <w:rPr>
          <w:rFonts w:ascii="Times New Roman" w:eastAsia="Calibri" w:hAnsi="Times New Roman"/>
          <w:sz w:val="24"/>
          <w:szCs w:val="24"/>
          <w:lang w:eastAsia="ru-RU"/>
        </w:rPr>
        <w:t>8</w:t>
      </w:r>
      <w:r>
        <w:rPr>
          <w:rFonts w:ascii="Times New Roman" w:eastAsia="Calibri" w:hAnsi="Times New Roman"/>
          <w:sz w:val="24"/>
          <w:szCs w:val="24"/>
          <w:lang w:eastAsia="ru-RU"/>
        </w:rPr>
        <w:t xml:space="preserve"> г., </w:t>
      </w:r>
      <w:r w:rsidR="00D33150" w:rsidRPr="00341240">
        <w:rPr>
          <w:rFonts w:ascii="Times New Roman" w:eastAsia="Calibri" w:hAnsi="Times New Roman"/>
          <w:sz w:val="24"/>
          <w:szCs w:val="24"/>
          <w:lang w:eastAsia="ru-RU"/>
        </w:rPr>
        <w:t xml:space="preserve"> в структуре подверженных кредитному риску активов НКЦ превалировали средства, размещенные на кор</w:t>
      </w:r>
      <w:r w:rsidR="00D33150">
        <w:rPr>
          <w:rFonts w:ascii="Times New Roman" w:eastAsia="Calibri" w:hAnsi="Times New Roman"/>
          <w:sz w:val="24"/>
          <w:szCs w:val="24"/>
          <w:lang w:eastAsia="ru-RU"/>
        </w:rPr>
        <w:t xml:space="preserve">респондентских </w:t>
      </w:r>
      <w:r w:rsidR="00D33150" w:rsidRPr="00341240">
        <w:rPr>
          <w:rFonts w:ascii="Times New Roman" w:eastAsia="Calibri" w:hAnsi="Times New Roman"/>
          <w:sz w:val="24"/>
          <w:szCs w:val="24"/>
          <w:lang w:eastAsia="ru-RU"/>
        </w:rPr>
        <w:t>счетах в кредитных организациях, преимущественно в крупных иностранных и</w:t>
      </w:r>
      <w:r w:rsidR="00D33150">
        <w:rPr>
          <w:rFonts w:ascii="Times New Roman" w:eastAsia="Calibri" w:hAnsi="Times New Roman"/>
          <w:sz w:val="24"/>
          <w:szCs w:val="24"/>
          <w:lang w:eastAsia="ru-RU"/>
        </w:rPr>
        <w:t xml:space="preserve"> </w:t>
      </w:r>
      <w:r w:rsidR="00D33150" w:rsidRPr="00341240">
        <w:rPr>
          <w:rFonts w:ascii="Times New Roman" w:eastAsia="Calibri" w:hAnsi="Times New Roman"/>
          <w:sz w:val="24"/>
          <w:szCs w:val="24"/>
          <w:lang w:eastAsia="ru-RU"/>
        </w:rPr>
        <w:t>надежных российских банках. Наибольший объем средств был размещен на корсчетах в JP Morgan Chase Bank и его дочерних компаниях в связи с выполнением ими функций расчетных банков на биржевом валютном рынке Группы «Московская Биржа».</w:t>
      </w:r>
      <w:r w:rsidR="00D33150" w:rsidRPr="00341240" w:rsidDel="00C10D1B">
        <w:rPr>
          <w:rFonts w:ascii="Times New Roman" w:eastAsia="Calibri" w:hAnsi="Times New Roman"/>
          <w:sz w:val="24"/>
          <w:szCs w:val="24"/>
          <w:lang w:eastAsia="ru-RU"/>
        </w:rPr>
        <w:t xml:space="preserve"> </w:t>
      </w:r>
    </w:p>
    <w:p w14:paraId="79306E53" w14:textId="6A5DBAE1" w:rsidR="00D33150" w:rsidRDefault="0098619E" w:rsidP="0098619E">
      <w:pPr>
        <w:spacing w:before="120" w:after="120"/>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     </w:t>
      </w:r>
      <w:r w:rsidR="00D33150" w:rsidRPr="00341240">
        <w:rPr>
          <w:rFonts w:ascii="Times New Roman" w:eastAsia="Calibri" w:hAnsi="Times New Roman"/>
          <w:sz w:val="24"/>
          <w:szCs w:val="24"/>
          <w:lang w:eastAsia="ru-RU"/>
        </w:rPr>
        <w:t xml:space="preserve">Информация о </w:t>
      </w:r>
      <w:r w:rsidR="00D33150">
        <w:rPr>
          <w:rFonts w:ascii="Times New Roman" w:eastAsia="Calibri" w:hAnsi="Times New Roman"/>
          <w:sz w:val="24"/>
          <w:szCs w:val="24"/>
          <w:lang w:eastAsia="ru-RU"/>
        </w:rPr>
        <w:t xml:space="preserve">группировке </w:t>
      </w:r>
      <w:r w:rsidR="00D33150" w:rsidRPr="00341240">
        <w:rPr>
          <w:rFonts w:ascii="Times New Roman" w:eastAsia="Calibri" w:hAnsi="Times New Roman"/>
          <w:sz w:val="24"/>
          <w:szCs w:val="24"/>
          <w:lang w:eastAsia="ru-RU"/>
        </w:rPr>
        <w:t xml:space="preserve">активов по уровню международного рейтинга в соответствии со шкалой </w:t>
      </w:r>
      <w:r w:rsidR="00D33150" w:rsidRPr="00D06CF7">
        <w:rPr>
          <w:rFonts w:ascii="Times New Roman" w:eastAsia="Calibri" w:hAnsi="Times New Roman"/>
          <w:sz w:val="24"/>
          <w:szCs w:val="24"/>
          <w:lang w:eastAsia="ru-RU"/>
        </w:rPr>
        <w:t>S</w:t>
      </w:r>
      <w:r w:rsidR="00D33150" w:rsidRPr="00341240">
        <w:rPr>
          <w:rFonts w:ascii="Times New Roman" w:eastAsia="Calibri" w:hAnsi="Times New Roman"/>
          <w:sz w:val="24"/>
          <w:szCs w:val="24"/>
          <w:lang w:eastAsia="ru-RU"/>
        </w:rPr>
        <w:t>&amp;</w:t>
      </w:r>
      <w:r w:rsidR="00D33150" w:rsidRPr="00D06CF7">
        <w:rPr>
          <w:rFonts w:ascii="Times New Roman" w:eastAsia="Calibri" w:hAnsi="Times New Roman"/>
          <w:sz w:val="24"/>
          <w:szCs w:val="24"/>
          <w:lang w:eastAsia="ru-RU"/>
        </w:rPr>
        <w:t>P</w:t>
      </w:r>
      <w:r w:rsidR="00D33150">
        <w:rPr>
          <w:rFonts w:ascii="Times New Roman" w:eastAsia="Calibri" w:hAnsi="Times New Roman"/>
          <w:sz w:val="24"/>
          <w:szCs w:val="24"/>
          <w:lang w:eastAsia="ru-RU"/>
        </w:rPr>
        <w:t>, а также о р</w:t>
      </w:r>
      <w:r w:rsidR="00D33150" w:rsidRPr="00341240">
        <w:rPr>
          <w:rFonts w:ascii="Times New Roman" w:eastAsia="Calibri" w:hAnsi="Times New Roman"/>
          <w:sz w:val="24"/>
          <w:szCs w:val="24"/>
          <w:lang w:eastAsia="ru-RU"/>
        </w:rPr>
        <w:t xml:space="preserve">аспределении портфеля ценных бумаг НКЦ </w:t>
      </w:r>
      <w:r w:rsidR="00D33150">
        <w:rPr>
          <w:rFonts w:ascii="Times New Roman" w:eastAsia="Calibri" w:hAnsi="Times New Roman"/>
          <w:sz w:val="24"/>
          <w:szCs w:val="24"/>
          <w:lang w:eastAsia="ru-RU"/>
        </w:rPr>
        <w:t xml:space="preserve">по отраслям </w:t>
      </w:r>
      <w:r w:rsidR="00D33150" w:rsidRPr="00341240">
        <w:rPr>
          <w:rFonts w:ascii="Times New Roman" w:eastAsia="Calibri" w:hAnsi="Times New Roman"/>
          <w:sz w:val="24"/>
          <w:szCs w:val="24"/>
          <w:lang w:eastAsia="ru-RU"/>
        </w:rPr>
        <w:t>приведена на диаграмм</w:t>
      </w:r>
      <w:r w:rsidR="00D33150">
        <w:rPr>
          <w:rFonts w:ascii="Times New Roman" w:eastAsia="Calibri" w:hAnsi="Times New Roman"/>
          <w:sz w:val="24"/>
          <w:szCs w:val="24"/>
          <w:lang w:eastAsia="ru-RU"/>
        </w:rPr>
        <w:t>ах ниже</w:t>
      </w:r>
      <w:r w:rsidR="00D33150" w:rsidRPr="00341240">
        <w:rPr>
          <w:rFonts w:ascii="Times New Roman" w:eastAsia="Calibri" w:hAnsi="Times New Roman"/>
          <w:sz w:val="24"/>
          <w:szCs w:val="24"/>
          <w:lang w:eastAsia="ru-RU"/>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791"/>
      </w:tblGrid>
      <w:tr w:rsidR="00D33150" w14:paraId="0BBACE1F" w14:textId="77777777" w:rsidTr="008D4996">
        <w:tc>
          <w:tcPr>
            <w:tcW w:w="4672" w:type="dxa"/>
          </w:tcPr>
          <w:p w14:paraId="52057018" w14:textId="77777777" w:rsidR="00D33150" w:rsidRDefault="00D33150" w:rsidP="008D4996">
            <w:pPr>
              <w:rPr>
                <w:rFonts w:ascii="Times New Roman" w:eastAsia="Calibri" w:hAnsi="Times New Roman"/>
                <w:b/>
                <w:i/>
                <w:sz w:val="24"/>
                <w:szCs w:val="24"/>
                <w:lang w:eastAsia="ru-RU"/>
              </w:rPr>
            </w:pPr>
            <w:r w:rsidRPr="003506EA">
              <w:rPr>
                <w:rFonts w:ascii="Times New Roman" w:eastAsia="Calibri" w:hAnsi="Times New Roman"/>
                <w:b/>
                <w:i/>
                <w:sz w:val="24"/>
                <w:szCs w:val="24"/>
                <w:lang w:eastAsia="ru-RU"/>
              </w:rPr>
              <w:t>Распределение активов по уровню рейтинга по международной шкале</w:t>
            </w:r>
            <w:r>
              <w:rPr>
                <w:rFonts w:ascii="Times New Roman" w:eastAsia="Calibri" w:hAnsi="Times New Roman"/>
                <w:b/>
                <w:i/>
                <w:sz w:val="24"/>
                <w:szCs w:val="24"/>
                <w:lang w:eastAsia="ru-RU"/>
              </w:rPr>
              <w:t>, %</w:t>
            </w:r>
          </w:p>
          <w:p w14:paraId="35AA31FE" w14:textId="77777777" w:rsidR="00D33150" w:rsidRPr="003506EA" w:rsidRDefault="00D33150" w:rsidP="008D4996">
            <w:pPr>
              <w:rPr>
                <w:rFonts w:ascii="Times New Roman" w:eastAsia="Calibri" w:hAnsi="Times New Roman"/>
                <w:b/>
                <w:i/>
                <w:sz w:val="24"/>
                <w:szCs w:val="24"/>
                <w:lang w:eastAsia="ru-RU"/>
              </w:rPr>
            </w:pPr>
          </w:p>
          <w:p w14:paraId="5D4CBEFA" w14:textId="77777777" w:rsidR="00D33150" w:rsidRDefault="00D33150" w:rsidP="008D4996">
            <w:pPr>
              <w:jc w:val="both"/>
              <w:rPr>
                <w:rFonts w:ascii="Times New Roman" w:eastAsia="Calibri" w:hAnsi="Times New Roman"/>
                <w:sz w:val="24"/>
                <w:szCs w:val="24"/>
                <w:lang w:eastAsia="ru-RU"/>
              </w:rPr>
            </w:pPr>
            <w:r>
              <w:rPr>
                <w:noProof/>
                <w:lang w:eastAsia="ru-RU"/>
              </w:rPr>
              <w:drawing>
                <wp:inline distT="0" distB="0" distL="0" distR="0" wp14:anchorId="58B66F31" wp14:editId="69D48BAE">
                  <wp:extent cx="3009900" cy="19431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673" w:type="dxa"/>
          </w:tcPr>
          <w:p w14:paraId="644777A0" w14:textId="77777777" w:rsidR="00D33150" w:rsidRDefault="00D33150" w:rsidP="008D4996">
            <w:pPr>
              <w:jc w:val="both"/>
              <w:rPr>
                <w:b/>
                <w:i/>
                <w:noProof/>
                <w:lang w:eastAsia="ru-RU"/>
              </w:rPr>
            </w:pPr>
            <w:r w:rsidRPr="003506EA">
              <w:rPr>
                <w:b/>
                <w:i/>
                <w:noProof/>
                <w:lang w:eastAsia="ru-RU"/>
              </w:rPr>
              <w:t>Отраслевое распределение портфеля ценных бумаг, млрд.руб.</w:t>
            </w:r>
          </w:p>
          <w:p w14:paraId="24C52A2A" w14:textId="77777777" w:rsidR="00D33150" w:rsidRPr="003506EA" w:rsidRDefault="00D33150" w:rsidP="008D4996">
            <w:pPr>
              <w:jc w:val="both"/>
              <w:rPr>
                <w:b/>
                <w:i/>
                <w:noProof/>
                <w:lang w:eastAsia="ru-RU"/>
              </w:rPr>
            </w:pPr>
          </w:p>
          <w:p w14:paraId="3AEF5C75" w14:textId="77777777" w:rsidR="00D33150" w:rsidRDefault="00D33150" w:rsidP="008D4996">
            <w:pPr>
              <w:jc w:val="both"/>
              <w:rPr>
                <w:rFonts w:ascii="Times New Roman" w:eastAsia="Calibri" w:hAnsi="Times New Roman"/>
                <w:sz w:val="24"/>
                <w:szCs w:val="24"/>
                <w:lang w:eastAsia="ru-RU"/>
              </w:rPr>
            </w:pPr>
            <w:r>
              <w:rPr>
                <w:noProof/>
                <w:lang w:eastAsia="ru-RU"/>
              </w:rPr>
              <w:drawing>
                <wp:inline distT="0" distB="0" distL="0" distR="0" wp14:anchorId="19FF8D19" wp14:editId="7BD4A75C">
                  <wp:extent cx="3167366" cy="195199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t="15986"/>
                          <a:stretch/>
                        </pic:blipFill>
                        <pic:spPr bwMode="auto">
                          <a:xfrm>
                            <a:off x="0" y="0"/>
                            <a:ext cx="3175887" cy="1957241"/>
                          </a:xfrm>
                          <a:prstGeom prst="rect">
                            <a:avLst/>
                          </a:prstGeom>
                          <a:ln>
                            <a:noFill/>
                          </a:ln>
                          <a:extLst>
                            <a:ext uri="{53640926-AAD7-44D8-BBD7-CCE9431645EC}">
                              <a14:shadowObscured xmlns:a14="http://schemas.microsoft.com/office/drawing/2010/main"/>
                            </a:ext>
                          </a:extLst>
                        </pic:spPr>
                      </pic:pic>
                    </a:graphicData>
                  </a:graphic>
                </wp:inline>
              </w:drawing>
            </w:r>
          </w:p>
        </w:tc>
      </w:tr>
    </w:tbl>
    <w:p w14:paraId="18823808" w14:textId="2D0E824F" w:rsidR="00D33150" w:rsidRPr="003506EA" w:rsidRDefault="0098619E" w:rsidP="0098619E">
      <w:pPr>
        <w:spacing w:before="120"/>
        <w:jc w:val="both"/>
      </w:pPr>
      <w:r>
        <w:rPr>
          <w:rFonts w:ascii="Times New Roman" w:eastAsia="Calibri" w:hAnsi="Times New Roman"/>
          <w:sz w:val="24"/>
          <w:szCs w:val="24"/>
        </w:rPr>
        <w:t xml:space="preserve">     </w:t>
      </w:r>
      <w:r w:rsidR="00D33150" w:rsidRPr="00341240">
        <w:rPr>
          <w:rFonts w:ascii="Times New Roman" w:eastAsia="Calibri" w:hAnsi="Times New Roman"/>
          <w:sz w:val="24"/>
          <w:szCs w:val="24"/>
        </w:rPr>
        <w:t>Благодаря высокому качеству активов показатель достаточности капитала (норматив Н1</w:t>
      </w:r>
      <w:r w:rsidR="00D33150">
        <w:rPr>
          <w:rFonts w:ascii="Times New Roman" w:eastAsia="Calibri" w:hAnsi="Times New Roman"/>
          <w:sz w:val="24"/>
          <w:szCs w:val="24"/>
        </w:rPr>
        <w:t>цк</w:t>
      </w:r>
      <w:r w:rsidR="00D33150" w:rsidRPr="00341240">
        <w:rPr>
          <w:rFonts w:ascii="Times New Roman" w:eastAsia="Calibri" w:hAnsi="Times New Roman"/>
          <w:sz w:val="24"/>
          <w:szCs w:val="24"/>
        </w:rPr>
        <w:t>) на 01.01.201</w:t>
      </w:r>
      <w:r w:rsidR="00D33150">
        <w:rPr>
          <w:rFonts w:ascii="Times New Roman" w:eastAsia="Calibri" w:hAnsi="Times New Roman"/>
          <w:sz w:val="24"/>
          <w:szCs w:val="24"/>
        </w:rPr>
        <w:t>8</w:t>
      </w:r>
      <w:r w:rsidR="00D33150" w:rsidRPr="00341240">
        <w:rPr>
          <w:rFonts w:ascii="Times New Roman" w:eastAsia="Calibri" w:hAnsi="Times New Roman"/>
          <w:sz w:val="24"/>
          <w:szCs w:val="24"/>
        </w:rPr>
        <w:t xml:space="preserve"> составлял 1</w:t>
      </w:r>
      <w:r w:rsidR="00D33150">
        <w:rPr>
          <w:rFonts w:ascii="Times New Roman" w:eastAsia="Calibri" w:hAnsi="Times New Roman"/>
          <w:sz w:val="24"/>
          <w:szCs w:val="24"/>
        </w:rPr>
        <w:t>60,2</w:t>
      </w:r>
      <w:r w:rsidR="00D33150" w:rsidRPr="00341240">
        <w:rPr>
          <w:rFonts w:ascii="Times New Roman" w:eastAsia="Calibri" w:hAnsi="Times New Roman"/>
          <w:sz w:val="24"/>
          <w:szCs w:val="24"/>
        </w:rPr>
        <w:t xml:space="preserve">%, при регулятивном минимуме в </w:t>
      </w:r>
      <w:r w:rsidR="00D33150">
        <w:rPr>
          <w:rFonts w:ascii="Times New Roman" w:eastAsia="Calibri" w:hAnsi="Times New Roman"/>
          <w:sz w:val="24"/>
          <w:szCs w:val="24"/>
        </w:rPr>
        <w:t>100</w:t>
      </w:r>
      <w:r w:rsidR="00D33150" w:rsidRPr="00341240">
        <w:rPr>
          <w:rFonts w:ascii="Times New Roman" w:eastAsia="Calibri" w:hAnsi="Times New Roman"/>
          <w:sz w:val="24"/>
          <w:szCs w:val="24"/>
        </w:rPr>
        <w:t>%, что наглядно подтверждает финансовую устойчивость НКЦ.</w:t>
      </w:r>
    </w:p>
    <w:p w14:paraId="56AC4A4B" w14:textId="77777777" w:rsidR="00D33150" w:rsidRPr="00C11834" w:rsidRDefault="00D33150" w:rsidP="003221B6">
      <w:pPr>
        <w:pStyle w:val="3"/>
        <w:jc w:val="center"/>
        <w:rPr>
          <w:rFonts w:ascii="Times New Roman" w:eastAsia="Calibri" w:hAnsi="Times New Roman" w:cs="Times New Roman"/>
          <w:b/>
          <w:i/>
          <w:color w:val="auto"/>
        </w:rPr>
      </w:pPr>
      <w:bookmarkStart w:id="21" w:name="_Toc510776669"/>
      <w:r w:rsidRPr="00C11834">
        <w:rPr>
          <w:rFonts w:ascii="Times New Roman" w:eastAsia="Calibri" w:hAnsi="Times New Roman" w:cs="Times New Roman"/>
          <w:b/>
          <w:i/>
          <w:color w:val="auto"/>
        </w:rPr>
        <w:t>Управление рыночным риском</w:t>
      </w:r>
      <w:bookmarkEnd w:id="21"/>
    </w:p>
    <w:p w14:paraId="2AAB12B6" w14:textId="660DE4AF" w:rsidR="00D33150" w:rsidRDefault="0098619E" w:rsidP="0098619E">
      <w:pPr>
        <w:tabs>
          <w:tab w:val="num" w:pos="567"/>
          <w:tab w:val="left" w:pos="600"/>
        </w:tabs>
        <w:spacing w:before="120"/>
        <w:jc w:val="both"/>
        <w:rPr>
          <w:rFonts w:ascii="Times New Roman" w:eastAsia="MS Mincho" w:hAnsi="Times New Roman"/>
          <w:sz w:val="24"/>
          <w:szCs w:val="24"/>
          <w:lang w:eastAsia="ja-JP"/>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Применительно к деятельности ЦК рыночный риск возникает только в случае реализации кредитного риска. Таким образом, управление рыночным риском осуществляется в комплексе мероприятий по управлению кредитным риском.</w:t>
      </w:r>
      <w:r w:rsidR="00D33150" w:rsidRPr="00341240">
        <w:rPr>
          <w:rFonts w:ascii="Times New Roman" w:eastAsia="MS Mincho" w:hAnsi="Times New Roman"/>
          <w:sz w:val="24"/>
          <w:szCs w:val="24"/>
          <w:lang w:eastAsia="ja-JP"/>
        </w:rPr>
        <w:t xml:space="preserve"> </w:t>
      </w:r>
    </w:p>
    <w:p w14:paraId="7FF9A66E" w14:textId="06D28581" w:rsidR="00D33150" w:rsidRDefault="0098619E" w:rsidP="0098619E">
      <w:pPr>
        <w:tabs>
          <w:tab w:val="num" w:pos="567"/>
          <w:tab w:val="left" w:pos="600"/>
        </w:tabs>
        <w:spacing w:before="120"/>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     </w:t>
      </w:r>
      <w:r w:rsidR="00D33150" w:rsidRPr="00341240">
        <w:rPr>
          <w:rFonts w:ascii="Times New Roman" w:eastAsia="MS Mincho" w:hAnsi="Times New Roman"/>
          <w:sz w:val="24"/>
          <w:szCs w:val="24"/>
          <w:lang w:eastAsia="ja-JP"/>
        </w:rPr>
        <w:t>С целью количественной оценки рыночного риска для различных рынков, на которых НКЦ осуществляет функции центрального контрагента, разработаны методики, используемые, в частности, для определения объема требований к размеру обеспечения, в</w:t>
      </w:r>
      <w:r w:rsidR="00D33150">
        <w:rPr>
          <w:rFonts w:ascii="Times New Roman" w:eastAsia="MS Mincho" w:hAnsi="Times New Roman"/>
          <w:sz w:val="24"/>
          <w:szCs w:val="24"/>
          <w:lang w:eastAsia="ja-JP"/>
        </w:rPr>
        <w:t xml:space="preserve">носимого участниками клиринга. </w:t>
      </w:r>
    </w:p>
    <w:p w14:paraId="2772D3C2" w14:textId="77BD0762" w:rsidR="00D33150" w:rsidRPr="00341240" w:rsidRDefault="0098619E" w:rsidP="0098619E">
      <w:pPr>
        <w:tabs>
          <w:tab w:val="num" w:pos="567"/>
          <w:tab w:val="left" w:pos="600"/>
        </w:tabs>
        <w:spacing w:before="120"/>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     </w:t>
      </w:r>
      <w:r w:rsidR="00D33150" w:rsidRPr="00341240">
        <w:rPr>
          <w:rFonts w:ascii="Times New Roman" w:eastAsia="MS Mincho" w:hAnsi="Times New Roman"/>
          <w:sz w:val="24"/>
          <w:szCs w:val="24"/>
          <w:lang w:eastAsia="ja-JP"/>
        </w:rPr>
        <w:t>Основной целью управления рыночным риском при размещении временно свободных денежных средств является оптимизация соотношения риск/доходн</w:t>
      </w:r>
      <w:r w:rsidR="00D33150">
        <w:rPr>
          <w:rFonts w:ascii="Times New Roman" w:eastAsia="MS Mincho" w:hAnsi="Times New Roman"/>
          <w:sz w:val="24"/>
          <w:szCs w:val="24"/>
          <w:lang w:eastAsia="ja-JP"/>
        </w:rPr>
        <w:t>ость и</w:t>
      </w:r>
      <w:r w:rsidR="00D33150" w:rsidRPr="00341240">
        <w:rPr>
          <w:rFonts w:ascii="Times New Roman" w:eastAsia="MS Mincho" w:hAnsi="Times New Roman"/>
          <w:sz w:val="24"/>
          <w:szCs w:val="24"/>
          <w:lang w:eastAsia="ja-JP"/>
        </w:rPr>
        <w:t xml:space="preserve"> минимизация </w:t>
      </w:r>
      <w:r w:rsidR="00D33150">
        <w:rPr>
          <w:rFonts w:ascii="Times New Roman" w:eastAsia="MS Mincho" w:hAnsi="Times New Roman"/>
          <w:sz w:val="24"/>
          <w:szCs w:val="24"/>
          <w:lang w:eastAsia="ja-JP"/>
        </w:rPr>
        <w:t xml:space="preserve">возможных </w:t>
      </w:r>
      <w:r w:rsidR="00D33150" w:rsidRPr="00341240">
        <w:rPr>
          <w:rFonts w:ascii="Times New Roman" w:eastAsia="MS Mincho" w:hAnsi="Times New Roman"/>
          <w:sz w:val="24"/>
          <w:szCs w:val="24"/>
          <w:lang w:eastAsia="ja-JP"/>
        </w:rPr>
        <w:t>потерь при реализации неблагоприятных событий. С этой целью НКЦ:</w:t>
      </w:r>
    </w:p>
    <w:p w14:paraId="7B326E73" w14:textId="77777777" w:rsidR="00D33150" w:rsidRPr="00341240" w:rsidRDefault="00D33150" w:rsidP="00D33150">
      <w:pPr>
        <w:widowControl w:val="0"/>
        <w:numPr>
          <w:ilvl w:val="0"/>
          <w:numId w:val="6"/>
        </w:numPr>
        <w:tabs>
          <w:tab w:val="left" w:pos="737"/>
        </w:tabs>
        <w:autoSpaceDE w:val="0"/>
        <w:autoSpaceDN w:val="0"/>
        <w:adjustRightInd w:val="0"/>
        <w:jc w:val="both"/>
        <w:rPr>
          <w:rFonts w:ascii="Times New Roman" w:eastAsia="Calibri" w:hAnsi="Times New Roman"/>
          <w:sz w:val="24"/>
          <w:szCs w:val="24"/>
        </w:rPr>
      </w:pPr>
      <w:r w:rsidRPr="00341240">
        <w:rPr>
          <w:rFonts w:ascii="Times New Roman" w:eastAsia="Calibri" w:hAnsi="Times New Roman"/>
          <w:sz w:val="24"/>
          <w:szCs w:val="24"/>
        </w:rPr>
        <w:t>осуществляет диверсификацию портфеля ценных бумаг (по срокам их погашения, отраслевой принадлежности эмитентов);</w:t>
      </w:r>
    </w:p>
    <w:p w14:paraId="58C41BBA" w14:textId="77777777" w:rsidR="00D33150" w:rsidRPr="00341240" w:rsidRDefault="00D33150" w:rsidP="00D33150">
      <w:pPr>
        <w:widowControl w:val="0"/>
        <w:numPr>
          <w:ilvl w:val="0"/>
          <w:numId w:val="6"/>
        </w:numPr>
        <w:tabs>
          <w:tab w:val="left" w:pos="737"/>
        </w:tabs>
        <w:autoSpaceDE w:val="0"/>
        <w:autoSpaceDN w:val="0"/>
        <w:adjustRightInd w:val="0"/>
        <w:jc w:val="both"/>
        <w:rPr>
          <w:rFonts w:ascii="Times New Roman" w:eastAsia="Calibri" w:hAnsi="Times New Roman"/>
          <w:sz w:val="24"/>
          <w:szCs w:val="24"/>
        </w:rPr>
      </w:pPr>
      <w:r w:rsidRPr="00341240">
        <w:rPr>
          <w:rFonts w:ascii="Times New Roman" w:eastAsia="Calibri" w:hAnsi="Times New Roman"/>
          <w:sz w:val="24"/>
          <w:szCs w:val="24"/>
        </w:rPr>
        <w:t>устанавливает максимальные сроки экспираций для вложений в ценные бумаги;</w:t>
      </w:r>
    </w:p>
    <w:p w14:paraId="76688269" w14:textId="77777777" w:rsidR="00D33150" w:rsidRPr="00341240" w:rsidRDefault="00D33150" w:rsidP="00D33150">
      <w:pPr>
        <w:widowControl w:val="0"/>
        <w:numPr>
          <w:ilvl w:val="0"/>
          <w:numId w:val="6"/>
        </w:numPr>
        <w:tabs>
          <w:tab w:val="left" w:pos="737"/>
        </w:tabs>
        <w:autoSpaceDE w:val="0"/>
        <w:autoSpaceDN w:val="0"/>
        <w:adjustRightInd w:val="0"/>
        <w:jc w:val="both"/>
        <w:rPr>
          <w:rFonts w:ascii="Times New Roman" w:eastAsia="Calibri" w:hAnsi="Times New Roman"/>
          <w:sz w:val="24"/>
          <w:szCs w:val="24"/>
        </w:rPr>
      </w:pPr>
      <w:r w:rsidRPr="00341240">
        <w:rPr>
          <w:rFonts w:ascii="Times New Roman" w:eastAsia="Calibri" w:hAnsi="Times New Roman"/>
          <w:sz w:val="24"/>
          <w:szCs w:val="24"/>
        </w:rPr>
        <w:t>устанавливает предельные объемы вложений в ценные бумаги (по всему объему вложений, видам вложений, эмитентам);</w:t>
      </w:r>
    </w:p>
    <w:p w14:paraId="2260002A" w14:textId="77777777" w:rsidR="00D33150" w:rsidRPr="00341240" w:rsidRDefault="00D33150" w:rsidP="00D33150">
      <w:pPr>
        <w:widowControl w:val="0"/>
        <w:numPr>
          <w:ilvl w:val="0"/>
          <w:numId w:val="6"/>
        </w:numPr>
        <w:tabs>
          <w:tab w:val="left" w:pos="737"/>
        </w:tabs>
        <w:autoSpaceDE w:val="0"/>
        <w:autoSpaceDN w:val="0"/>
        <w:adjustRightInd w:val="0"/>
        <w:jc w:val="both"/>
        <w:rPr>
          <w:rFonts w:ascii="Times New Roman" w:eastAsia="Calibri" w:hAnsi="Times New Roman"/>
          <w:sz w:val="24"/>
          <w:szCs w:val="24"/>
        </w:rPr>
      </w:pPr>
      <w:r w:rsidRPr="00341240">
        <w:rPr>
          <w:rFonts w:ascii="Times New Roman" w:eastAsia="Calibri" w:hAnsi="Times New Roman"/>
          <w:sz w:val="24"/>
          <w:szCs w:val="24"/>
        </w:rPr>
        <w:t>проводит классификацию долговых обязательств и ценных бумаг по группам риска;</w:t>
      </w:r>
    </w:p>
    <w:p w14:paraId="57F31536" w14:textId="77777777" w:rsidR="00D33150" w:rsidRPr="00210A93" w:rsidRDefault="00D33150" w:rsidP="00D33150">
      <w:pPr>
        <w:widowControl w:val="0"/>
        <w:numPr>
          <w:ilvl w:val="0"/>
          <w:numId w:val="6"/>
        </w:numPr>
        <w:tabs>
          <w:tab w:val="left" w:pos="737"/>
        </w:tabs>
        <w:autoSpaceDE w:val="0"/>
        <w:autoSpaceDN w:val="0"/>
        <w:adjustRightInd w:val="0"/>
        <w:jc w:val="both"/>
        <w:rPr>
          <w:rFonts w:ascii="Times New Roman" w:eastAsia="Calibri" w:hAnsi="Times New Roman"/>
          <w:sz w:val="24"/>
          <w:szCs w:val="24"/>
        </w:rPr>
      </w:pPr>
      <w:r w:rsidRPr="00341240">
        <w:rPr>
          <w:rFonts w:ascii="Times New Roman" w:eastAsia="Calibri" w:hAnsi="Times New Roman"/>
          <w:sz w:val="24"/>
          <w:szCs w:val="24"/>
        </w:rPr>
        <w:lastRenderedPageBreak/>
        <w:t>формирует резервы на возможные потери по ценным бумагам, если они не переоцениваются по текущей цене.</w:t>
      </w:r>
    </w:p>
    <w:p w14:paraId="23819D2C" w14:textId="29170F1F" w:rsidR="00D33150" w:rsidRDefault="0098619E" w:rsidP="0098619E">
      <w:pPr>
        <w:spacing w:before="120" w:after="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НКЦ подвержен процентному риску по ценным бумагам и производным финансовым инструментам, чувствительным к изменениям процентных ставок, а также срочным сделкам с ценными бумагами, чувствительными к изменению процентных ставок, как это показано в приведенной ниже таблице:</w:t>
      </w:r>
    </w:p>
    <w:tbl>
      <w:tblPr>
        <w:tblW w:w="9627" w:type="dxa"/>
        <w:tblLook w:val="04A0" w:firstRow="1" w:lastRow="0" w:firstColumn="1" w:lastColumn="0" w:noHBand="0" w:noVBand="1"/>
      </w:tblPr>
      <w:tblGrid>
        <w:gridCol w:w="5230"/>
        <w:gridCol w:w="2410"/>
        <w:gridCol w:w="1987"/>
      </w:tblGrid>
      <w:tr w:rsidR="00D33150" w:rsidRPr="00FE12AD" w14:paraId="0751121B" w14:textId="77777777" w:rsidTr="008D4996">
        <w:trPr>
          <w:trHeight w:val="465"/>
        </w:trPr>
        <w:tc>
          <w:tcPr>
            <w:tcW w:w="9625" w:type="dxa"/>
            <w:gridSpan w:val="3"/>
            <w:tcBorders>
              <w:top w:val="single" w:sz="12" w:space="0" w:color="FFFFFF"/>
              <w:left w:val="single" w:sz="12" w:space="0" w:color="FFFFFF"/>
              <w:bottom w:val="single" w:sz="12" w:space="0" w:color="FFFFFF"/>
              <w:right w:val="single" w:sz="12" w:space="0" w:color="FFFFFF"/>
            </w:tcBorders>
            <w:shd w:val="clear" w:color="000000" w:fill="C00000"/>
            <w:noWrap/>
            <w:vAlign w:val="center"/>
            <w:hideMark/>
          </w:tcPr>
          <w:p w14:paraId="3E7771AF" w14:textId="77777777" w:rsidR="00D33150" w:rsidRPr="00FE12AD" w:rsidRDefault="00D33150" w:rsidP="008D4996">
            <w:pPr>
              <w:rPr>
                <w:rFonts w:ascii="Times New Roman" w:eastAsia="Times New Roman" w:hAnsi="Times New Roman"/>
                <w:b/>
                <w:bCs/>
                <w:color w:val="FFFFFF"/>
                <w:sz w:val="24"/>
                <w:szCs w:val="24"/>
                <w:lang w:eastAsia="ru-RU"/>
              </w:rPr>
            </w:pPr>
            <w:r w:rsidRPr="00FE12AD">
              <w:rPr>
                <w:rFonts w:ascii="Times New Roman" w:eastAsia="Times New Roman" w:hAnsi="Times New Roman"/>
                <w:b/>
                <w:bCs/>
                <w:color w:val="FFFFFF"/>
                <w:sz w:val="24"/>
                <w:szCs w:val="24"/>
                <w:lang w:eastAsia="ru-RU"/>
              </w:rPr>
              <w:t>Подверженность НКЦ рыночному риску по состоянию на 01.01.2018, тыс. руб.</w:t>
            </w:r>
          </w:p>
        </w:tc>
      </w:tr>
      <w:tr w:rsidR="00D33150" w:rsidRPr="00FE12AD" w14:paraId="7DD9BBD5" w14:textId="77777777" w:rsidTr="008D4996">
        <w:trPr>
          <w:trHeight w:val="345"/>
        </w:trPr>
        <w:tc>
          <w:tcPr>
            <w:tcW w:w="5230" w:type="dxa"/>
            <w:tcBorders>
              <w:top w:val="nil"/>
              <w:left w:val="single" w:sz="12" w:space="0" w:color="FFFFFF"/>
              <w:bottom w:val="single" w:sz="12" w:space="0" w:color="FFFFFF"/>
              <w:right w:val="single" w:sz="12" w:space="0" w:color="FFFFFF"/>
            </w:tcBorders>
            <w:shd w:val="clear" w:color="000000" w:fill="D9D9D9"/>
            <w:noWrap/>
            <w:vAlign w:val="bottom"/>
            <w:hideMark/>
          </w:tcPr>
          <w:p w14:paraId="4C304CE1" w14:textId="77777777" w:rsidR="00D33150" w:rsidRPr="00FE12AD" w:rsidRDefault="00D33150" w:rsidP="008D4996">
            <w:pPr>
              <w:rPr>
                <w:rFonts w:ascii="Times New Roman" w:eastAsia="Times New Roman" w:hAnsi="Times New Roman"/>
                <w:color w:val="000000"/>
                <w:sz w:val="24"/>
                <w:szCs w:val="24"/>
                <w:lang w:eastAsia="ru-RU"/>
              </w:rPr>
            </w:pPr>
            <w:r w:rsidRPr="00FE12AD">
              <w:rPr>
                <w:rFonts w:ascii="Times New Roman" w:eastAsia="Times New Roman" w:hAnsi="Times New Roman"/>
                <w:color w:val="000000"/>
                <w:sz w:val="24"/>
                <w:szCs w:val="24"/>
                <w:lang w:eastAsia="ru-RU"/>
              </w:rPr>
              <w:t> </w:t>
            </w:r>
          </w:p>
        </w:tc>
        <w:tc>
          <w:tcPr>
            <w:tcW w:w="2410" w:type="dxa"/>
            <w:tcBorders>
              <w:top w:val="nil"/>
              <w:left w:val="nil"/>
              <w:bottom w:val="single" w:sz="12" w:space="0" w:color="FFFFFF"/>
              <w:right w:val="single" w:sz="12" w:space="0" w:color="FFFFFF"/>
            </w:tcBorders>
            <w:shd w:val="clear" w:color="000000" w:fill="D9D9D9"/>
            <w:noWrap/>
            <w:vAlign w:val="center"/>
            <w:hideMark/>
          </w:tcPr>
          <w:p w14:paraId="740240FB" w14:textId="77777777" w:rsidR="00D33150" w:rsidRPr="00FE12AD" w:rsidRDefault="00D33150" w:rsidP="008D4996">
            <w:pPr>
              <w:jc w:val="center"/>
              <w:rPr>
                <w:rFonts w:ascii="Times New Roman" w:eastAsia="Times New Roman" w:hAnsi="Times New Roman"/>
                <w:b/>
                <w:bCs/>
                <w:color w:val="000000"/>
                <w:sz w:val="24"/>
                <w:szCs w:val="24"/>
                <w:lang w:eastAsia="ru-RU"/>
              </w:rPr>
            </w:pPr>
            <w:r w:rsidRPr="00FE12AD">
              <w:rPr>
                <w:rFonts w:ascii="Times New Roman" w:eastAsia="Times New Roman" w:hAnsi="Times New Roman"/>
                <w:b/>
                <w:bCs/>
                <w:color w:val="000000"/>
                <w:sz w:val="24"/>
                <w:szCs w:val="24"/>
                <w:lang w:eastAsia="ru-RU"/>
              </w:rPr>
              <w:t>01.01.2018</w:t>
            </w:r>
          </w:p>
        </w:tc>
        <w:tc>
          <w:tcPr>
            <w:tcW w:w="1987" w:type="dxa"/>
            <w:tcBorders>
              <w:top w:val="nil"/>
              <w:left w:val="nil"/>
              <w:bottom w:val="single" w:sz="12" w:space="0" w:color="FFFFFF"/>
              <w:right w:val="single" w:sz="12" w:space="0" w:color="FFFFFF"/>
            </w:tcBorders>
            <w:shd w:val="clear" w:color="000000" w:fill="D9D9D9"/>
            <w:noWrap/>
            <w:vAlign w:val="center"/>
            <w:hideMark/>
          </w:tcPr>
          <w:p w14:paraId="1583D6F2" w14:textId="77777777" w:rsidR="00D33150" w:rsidRPr="00FE12AD" w:rsidRDefault="00D33150" w:rsidP="008D4996">
            <w:pPr>
              <w:jc w:val="center"/>
              <w:rPr>
                <w:rFonts w:ascii="Times New Roman" w:eastAsia="Times New Roman" w:hAnsi="Times New Roman"/>
                <w:b/>
                <w:bCs/>
                <w:color w:val="000000"/>
                <w:sz w:val="24"/>
                <w:szCs w:val="24"/>
                <w:lang w:eastAsia="ru-RU"/>
              </w:rPr>
            </w:pPr>
            <w:r w:rsidRPr="00FE12AD">
              <w:rPr>
                <w:rFonts w:ascii="Times New Roman" w:eastAsia="Times New Roman" w:hAnsi="Times New Roman"/>
                <w:b/>
                <w:bCs/>
                <w:color w:val="000000"/>
                <w:sz w:val="24"/>
                <w:szCs w:val="24"/>
                <w:lang w:eastAsia="ru-RU"/>
              </w:rPr>
              <w:t>01.01.2017</w:t>
            </w:r>
          </w:p>
        </w:tc>
      </w:tr>
      <w:tr w:rsidR="00D33150" w:rsidRPr="00FE12AD" w14:paraId="6F94FB12" w14:textId="77777777" w:rsidTr="008D4996">
        <w:trPr>
          <w:trHeight w:val="345"/>
        </w:trPr>
        <w:tc>
          <w:tcPr>
            <w:tcW w:w="5230" w:type="dxa"/>
            <w:tcBorders>
              <w:top w:val="nil"/>
              <w:left w:val="single" w:sz="12" w:space="0" w:color="FFFFFF"/>
              <w:bottom w:val="single" w:sz="12" w:space="0" w:color="FFFFFF"/>
              <w:right w:val="single" w:sz="12" w:space="0" w:color="FFFFFF"/>
            </w:tcBorders>
            <w:shd w:val="clear" w:color="auto" w:fill="auto"/>
            <w:noWrap/>
            <w:vAlign w:val="center"/>
            <w:hideMark/>
          </w:tcPr>
          <w:p w14:paraId="2507C3E1" w14:textId="77777777" w:rsidR="00D33150" w:rsidRPr="00FE12AD" w:rsidRDefault="00D33150" w:rsidP="008D4996">
            <w:pPr>
              <w:rPr>
                <w:rFonts w:ascii="Times New Roman" w:eastAsia="Times New Roman" w:hAnsi="Times New Roman"/>
                <w:color w:val="000000"/>
                <w:sz w:val="24"/>
                <w:szCs w:val="24"/>
                <w:lang w:eastAsia="ru-RU"/>
              </w:rPr>
            </w:pPr>
            <w:r w:rsidRPr="00FE12AD">
              <w:rPr>
                <w:rFonts w:ascii="Times New Roman" w:eastAsia="Times New Roman" w:hAnsi="Times New Roman"/>
                <w:color w:val="000000"/>
                <w:sz w:val="24"/>
                <w:szCs w:val="24"/>
                <w:lang w:eastAsia="ru-RU"/>
              </w:rPr>
              <w:t xml:space="preserve">Процентный риск </w:t>
            </w:r>
          </w:p>
        </w:tc>
        <w:tc>
          <w:tcPr>
            <w:tcW w:w="2410" w:type="dxa"/>
            <w:tcBorders>
              <w:top w:val="nil"/>
              <w:left w:val="nil"/>
              <w:bottom w:val="single" w:sz="12" w:space="0" w:color="FFFFFF"/>
              <w:right w:val="single" w:sz="12" w:space="0" w:color="FFFFFF"/>
            </w:tcBorders>
            <w:shd w:val="clear" w:color="auto" w:fill="auto"/>
            <w:noWrap/>
            <w:vAlign w:val="center"/>
            <w:hideMark/>
          </w:tcPr>
          <w:p w14:paraId="35F25EFD" w14:textId="77777777" w:rsidR="00D33150" w:rsidRPr="00FE12AD" w:rsidRDefault="00D33150" w:rsidP="008D4996">
            <w:pPr>
              <w:jc w:val="center"/>
              <w:rPr>
                <w:rFonts w:ascii="Times New Roman" w:eastAsia="Times New Roman" w:hAnsi="Times New Roman"/>
                <w:color w:val="000000"/>
                <w:sz w:val="24"/>
                <w:szCs w:val="24"/>
                <w:lang w:eastAsia="ru-RU"/>
              </w:rPr>
            </w:pPr>
            <w:r w:rsidRPr="00FE12AD">
              <w:rPr>
                <w:rFonts w:ascii="Times New Roman" w:eastAsia="Times New Roman" w:hAnsi="Times New Roman"/>
                <w:color w:val="000000"/>
                <w:sz w:val="24"/>
                <w:szCs w:val="24"/>
                <w:lang w:eastAsia="ru-RU"/>
              </w:rPr>
              <w:t>9 550 416</w:t>
            </w:r>
          </w:p>
        </w:tc>
        <w:tc>
          <w:tcPr>
            <w:tcW w:w="1987" w:type="dxa"/>
            <w:tcBorders>
              <w:top w:val="nil"/>
              <w:left w:val="nil"/>
              <w:bottom w:val="single" w:sz="12" w:space="0" w:color="FFFFFF"/>
              <w:right w:val="single" w:sz="12" w:space="0" w:color="FFFFFF"/>
            </w:tcBorders>
            <w:shd w:val="clear" w:color="auto" w:fill="auto"/>
            <w:noWrap/>
            <w:vAlign w:val="center"/>
            <w:hideMark/>
          </w:tcPr>
          <w:p w14:paraId="2E32D7FE" w14:textId="77777777" w:rsidR="00D33150" w:rsidRPr="00FE12AD" w:rsidRDefault="00D33150" w:rsidP="008D4996">
            <w:pPr>
              <w:jc w:val="center"/>
              <w:rPr>
                <w:rFonts w:ascii="Times New Roman" w:eastAsia="Times New Roman" w:hAnsi="Times New Roman"/>
                <w:color w:val="000000"/>
                <w:sz w:val="24"/>
                <w:szCs w:val="24"/>
                <w:lang w:eastAsia="ru-RU"/>
              </w:rPr>
            </w:pPr>
            <w:r w:rsidRPr="00FE12AD">
              <w:rPr>
                <w:rFonts w:ascii="Times New Roman" w:eastAsia="Times New Roman" w:hAnsi="Times New Roman"/>
                <w:color w:val="000000"/>
                <w:sz w:val="24"/>
                <w:szCs w:val="24"/>
                <w:lang w:eastAsia="ru-RU"/>
              </w:rPr>
              <w:t>9 065 559</w:t>
            </w:r>
          </w:p>
        </w:tc>
      </w:tr>
      <w:tr w:rsidR="00D33150" w:rsidRPr="00FE12AD" w14:paraId="1FFB6AEE" w14:textId="77777777" w:rsidTr="008D4996">
        <w:trPr>
          <w:trHeight w:val="345"/>
        </w:trPr>
        <w:tc>
          <w:tcPr>
            <w:tcW w:w="5230" w:type="dxa"/>
            <w:tcBorders>
              <w:top w:val="nil"/>
              <w:left w:val="single" w:sz="12" w:space="0" w:color="FFFFFF"/>
              <w:bottom w:val="single" w:sz="12" w:space="0" w:color="FFFFFF"/>
              <w:right w:val="single" w:sz="12" w:space="0" w:color="FFFFFF"/>
            </w:tcBorders>
            <w:shd w:val="clear" w:color="000000" w:fill="D9D9D9"/>
            <w:noWrap/>
            <w:vAlign w:val="center"/>
            <w:hideMark/>
          </w:tcPr>
          <w:p w14:paraId="4170CC89" w14:textId="77777777" w:rsidR="00D33150" w:rsidRPr="00FE12AD" w:rsidRDefault="00D33150" w:rsidP="008D4996">
            <w:pPr>
              <w:rPr>
                <w:rFonts w:ascii="Times New Roman" w:eastAsia="Times New Roman" w:hAnsi="Times New Roman"/>
                <w:color w:val="000000"/>
                <w:sz w:val="24"/>
                <w:szCs w:val="24"/>
                <w:lang w:eastAsia="ru-RU"/>
              </w:rPr>
            </w:pPr>
            <w:r w:rsidRPr="00FE12AD">
              <w:rPr>
                <w:rFonts w:ascii="Times New Roman" w:eastAsia="Times New Roman" w:hAnsi="Times New Roman"/>
                <w:color w:val="000000"/>
                <w:sz w:val="24"/>
                <w:szCs w:val="24"/>
                <w:lang w:eastAsia="ru-RU"/>
              </w:rPr>
              <w:t xml:space="preserve">    Общий процентный риск</w:t>
            </w:r>
          </w:p>
        </w:tc>
        <w:tc>
          <w:tcPr>
            <w:tcW w:w="2410" w:type="dxa"/>
            <w:tcBorders>
              <w:top w:val="nil"/>
              <w:left w:val="nil"/>
              <w:bottom w:val="single" w:sz="12" w:space="0" w:color="FFFFFF"/>
              <w:right w:val="single" w:sz="12" w:space="0" w:color="FFFFFF"/>
            </w:tcBorders>
            <w:shd w:val="clear" w:color="000000" w:fill="D9D9D9"/>
            <w:noWrap/>
            <w:vAlign w:val="center"/>
            <w:hideMark/>
          </w:tcPr>
          <w:p w14:paraId="1F638C4C" w14:textId="77777777" w:rsidR="00D33150" w:rsidRPr="00FE12AD" w:rsidRDefault="00D33150" w:rsidP="008D4996">
            <w:pPr>
              <w:jc w:val="center"/>
              <w:rPr>
                <w:rFonts w:ascii="Times New Roman" w:eastAsia="Times New Roman" w:hAnsi="Times New Roman"/>
                <w:color w:val="000000"/>
                <w:sz w:val="24"/>
                <w:szCs w:val="24"/>
                <w:lang w:eastAsia="ru-RU"/>
              </w:rPr>
            </w:pPr>
            <w:r w:rsidRPr="00FE12AD">
              <w:rPr>
                <w:rFonts w:ascii="Times New Roman" w:eastAsia="Times New Roman" w:hAnsi="Times New Roman"/>
                <w:color w:val="000000"/>
                <w:sz w:val="24"/>
                <w:szCs w:val="24"/>
                <w:lang w:eastAsia="ru-RU"/>
              </w:rPr>
              <w:t>2 310 175</w:t>
            </w:r>
          </w:p>
        </w:tc>
        <w:tc>
          <w:tcPr>
            <w:tcW w:w="1987" w:type="dxa"/>
            <w:tcBorders>
              <w:top w:val="nil"/>
              <w:left w:val="nil"/>
              <w:bottom w:val="single" w:sz="12" w:space="0" w:color="FFFFFF"/>
              <w:right w:val="single" w:sz="12" w:space="0" w:color="FFFFFF"/>
            </w:tcBorders>
            <w:shd w:val="clear" w:color="000000" w:fill="D9D9D9"/>
            <w:noWrap/>
            <w:vAlign w:val="center"/>
            <w:hideMark/>
          </w:tcPr>
          <w:p w14:paraId="490A01FF" w14:textId="77777777" w:rsidR="00D33150" w:rsidRPr="00FE12AD" w:rsidRDefault="00D33150" w:rsidP="008D4996">
            <w:pPr>
              <w:jc w:val="center"/>
              <w:rPr>
                <w:rFonts w:ascii="Times New Roman" w:eastAsia="Times New Roman" w:hAnsi="Times New Roman"/>
                <w:color w:val="000000"/>
                <w:sz w:val="24"/>
                <w:szCs w:val="24"/>
                <w:lang w:eastAsia="ru-RU"/>
              </w:rPr>
            </w:pPr>
            <w:r w:rsidRPr="00FE12AD">
              <w:rPr>
                <w:rFonts w:ascii="Times New Roman" w:eastAsia="Times New Roman" w:hAnsi="Times New Roman"/>
                <w:color w:val="000000"/>
                <w:sz w:val="24"/>
                <w:szCs w:val="24"/>
                <w:lang w:eastAsia="ru-RU"/>
              </w:rPr>
              <w:t>1 744 474</w:t>
            </w:r>
          </w:p>
        </w:tc>
      </w:tr>
      <w:tr w:rsidR="00D33150" w:rsidRPr="00FE12AD" w14:paraId="60882AE7" w14:textId="77777777" w:rsidTr="008D4996">
        <w:trPr>
          <w:trHeight w:val="345"/>
        </w:trPr>
        <w:tc>
          <w:tcPr>
            <w:tcW w:w="5230" w:type="dxa"/>
            <w:tcBorders>
              <w:top w:val="nil"/>
              <w:left w:val="single" w:sz="12" w:space="0" w:color="FFFFFF"/>
              <w:bottom w:val="single" w:sz="12" w:space="0" w:color="FFFFFF"/>
              <w:right w:val="single" w:sz="12" w:space="0" w:color="FFFFFF"/>
            </w:tcBorders>
            <w:shd w:val="clear" w:color="auto" w:fill="auto"/>
            <w:noWrap/>
            <w:vAlign w:val="center"/>
            <w:hideMark/>
          </w:tcPr>
          <w:p w14:paraId="0B41F765" w14:textId="77777777" w:rsidR="00D33150" w:rsidRPr="00FE12AD" w:rsidRDefault="00D33150" w:rsidP="008D4996">
            <w:pPr>
              <w:rPr>
                <w:rFonts w:ascii="Times New Roman" w:eastAsia="Times New Roman" w:hAnsi="Times New Roman"/>
                <w:color w:val="000000"/>
                <w:sz w:val="24"/>
                <w:szCs w:val="24"/>
                <w:lang w:eastAsia="ru-RU"/>
              </w:rPr>
            </w:pPr>
            <w:r w:rsidRPr="00FE12AD">
              <w:rPr>
                <w:rFonts w:ascii="Times New Roman" w:eastAsia="Times New Roman" w:hAnsi="Times New Roman"/>
                <w:color w:val="000000"/>
                <w:sz w:val="24"/>
                <w:szCs w:val="24"/>
                <w:lang w:eastAsia="ru-RU"/>
              </w:rPr>
              <w:t xml:space="preserve">    Специальный процентный риск</w:t>
            </w:r>
          </w:p>
        </w:tc>
        <w:tc>
          <w:tcPr>
            <w:tcW w:w="2410" w:type="dxa"/>
            <w:tcBorders>
              <w:top w:val="nil"/>
              <w:left w:val="nil"/>
              <w:bottom w:val="single" w:sz="12" w:space="0" w:color="FFFFFF"/>
              <w:right w:val="single" w:sz="12" w:space="0" w:color="FFFFFF"/>
            </w:tcBorders>
            <w:shd w:val="clear" w:color="auto" w:fill="auto"/>
            <w:noWrap/>
            <w:vAlign w:val="center"/>
            <w:hideMark/>
          </w:tcPr>
          <w:p w14:paraId="7CBC8361" w14:textId="77777777" w:rsidR="00D33150" w:rsidRPr="00FE12AD" w:rsidRDefault="00D33150" w:rsidP="008D4996">
            <w:pPr>
              <w:jc w:val="center"/>
              <w:rPr>
                <w:rFonts w:ascii="Times New Roman" w:eastAsia="Times New Roman" w:hAnsi="Times New Roman"/>
                <w:color w:val="000000"/>
                <w:sz w:val="24"/>
                <w:szCs w:val="24"/>
                <w:lang w:eastAsia="ru-RU"/>
              </w:rPr>
            </w:pPr>
            <w:r w:rsidRPr="00FE12AD">
              <w:rPr>
                <w:rFonts w:ascii="Times New Roman" w:eastAsia="Times New Roman" w:hAnsi="Times New Roman"/>
                <w:color w:val="000000"/>
                <w:sz w:val="24"/>
                <w:szCs w:val="24"/>
                <w:lang w:eastAsia="ru-RU"/>
              </w:rPr>
              <w:t>7 240 241</w:t>
            </w:r>
          </w:p>
        </w:tc>
        <w:tc>
          <w:tcPr>
            <w:tcW w:w="1987" w:type="dxa"/>
            <w:tcBorders>
              <w:top w:val="nil"/>
              <w:left w:val="nil"/>
              <w:bottom w:val="single" w:sz="12" w:space="0" w:color="FFFFFF"/>
              <w:right w:val="single" w:sz="12" w:space="0" w:color="FFFFFF"/>
            </w:tcBorders>
            <w:shd w:val="clear" w:color="auto" w:fill="auto"/>
            <w:noWrap/>
            <w:vAlign w:val="center"/>
            <w:hideMark/>
          </w:tcPr>
          <w:p w14:paraId="67090816" w14:textId="77777777" w:rsidR="00D33150" w:rsidRPr="00FE12AD" w:rsidRDefault="00D33150" w:rsidP="008D4996">
            <w:pPr>
              <w:jc w:val="center"/>
              <w:rPr>
                <w:rFonts w:ascii="Times New Roman" w:eastAsia="Times New Roman" w:hAnsi="Times New Roman"/>
                <w:color w:val="000000"/>
                <w:sz w:val="24"/>
                <w:szCs w:val="24"/>
                <w:lang w:eastAsia="ru-RU"/>
              </w:rPr>
            </w:pPr>
            <w:r w:rsidRPr="00FE12AD">
              <w:rPr>
                <w:rFonts w:ascii="Times New Roman" w:eastAsia="Times New Roman" w:hAnsi="Times New Roman"/>
                <w:color w:val="000000"/>
                <w:sz w:val="24"/>
                <w:szCs w:val="24"/>
                <w:lang w:eastAsia="ru-RU"/>
              </w:rPr>
              <w:t>7 321 085</w:t>
            </w:r>
          </w:p>
        </w:tc>
      </w:tr>
      <w:tr w:rsidR="00D33150" w:rsidRPr="00FE12AD" w14:paraId="55DEB7C3" w14:textId="77777777" w:rsidTr="008D4996">
        <w:trPr>
          <w:trHeight w:val="345"/>
        </w:trPr>
        <w:tc>
          <w:tcPr>
            <w:tcW w:w="5230" w:type="dxa"/>
            <w:tcBorders>
              <w:top w:val="nil"/>
              <w:left w:val="single" w:sz="12" w:space="0" w:color="FFFFFF"/>
              <w:bottom w:val="single" w:sz="12" w:space="0" w:color="FFFFFF"/>
              <w:right w:val="single" w:sz="12" w:space="0" w:color="FFFFFF"/>
            </w:tcBorders>
            <w:shd w:val="clear" w:color="000000" w:fill="D9D9D9"/>
            <w:noWrap/>
            <w:vAlign w:val="center"/>
            <w:hideMark/>
          </w:tcPr>
          <w:p w14:paraId="62E2C3DF" w14:textId="77777777" w:rsidR="00D33150" w:rsidRPr="00FE12AD" w:rsidRDefault="00D33150" w:rsidP="008D4996">
            <w:pPr>
              <w:rPr>
                <w:rFonts w:ascii="Times New Roman" w:eastAsia="Times New Roman" w:hAnsi="Times New Roman"/>
                <w:color w:val="000000"/>
                <w:sz w:val="24"/>
                <w:szCs w:val="24"/>
                <w:lang w:eastAsia="ru-RU"/>
              </w:rPr>
            </w:pPr>
            <w:r w:rsidRPr="00FE12AD">
              <w:rPr>
                <w:rFonts w:ascii="Times New Roman" w:eastAsia="Times New Roman" w:hAnsi="Times New Roman"/>
                <w:color w:val="000000"/>
                <w:sz w:val="24"/>
                <w:szCs w:val="24"/>
                <w:lang w:eastAsia="ru-RU"/>
              </w:rPr>
              <w:t>Фондовый риск</w:t>
            </w:r>
          </w:p>
        </w:tc>
        <w:tc>
          <w:tcPr>
            <w:tcW w:w="2410" w:type="dxa"/>
            <w:tcBorders>
              <w:top w:val="nil"/>
              <w:left w:val="nil"/>
              <w:bottom w:val="single" w:sz="12" w:space="0" w:color="FFFFFF"/>
              <w:right w:val="single" w:sz="12" w:space="0" w:color="FFFFFF"/>
            </w:tcBorders>
            <w:shd w:val="clear" w:color="000000" w:fill="D9D9D9"/>
            <w:noWrap/>
            <w:vAlign w:val="center"/>
            <w:hideMark/>
          </w:tcPr>
          <w:p w14:paraId="308127B1" w14:textId="77777777" w:rsidR="00D33150" w:rsidRPr="00FE12AD" w:rsidRDefault="00D33150" w:rsidP="008D4996">
            <w:pPr>
              <w:jc w:val="center"/>
              <w:rPr>
                <w:rFonts w:ascii="Times New Roman" w:eastAsia="Times New Roman" w:hAnsi="Times New Roman"/>
                <w:color w:val="000000"/>
                <w:sz w:val="24"/>
                <w:szCs w:val="24"/>
                <w:lang w:eastAsia="ru-RU"/>
              </w:rPr>
            </w:pPr>
            <w:r w:rsidRPr="00FE12AD">
              <w:rPr>
                <w:rFonts w:ascii="Times New Roman" w:eastAsia="Times New Roman" w:hAnsi="Times New Roman"/>
                <w:color w:val="000000"/>
                <w:sz w:val="24"/>
                <w:szCs w:val="24"/>
                <w:lang w:eastAsia="ru-RU"/>
              </w:rPr>
              <w:t>0</w:t>
            </w:r>
          </w:p>
        </w:tc>
        <w:tc>
          <w:tcPr>
            <w:tcW w:w="1987" w:type="dxa"/>
            <w:tcBorders>
              <w:top w:val="nil"/>
              <w:left w:val="nil"/>
              <w:bottom w:val="single" w:sz="12" w:space="0" w:color="FFFFFF"/>
              <w:right w:val="single" w:sz="12" w:space="0" w:color="FFFFFF"/>
            </w:tcBorders>
            <w:shd w:val="clear" w:color="000000" w:fill="D9D9D9"/>
            <w:noWrap/>
            <w:vAlign w:val="center"/>
            <w:hideMark/>
          </w:tcPr>
          <w:p w14:paraId="65DC776F" w14:textId="77777777" w:rsidR="00D33150" w:rsidRPr="00FE12AD" w:rsidRDefault="00D33150" w:rsidP="008D4996">
            <w:pPr>
              <w:jc w:val="center"/>
              <w:rPr>
                <w:rFonts w:ascii="Times New Roman" w:eastAsia="Times New Roman" w:hAnsi="Times New Roman"/>
                <w:color w:val="000000"/>
                <w:sz w:val="24"/>
                <w:szCs w:val="24"/>
                <w:lang w:eastAsia="ru-RU"/>
              </w:rPr>
            </w:pPr>
            <w:r w:rsidRPr="00FE12AD">
              <w:rPr>
                <w:rFonts w:ascii="Times New Roman" w:eastAsia="Times New Roman" w:hAnsi="Times New Roman"/>
                <w:color w:val="000000"/>
                <w:sz w:val="24"/>
                <w:szCs w:val="24"/>
                <w:lang w:eastAsia="ru-RU"/>
              </w:rPr>
              <w:t>0</w:t>
            </w:r>
          </w:p>
        </w:tc>
      </w:tr>
      <w:tr w:rsidR="00D33150" w:rsidRPr="00FE12AD" w14:paraId="762078F0" w14:textId="77777777" w:rsidTr="008D4996">
        <w:trPr>
          <w:trHeight w:val="345"/>
        </w:trPr>
        <w:tc>
          <w:tcPr>
            <w:tcW w:w="5230" w:type="dxa"/>
            <w:tcBorders>
              <w:top w:val="nil"/>
              <w:left w:val="single" w:sz="12" w:space="0" w:color="FFFFFF"/>
              <w:bottom w:val="single" w:sz="12" w:space="0" w:color="FFFFFF"/>
              <w:right w:val="single" w:sz="12" w:space="0" w:color="FFFFFF"/>
            </w:tcBorders>
            <w:shd w:val="clear" w:color="auto" w:fill="auto"/>
            <w:noWrap/>
            <w:vAlign w:val="center"/>
            <w:hideMark/>
          </w:tcPr>
          <w:p w14:paraId="5C3C96E5" w14:textId="77777777" w:rsidR="00D33150" w:rsidRPr="00FE12AD" w:rsidRDefault="00D33150" w:rsidP="008D4996">
            <w:pPr>
              <w:rPr>
                <w:rFonts w:ascii="Times New Roman" w:eastAsia="Times New Roman" w:hAnsi="Times New Roman"/>
                <w:color w:val="000000"/>
                <w:sz w:val="24"/>
                <w:szCs w:val="24"/>
                <w:lang w:eastAsia="ru-RU"/>
              </w:rPr>
            </w:pPr>
            <w:r w:rsidRPr="00FE12AD">
              <w:rPr>
                <w:rFonts w:ascii="Times New Roman" w:eastAsia="Times New Roman" w:hAnsi="Times New Roman"/>
                <w:color w:val="000000"/>
                <w:sz w:val="24"/>
                <w:szCs w:val="24"/>
                <w:lang w:eastAsia="ru-RU"/>
              </w:rPr>
              <w:t>Валютный риск</w:t>
            </w:r>
          </w:p>
        </w:tc>
        <w:tc>
          <w:tcPr>
            <w:tcW w:w="2410" w:type="dxa"/>
            <w:tcBorders>
              <w:top w:val="nil"/>
              <w:left w:val="nil"/>
              <w:bottom w:val="single" w:sz="12" w:space="0" w:color="FFFFFF"/>
              <w:right w:val="single" w:sz="12" w:space="0" w:color="FFFFFF"/>
            </w:tcBorders>
            <w:shd w:val="clear" w:color="auto" w:fill="auto"/>
            <w:noWrap/>
            <w:vAlign w:val="center"/>
            <w:hideMark/>
          </w:tcPr>
          <w:p w14:paraId="1B75ADFA" w14:textId="77777777" w:rsidR="00D33150" w:rsidRPr="00FE12AD" w:rsidRDefault="00D33150" w:rsidP="008D4996">
            <w:pPr>
              <w:jc w:val="center"/>
              <w:rPr>
                <w:rFonts w:ascii="Times New Roman" w:eastAsia="Times New Roman" w:hAnsi="Times New Roman"/>
                <w:color w:val="000000"/>
                <w:sz w:val="24"/>
                <w:szCs w:val="24"/>
                <w:lang w:eastAsia="ru-RU"/>
              </w:rPr>
            </w:pPr>
            <w:r w:rsidRPr="00FE12AD">
              <w:rPr>
                <w:rFonts w:ascii="Times New Roman" w:eastAsia="Times New Roman" w:hAnsi="Times New Roman"/>
                <w:color w:val="000000"/>
                <w:sz w:val="24"/>
                <w:szCs w:val="24"/>
                <w:lang w:eastAsia="ru-RU"/>
              </w:rPr>
              <w:t>0</w:t>
            </w:r>
          </w:p>
        </w:tc>
        <w:tc>
          <w:tcPr>
            <w:tcW w:w="1987" w:type="dxa"/>
            <w:tcBorders>
              <w:top w:val="nil"/>
              <w:left w:val="nil"/>
              <w:bottom w:val="single" w:sz="12" w:space="0" w:color="FFFFFF"/>
              <w:right w:val="single" w:sz="12" w:space="0" w:color="FFFFFF"/>
            </w:tcBorders>
            <w:shd w:val="clear" w:color="auto" w:fill="auto"/>
            <w:noWrap/>
            <w:vAlign w:val="center"/>
            <w:hideMark/>
          </w:tcPr>
          <w:p w14:paraId="0CA0210C" w14:textId="77777777" w:rsidR="00D33150" w:rsidRPr="00FE12AD" w:rsidRDefault="00D33150" w:rsidP="008D4996">
            <w:pPr>
              <w:jc w:val="center"/>
              <w:rPr>
                <w:rFonts w:ascii="Times New Roman" w:eastAsia="Times New Roman" w:hAnsi="Times New Roman"/>
                <w:color w:val="000000"/>
                <w:sz w:val="24"/>
                <w:szCs w:val="24"/>
                <w:lang w:eastAsia="ru-RU"/>
              </w:rPr>
            </w:pPr>
            <w:r w:rsidRPr="00FE12AD">
              <w:rPr>
                <w:rFonts w:ascii="Times New Roman" w:eastAsia="Times New Roman" w:hAnsi="Times New Roman"/>
                <w:color w:val="000000"/>
                <w:sz w:val="24"/>
                <w:szCs w:val="24"/>
                <w:lang w:eastAsia="ru-RU"/>
              </w:rPr>
              <w:t>0</w:t>
            </w:r>
          </w:p>
        </w:tc>
      </w:tr>
      <w:tr w:rsidR="00D33150" w:rsidRPr="00FE12AD" w14:paraId="3CB56827" w14:textId="77777777" w:rsidTr="008D4996">
        <w:trPr>
          <w:trHeight w:val="345"/>
        </w:trPr>
        <w:tc>
          <w:tcPr>
            <w:tcW w:w="5230" w:type="dxa"/>
            <w:tcBorders>
              <w:top w:val="nil"/>
              <w:left w:val="single" w:sz="12" w:space="0" w:color="FFFFFF"/>
              <w:bottom w:val="single" w:sz="12" w:space="0" w:color="FFFFFF"/>
              <w:right w:val="single" w:sz="12" w:space="0" w:color="FFFFFF"/>
            </w:tcBorders>
            <w:shd w:val="clear" w:color="000000" w:fill="D9D9D9"/>
            <w:noWrap/>
            <w:vAlign w:val="center"/>
            <w:hideMark/>
          </w:tcPr>
          <w:p w14:paraId="56CC7623" w14:textId="77777777" w:rsidR="00D33150" w:rsidRPr="00FE12AD" w:rsidRDefault="00D33150" w:rsidP="008D4996">
            <w:pPr>
              <w:rPr>
                <w:rFonts w:ascii="Times New Roman" w:eastAsia="Times New Roman" w:hAnsi="Times New Roman"/>
                <w:b/>
                <w:bCs/>
                <w:color w:val="000000"/>
                <w:sz w:val="24"/>
                <w:szCs w:val="24"/>
                <w:lang w:eastAsia="ru-RU"/>
              </w:rPr>
            </w:pPr>
            <w:r w:rsidRPr="00FE12AD">
              <w:rPr>
                <w:rFonts w:ascii="Times New Roman" w:eastAsia="Times New Roman" w:hAnsi="Times New Roman"/>
                <w:b/>
                <w:bCs/>
                <w:color w:val="000000"/>
                <w:sz w:val="24"/>
                <w:szCs w:val="24"/>
                <w:lang w:eastAsia="ru-RU"/>
              </w:rPr>
              <w:t>Процентный риск, в % от капитала</w:t>
            </w:r>
          </w:p>
        </w:tc>
        <w:tc>
          <w:tcPr>
            <w:tcW w:w="2410" w:type="dxa"/>
            <w:tcBorders>
              <w:top w:val="nil"/>
              <w:left w:val="nil"/>
              <w:bottom w:val="single" w:sz="12" w:space="0" w:color="FFFFFF"/>
              <w:right w:val="single" w:sz="12" w:space="0" w:color="FFFFFF"/>
            </w:tcBorders>
            <w:shd w:val="clear" w:color="000000" w:fill="D9D9D9"/>
            <w:noWrap/>
            <w:vAlign w:val="center"/>
            <w:hideMark/>
          </w:tcPr>
          <w:p w14:paraId="7CDD0CBB" w14:textId="77777777" w:rsidR="00D33150" w:rsidRPr="00FE12AD" w:rsidRDefault="00D33150" w:rsidP="008D4996">
            <w:pPr>
              <w:jc w:val="center"/>
              <w:rPr>
                <w:rFonts w:ascii="Times New Roman" w:eastAsia="Times New Roman" w:hAnsi="Times New Roman"/>
                <w:b/>
                <w:bCs/>
                <w:color w:val="000000"/>
                <w:sz w:val="24"/>
                <w:szCs w:val="24"/>
                <w:lang w:eastAsia="ru-RU"/>
              </w:rPr>
            </w:pPr>
            <w:r w:rsidRPr="00FE12AD">
              <w:rPr>
                <w:rFonts w:ascii="Times New Roman" w:eastAsia="Times New Roman" w:hAnsi="Times New Roman"/>
                <w:b/>
                <w:bCs/>
                <w:color w:val="000000"/>
                <w:sz w:val="24"/>
                <w:szCs w:val="24"/>
                <w:lang w:eastAsia="ru-RU"/>
              </w:rPr>
              <w:t>20,81%</w:t>
            </w:r>
          </w:p>
        </w:tc>
        <w:tc>
          <w:tcPr>
            <w:tcW w:w="1987" w:type="dxa"/>
            <w:tcBorders>
              <w:top w:val="nil"/>
              <w:left w:val="nil"/>
              <w:bottom w:val="single" w:sz="12" w:space="0" w:color="FFFFFF"/>
              <w:right w:val="single" w:sz="12" w:space="0" w:color="FFFFFF"/>
            </w:tcBorders>
            <w:shd w:val="clear" w:color="000000" w:fill="D9D9D9"/>
            <w:noWrap/>
            <w:vAlign w:val="center"/>
            <w:hideMark/>
          </w:tcPr>
          <w:p w14:paraId="473E50FA" w14:textId="77777777" w:rsidR="00D33150" w:rsidRPr="00FE12AD" w:rsidRDefault="00D33150" w:rsidP="008D4996">
            <w:pPr>
              <w:jc w:val="center"/>
              <w:rPr>
                <w:rFonts w:ascii="Times New Roman" w:eastAsia="Times New Roman" w:hAnsi="Times New Roman"/>
                <w:b/>
                <w:bCs/>
                <w:color w:val="000000"/>
                <w:sz w:val="24"/>
                <w:szCs w:val="24"/>
                <w:lang w:eastAsia="ru-RU"/>
              </w:rPr>
            </w:pPr>
            <w:r w:rsidRPr="00FE12AD">
              <w:rPr>
                <w:rFonts w:ascii="Times New Roman" w:eastAsia="Times New Roman" w:hAnsi="Times New Roman"/>
                <w:b/>
                <w:bCs/>
                <w:color w:val="000000"/>
                <w:sz w:val="24"/>
                <w:szCs w:val="24"/>
                <w:lang w:eastAsia="ru-RU"/>
              </w:rPr>
              <w:t>19,62%</w:t>
            </w:r>
          </w:p>
        </w:tc>
      </w:tr>
    </w:tbl>
    <w:p w14:paraId="16697823" w14:textId="03273F91" w:rsidR="00D33150" w:rsidRDefault="0098619E" w:rsidP="0098619E">
      <w:pPr>
        <w:widowControl w:val="0"/>
        <w:autoSpaceDE w:val="0"/>
        <w:autoSpaceDN w:val="0"/>
        <w:adjustRightInd w:val="0"/>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По состоянию на 01.01.201</w:t>
      </w:r>
      <w:r w:rsidR="00D33150">
        <w:rPr>
          <w:rFonts w:ascii="Times New Roman" w:eastAsia="Calibri" w:hAnsi="Times New Roman"/>
          <w:sz w:val="24"/>
          <w:szCs w:val="24"/>
        </w:rPr>
        <w:t>8</w:t>
      </w:r>
      <w:r>
        <w:rPr>
          <w:rFonts w:ascii="Times New Roman" w:eastAsia="Calibri" w:hAnsi="Times New Roman"/>
          <w:sz w:val="24"/>
          <w:szCs w:val="24"/>
        </w:rPr>
        <w:t xml:space="preserve"> г.,</w:t>
      </w:r>
      <w:r w:rsidR="00D33150" w:rsidRPr="00341240">
        <w:rPr>
          <w:rFonts w:ascii="Times New Roman" w:eastAsia="Calibri" w:hAnsi="Times New Roman"/>
          <w:sz w:val="24"/>
          <w:szCs w:val="24"/>
        </w:rPr>
        <w:t xml:space="preserve"> величина процентного риска составила </w:t>
      </w:r>
      <w:r w:rsidR="00D33150">
        <w:rPr>
          <w:rFonts w:ascii="Times New Roman" w:eastAsia="Calibri" w:hAnsi="Times New Roman"/>
          <w:sz w:val="24"/>
          <w:szCs w:val="24"/>
        </w:rPr>
        <w:t>20</w:t>
      </w:r>
      <w:r w:rsidR="00D33150" w:rsidRPr="00341240">
        <w:rPr>
          <w:rFonts w:ascii="Times New Roman" w:eastAsia="Calibri" w:hAnsi="Times New Roman"/>
          <w:sz w:val="24"/>
          <w:szCs w:val="24"/>
        </w:rPr>
        <w:t>,</w:t>
      </w:r>
      <w:r w:rsidR="00D33150">
        <w:rPr>
          <w:rFonts w:ascii="Times New Roman" w:eastAsia="Calibri" w:hAnsi="Times New Roman"/>
          <w:sz w:val="24"/>
          <w:szCs w:val="24"/>
        </w:rPr>
        <w:t>81</w:t>
      </w:r>
      <w:r w:rsidR="00D33150" w:rsidRPr="00341240">
        <w:rPr>
          <w:rFonts w:ascii="Times New Roman" w:eastAsia="Calibri" w:hAnsi="Times New Roman"/>
          <w:sz w:val="24"/>
          <w:szCs w:val="24"/>
        </w:rPr>
        <w:t>% капитала (собственных средств) Банка (</w:t>
      </w:r>
      <w:r w:rsidR="00D33150">
        <w:rPr>
          <w:rFonts w:ascii="Times New Roman" w:eastAsia="Calibri" w:hAnsi="Times New Roman"/>
          <w:sz w:val="24"/>
          <w:szCs w:val="24"/>
        </w:rPr>
        <w:t>19</w:t>
      </w:r>
      <w:r w:rsidR="00D33150" w:rsidRPr="00341240">
        <w:rPr>
          <w:rFonts w:ascii="Times New Roman" w:eastAsia="Calibri" w:hAnsi="Times New Roman"/>
          <w:sz w:val="24"/>
          <w:szCs w:val="24"/>
        </w:rPr>
        <w:t>,</w:t>
      </w:r>
      <w:r w:rsidR="00D33150">
        <w:rPr>
          <w:rFonts w:ascii="Times New Roman" w:eastAsia="Calibri" w:hAnsi="Times New Roman"/>
          <w:sz w:val="24"/>
          <w:szCs w:val="24"/>
        </w:rPr>
        <w:t>62</w:t>
      </w:r>
      <w:r w:rsidR="00D33150" w:rsidRPr="00341240">
        <w:rPr>
          <w:rFonts w:ascii="Times New Roman" w:eastAsia="Calibri" w:hAnsi="Times New Roman"/>
          <w:sz w:val="24"/>
          <w:szCs w:val="24"/>
        </w:rPr>
        <w:t>% на 01.01.201</w:t>
      </w:r>
      <w:r w:rsidR="00D33150">
        <w:rPr>
          <w:rFonts w:ascii="Times New Roman" w:eastAsia="Calibri" w:hAnsi="Times New Roman"/>
          <w:sz w:val="24"/>
          <w:szCs w:val="24"/>
        </w:rPr>
        <w:t>7</w:t>
      </w:r>
      <w:r w:rsidR="00D33150" w:rsidRPr="00341240">
        <w:rPr>
          <w:rFonts w:ascii="Times New Roman" w:eastAsia="Calibri" w:hAnsi="Times New Roman"/>
          <w:sz w:val="24"/>
          <w:szCs w:val="24"/>
        </w:rPr>
        <w:t xml:space="preserve"> г.).</w:t>
      </w:r>
    </w:p>
    <w:p w14:paraId="673293A1" w14:textId="29C3CB4E" w:rsidR="00D33150" w:rsidRDefault="0098619E" w:rsidP="0098619E">
      <w:pPr>
        <w:widowControl w:val="0"/>
        <w:autoSpaceDE w:val="0"/>
        <w:autoSpaceDN w:val="0"/>
        <w:adjustRightInd w:val="0"/>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Процентный риск рассчитывается как сумма общего процентного риска неблагоприятного изменения текущей (справедливой) стоимости ценных бумаг и производных финансовых инструментов, связанного с рыночными колебаниями процентных ставок, и специального процентного риска под влиянием факторов, связанных с эмитентом ценных бумаг, а также сроков, оставшихся до погашения ценных бумаг, и валюты, в которой номинированы ценные бумаги.</w:t>
      </w:r>
    </w:p>
    <w:p w14:paraId="1A567B2E" w14:textId="58408829" w:rsidR="00D33150" w:rsidRPr="00FD55ED" w:rsidRDefault="0098619E" w:rsidP="0098619E">
      <w:pPr>
        <w:widowControl w:val="0"/>
        <w:autoSpaceDE w:val="0"/>
        <w:autoSpaceDN w:val="0"/>
        <w:adjustRightInd w:val="0"/>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 xml:space="preserve">Фондовый риск не возникает ввиду отсутствия в портфеле </w:t>
      </w:r>
      <w:r w:rsidR="00D33150">
        <w:rPr>
          <w:rFonts w:ascii="Times New Roman" w:eastAsia="Calibri" w:hAnsi="Times New Roman"/>
          <w:sz w:val="24"/>
          <w:szCs w:val="24"/>
        </w:rPr>
        <w:t>НКЦ</w:t>
      </w:r>
      <w:r w:rsidR="00D33150" w:rsidRPr="00341240">
        <w:rPr>
          <w:rFonts w:ascii="Times New Roman" w:eastAsia="Calibri" w:hAnsi="Times New Roman"/>
          <w:sz w:val="24"/>
          <w:szCs w:val="24"/>
        </w:rPr>
        <w:t xml:space="preserve"> долевых ценных бумаг. Валютный риск реализуется вследствие неблагоприятного изменения курсов валют. Открытые позиции в иностранных валютах и драгоценных металлах по состоянию на 01.01.201</w:t>
      </w:r>
      <w:r w:rsidR="00D33150">
        <w:rPr>
          <w:rFonts w:ascii="Times New Roman" w:eastAsia="Calibri" w:hAnsi="Times New Roman"/>
          <w:sz w:val="24"/>
          <w:szCs w:val="24"/>
        </w:rPr>
        <w:t>8</w:t>
      </w:r>
      <w:r w:rsidR="00D33150" w:rsidRPr="00341240">
        <w:rPr>
          <w:rFonts w:ascii="Times New Roman" w:eastAsia="Calibri" w:hAnsi="Times New Roman"/>
          <w:sz w:val="24"/>
          <w:szCs w:val="24"/>
        </w:rPr>
        <w:t xml:space="preserve"> и 01.01.201</w:t>
      </w:r>
      <w:r w:rsidR="00D33150">
        <w:rPr>
          <w:rFonts w:ascii="Times New Roman" w:eastAsia="Calibri" w:hAnsi="Times New Roman"/>
          <w:sz w:val="24"/>
          <w:szCs w:val="24"/>
        </w:rPr>
        <w:t>7</w:t>
      </w:r>
      <w:r w:rsidR="00D33150" w:rsidRPr="00341240">
        <w:rPr>
          <w:rFonts w:ascii="Times New Roman" w:eastAsia="Calibri" w:hAnsi="Times New Roman"/>
          <w:sz w:val="24"/>
          <w:szCs w:val="24"/>
        </w:rPr>
        <w:t xml:space="preserve"> составили менее 1% капитала (собственных средств), в этой связи НКЦ к валютному риску не чувствителен. Величина рыночного риска в течение 201</w:t>
      </w:r>
      <w:r w:rsidR="00D33150">
        <w:rPr>
          <w:rFonts w:ascii="Times New Roman" w:eastAsia="Calibri" w:hAnsi="Times New Roman"/>
          <w:sz w:val="24"/>
          <w:szCs w:val="24"/>
        </w:rPr>
        <w:t>7</w:t>
      </w:r>
      <w:r w:rsidR="00D33150" w:rsidRPr="00341240">
        <w:rPr>
          <w:rFonts w:ascii="Times New Roman" w:eastAsia="Calibri" w:hAnsi="Times New Roman"/>
          <w:sz w:val="24"/>
          <w:szCs w:val="24"/>
        </w:rPr>
        <w:t xml:space="preserve"> года оценивалась как не создающая потенциальных потерь, угрожающих финансовой устойчивости НКЦ.</w:t>
      </w:r>
    </w:p>
    <w:p w14:paraId="02C05893" w14:textId="77777777" w:rsidR="00D33150" w:rsidRPr="00C11834" w:rsidRDefault="00D33150" w:rsidP="003221B6">
      <w:pPr>
        <w:pStyle w:val="3"/>
        <w:jc w:val="center"/>
        <w:rPr>
          <w:rFonts w:ascii="Times New Roman" w:eastAsia="Calibri" w:hAnsi="Times New Roman" w:cs="Times New Roman"/>
          <w:b/>
          <w:i/>
          <w:color w:val="auto"/>
        </w:rPr>
      </w:pPr>
      <w:bookmarkStart w:id="22" w:name="_Toc510776670"/>
      <w:r w:rsidRPr="00C11834">
        <w:rPr>
          <w:rFonts w:ascii="Times New Roman" w:eastAsia="Calibri" w:hAnsi="Times New Roman" w:cs="Times New Roman"/>
          <w:b/>
          <w:i/>
          <w:color w:val="auto"/>
        </w:rPr>
        <w:t xml:space="preserve">Управление </w:t>
      </w:r>
      <w:r>
        <w:rPr>
          <w:rFonts w:ascii="Times New Roman" w:eastAsia="Calibri" w:hAnsi="Times New Roman" w:cs="Times New Roman"/>
          <w:b/>
          <w:i/>
          <w:color w:val="auto"/>
        </w:rPr>
        <w:t>процентным риском банковского портфеля</w:t>
      </w:r>
      <w:bookmarkEnd w:id="22"/>
    </w:p>
    <w:p w14:paraId="2812B01C" w14:textId="41D08553" w:rsidR="00D33150" w:rsidRPr="0098619E" w:rsidRDefault="0098619E" w:rsidP="0098619E">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00D33150" w:rsidRPr="0098619E">
        <w:rPr>
          <w:rFonts w:ascii="Times New Roman" w:hAnsi="Times New Roman"/>
          <w:sz w:val="24"/>
          <w:szCs w:val="24"/>
        </w:rPr>
        <w:t xml:space="preserve">Управление процентным риском банковского портфеля НКЦ осуществляется в рамках управления рыночным риском НКЦ. Оценка процентного риска банковского портфеля осуществляется на основе анализа объема и структуры балансовых и внебалансовых требований и обязательств, включенных в банковский портфель. </w:t>
      </w:r>
    </w:p>
    <w:p w14:paraId="6FFAD832" w14:textId="5F502503" w:rsidR="00D33150" w:rsidRPr="0098619E" w:rsidRDefault="0098619E" w:rsidP="0098619E">
      <w:pPr>
        <w:widowControl w:val="0"/>
        <w:autoSpaceDE w:val="0"/>
        <w:autoSpaceDN w:val="0"/>
        <w:adjustRightInd w:val="0"/>
        <w:spacing w:before="120"/>
        <w:jc w:val="both"/>
        <w:rPr>
          <w:rFonts w:ascii="Times New Roman" w:hAnsi="Times New Roman"/>
          <w:sz w:val="24"/>
          <w:szCs w:val="24"/>
        </w:rPr>
      </w:pPr>
      <w:r>
        <w:rPr>
          <w:rFonts w:ascii="Times New Roman" w:hAnsi="Times New Roman"/>
          <w:sz w:val="24"/>
          <w:szCs w:val="24"/>
        </w:rPr>
        <w:t xml:space="preserve">     </w:t>
      </w:r>
      <w:r w:rsidR="00D33150" w:rsidRPr="0098619E">
        <w:rPr>
          <w:rFonts w:ascii="Times New Roman" w:hAnsi="Times New Roman"/>
          <w:sz w:val="24"/>
          <w:szCs w:val="24"/>
        </w:rPr>
        <w:t>Источником процентного риска является неблагоприятное изменение процентных ставок, которое может повлечь за собой возникновение у НКЦ потенциальных потерь вследствие несовпадения сроков погашения (пересмотра процентных ставок) активов и пассивов, чувствительных к изменению процентных ставок, при параллельном сдвиге, изменении наклона или формы кривой доходности, а также реализации базисного риска, возникающего из-за различной чувствительности активов и обязательств одинаковой срочности к изменению процентных ставок.</w:t>
      </w:r>
    </w:p>
    <w:p w14:paraId="0544E596" w14:textId="4CA848CE" w:rsidR="00D33150" w:rsidRPr="0098619E" w:rsidRDefault="0098619E" w:rsidP="0098619E">
      <w:pPr>
        <w:widowControl w:val="0"/>
        <w:autoSpaceDE w:val="0"/>
        <w:autoSpaceDN w:val="0"/>
        <w:adjustRightInd w:val="0"/>
        <w:spacing w:before="120"/>
        <w:jc w:val="both"/>
        <w:rPr>
          <w:rFonts w:ascii="Times New Roman" w:hAnsi="Times New Roman"/>
          <w:sz w:val="24"/>
          <w:szCs w:val="24"/>
        </w:rPr>
      </w:pPr>
      <w:r>
        <w:rPr>
          <w:rFonts w:ascii="Times New Roman" w:hAnsi="Times New Roman"/>
          <w:sz w:val="24"/>
          <w:szCs w:val="24"/>
        </w:rPr>
        <w:t xml:space="preserve">      </w:t>
      </w:r>
      <w:r w:rsidR="00D33150" w:rsidRPr="0098619E">
        <w:rPr>
          <w:rFonts w:ascii="Times New Roman" w:hAnsi="Times New Roman"/>
          <w:sz w:val="24"/>
          <w:szCs w:val="24"/>
        </w:rPr>
        <w:t>Для оценки уровня принятого процентного риска НКЦ использует методы измерения процентного риска - ГЭП-анализ и метод дюрации. В течение всего 2017 года процентный риск банковского портфеля находился в границах допустимых значений, утвержденных Правлением НКЦ.</w:t>
      </w:r>
    </w:p>
    <w:p w14:paraId="3F2862DD" w14:textId="77777777" w:rsidR="00D33150" w:rsidRPr="0098619E" w:rsidRDefault="00D33150" w:rsidP="00D33150">
      <w:pPr>
        <w:widowControl w:val="0"/>
        <w:autoSpaceDE w:val="0"/>
        <w:autoSpaceDN w:val="0"/>
        <w:adjustRightInd w:val="0"/>
        <w:ind w:firstLine="540"/>
        <w:jc w:val="both"/>
        <w:rPr>
          <w:rFonts w:ascii="Times New Roman" w:hAnsi="Times New Roman"/>
          <w:sz w:val="24"/>
          <w:szCs w:val="24"/>
        </w:rPr>
      </w:pPr>
    </w:p>
    <w:p w14:paraId="0B659B0B" w14:textId="77777777" w:rsidR="00D33150" w:rsidRPr="00C11834" w:rsidRDefault="00D33150" w:rsidP="003221B6">
      <w:pPr>
        <w:pStyle w:val="3"/>
        <w:jc w:val="center"/>
        <w:rPr>
          <w:rFonts w:ascii="Times New Roman" w:eastAsia="Calibri" w:hAnsi="Times New Roman" w:cs="Times New Roman"/>
          <w:b/>
          <w:i/>
          <w:color w:val="auto"/>
        </w:rPr>
      </w:pPr>
      <w:bookmarkStart w:id="23" w:name="_Toc510776671"/>
      <w:r w:rsidRPr="00C11834">
        <w:rPr>
          <w:rFonts w:ascii="Times New Roman" w:eastAsia="Calibri" w:hAnsi="Times New Roman" w:cs="Times New Roman"/>
          <w:b/>
          <w:i/>
          <w:color w:val="auto"/>
        </w:rPr>
        <w:lastRenderedPageBreak/>
        <w:t>Управление риском ликвидности</w:t>
      </w:r>
      <w:bookmarkEnd w:id="23"/>
    </w:p>
    <w:p w14:paraId="53F9B7E8" w14:textId="77E59037" w:rsidR="00D33150" w:rsidRPr="00341240" w:rsidRDefault="0098619E" w:rsidP="0098619E">
      <w:pPr>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 xml:space="preserve">Консервативная политика по размещению средств способствовала поддержанию уровня ликвидности, достаточного для выполнения платежных обязательств НКЦ, в первую очередь, как центрального контрагента. Управление ликвидностью направлено на обеспечение способности НКЦ своевременно и в полном объеме выполнять свои обязательства как в нормальных рыночных условиях, так и в непредвиденных чрезвычайных ситуациях без возникновения неприемлемых убытков и риска нанесения ущерба деловой репутации. </w:t>
      </w:r>
    </w:p>
    <w:p w14:paraId="2E1120FD" w14:textId="13CF3505" w:rsidR="00D33150" w:rsidRDefault="0098619E" w:rsidP="0098619E">
      <w:pPr>
        <w:spacing w:before="120" w:after="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В течение 201</w:t>
      </w:r>
      <w:r w:rsidR="00D33150">
        <w:rPr>
          <w:rFonts w:ascii="Times New Roman" w:eastAsia="Calibri" w:hAnsi="Times New Roman"/>
          <w:sz w:val="24"/>
          <w:szCs w:val="24"/>
        </w:rPr>
        <w:t>7</w:t>
      </w:r>
      <w:r w:rsidR="00D33150" w:rsidRPr="00341240">
        <w:rPr>
          <w:rFonts w:ascii="Times New Roman" w:eastAsia="Calibri" w:hAnsi="Times New Roman"/>
          <w:sz w:val="24"/>
          <w:szCs w:val="24"/>
        </w:rPr>
        <w:t xml:space="preserve"> года обязательные для кредитных организаций нормативы ликвидности выполнялись НКЦ с существенным запасом</w:t>
      </w:r>
      <w:r w:rsidR="00D33150">
        <w:rPr>
          <w:rFonts w:ascii="Times New Roman" w:eastAsia="Calibri" w:hAnsi="Times New Roman"/>
          <w:sz w:val="24"/>
          <w:szCs w:val="24"/>
        </w:rPr>
        <w:t xml:space="preserve">. Однако, с момента присвоения НКЦ </w:t>
      </w:r>
      <w:r w:rsidR="001D66DC">
        <w:rPr>
          <w:rFonts w:ascii="Times New Roman" w:eastAsia="Calibri" w:hAnsi="Times New Roman"/>
          <w:sz w:val="24"/>
          <w:szCs w:val="24"/>
        </w:rPr>
        <w:t xml:space="preserve">нового </w:t>
      </w:r>
      <w:r w:rsidR="00D33150">
        <w:rPr>
          <w:rFonts w:ascii="Times New Roman" w:eastAsia="Calibri" w:hAnsi="Times New Roman"/>
          <w:sz w:val="24"/>
          <w:szCs w:val="24"/>
        </w:rPr>
        <w:t xml:space="preserve">статуса обязательные нормативы для кредитных организаций на НКЦ не распространяются и заменены на обязательные нормативы </w:t>
      </w:r>
      <w:r w:rsidR="00AE1E26">
        <w:rPr>
          <w:rFonts w:ascii="Times New Roman" w:eastAsia="Calibri" w:hAnsi="Times New Roman"/>
          <w:sz w:val="24"/>
          <w:szCs w:val="24"/>
        </w:rPr>
        <w:t>небанковской кредитной организации-центрального контрагента</w:t>
      </w:r>
      <w:r w:rsidR="00D33150" w:rsidRPr="00341240">
        <w:rPr>
          <w:rFonts w:ascii="Times New Roman" w:eastAsia="Calibri" w:hAnsi="Times New Roman"/>
          <w:sz w:val="24"/>
          <w:szCs w:val="24"/>
        </w:rPr>
        <w:t>:</w:t>
      </w:r>
    </w:p>
    <w:tbl>
      <w:tblPr>
        <w:tblW w:w="9410" w:type="dxa"/>
        <w:tblLook w:val="04A0" w:firstRow="1" w:lastRow="0" w:firstColumn="1" w:lastColumn="0" w:noHBand="0" w:noVBand="1"/>
      </w:tblPr>
      <w:tblGrid>
        <w:gridCol w:w="3282"/>
        <w:gridCol w:w="3263"/>
        <w:gridCol w:w="1441"/>
        <w:gridCol w:w="1424"/>
      </w:tblGrid>
      <w:tr w:rsidR="00D33150" w:rsidRPr="00A227CB" w14:paraId="34CF97BC" w14:textId="77777777" w:rsidTr="008D4996">
        <w:trPr>
          <w:trHeight w:val="459"/>
        </w:trPr>
        <w:tc>
          <w:tcPr>
            <w:tcW w:w="9410" w:type="dxa"/>
            <w:gridSpan w:val="4"/>
            <w:tcBorders>
              <w:top w:val="single" w:sz="12" w:space="0" w:color="FFFFFF"/>
              <w:left w:val="single" w:sz="12" w:space="0" w:color="FFFFFF"/>
              <w:bottom w:val="single" w:sz="12" w:space="0" w:color="FFFFFF"/>
              <w:right w:val="single" w:sz="12" w:space="0" w:color="FFFFFF"/>
            </w:tcBorders>
            <w:shd w:val="clear" w:color="000000" w:fill="C00000"/>
            <w:noWrap/>
            <w:vAlign w:val="center"/>
            <w:hideMark/>
          </w:tcPr>
          <w:p w14:paraId="622B5E5A" w14:textId="77777777" w:rsidR="00D33150" w:rsidRPr="00A227CB" w:rsidRDefault="00D33150" w:rsidP="008D4996">
            <w:pPr>
              <w:rPr>
                <w:rFonts w:ascii="Times New Roman" w:eastAsia="Times New Roman" w:hAnsi="Times New Roman"/>
                <w:b/>
                <w:bCs/>
                <w:color w:val="FFFFFF"/>
                <w:sz w:val="24"/>
                <w:szCs w:val="24"/>
                <w:lang w:eastAsia="ru-RU"/>
              </w:rPr>
            </w:pPr>
            <w:r w:rsidRPr="00A227CB">
              <w:rPr>
                <w:rFonts w:ascii="Times New Roman" w:eastAsia="Times New Roman" w:hAnsi="Times New Roman"/>
                <w:b/>
                <w:bCs/>
                <w:color w:val="FFFFFF"/>
                <w:sz w:val="24"/>
                <w:szCs w:val="24"/>
                <w:lang w:eastAsia="ru-RU"/>
              </w:rPr>
              <w:t>Выполнение нормативов ликвидности</w:t>
            </w:r>
            <w:r>
              <w:rPr>
                <w:rFonts w:ascii="Times New Roman" w:eastAsia="Times New Roman" w:hAnsi="Times New Roman"/>
                <w:b/>
                <w:bCs/>
                <w:color w:val="FFFFFF"/>
                <w:sz w:val="24"/>
                <w:szCs w:val="24"/>
                <w:lang w:eastAsia="ru-RU"/>
              </w:rPr>
              <w:t xml:space="preserve"> по состоянию на 01.11.2017</w:t>
            </w:r>
            <w:r w:rsidRPr="00A227CB">
              <w:rPr>
                <w:rFonts w:ascii="Times New Roman" w:eastAsia="Times New Roman" w:hAnsi="Times New Roman"/>
                <w:b/>
                <w:bCs/>
                <w:color w:val="FFFFFF"/>
                <w:sz w:val="24"/>
                <w:szCs w:val="24"/>
                <w:lang w:eastAsia="ru-RU"/>
              </w:rPr>
              <w:t>, %</w:t>
            </w:r>
          </w:p>
        </w:tc>
      </w:tr>
      <w:tr w:rsidR="00D33150" w:rsidRPr="00A227CB" w14:paraId="38089ABF" w14:textId="77777777" w:rsidTr="008D4996">
        <w:trPr>
          <w:trHeight w:val="774"/>
        </w:trPr>
        <w:tc>
          <w:tcPr>
            <w:tcW w:w="3282" w:type="dxa"/>
            <w:tcBorders>
              <w:top w:val="nil"/>
              <w:left w:val="single" w:sz="12" w:space="0" w:color="FFFFFF"/>
              <w:bottom w:val="single" w:sz="12" w:space="0" w:color="FFFFFF"/>
              <w:right w:val="single" w:sz="12" w:space="0" w:color="FFFFFF"/>
            </w:tcBorders>
            <w:shd w:val="clear" w:color="000000" w:fill="D9D9D9"/>
            <w:vAlign w:val="center"/>
            <w:hideMark/>
          </w:tcPr>
          <w:p w14:paraId="1AFCD680" w14:textId="77777777" w:rsidR="00D33150" w:rsidRPr="00A227CB" w:rsidRDefault="00D33150" w:rsidP="008D4996">
            <w:pPr>
              <w:jc w:val="center"/>
              <w:rPr>
                <w:rFonts w:ascii="Times New Roman" w:eastAsia="Times New Roman" w:hAnsi="Times New Roman"/>
                <w:b/>
                <w:bCs/>
                <w:color w:val="000000"/>
                <w:sz w:val="24"/>
                <w:szCs w:val="24"/>
                <w:lang w:eastAsia="ru-RU"/>
              </w:rPr>
            </w:pPr>
            <w:r w:rsidRPr="00A227CB">
              <w:rPr>
                <w:rFonts w:ascii="Times New Roman" w:eastAsia="Times New Roman" w:hAnsi="Times New Roman"/>
                <w:b/>
                <w:bCs/>
                <w:color w:val="000000"/>
                <w:sz w:val="24"/>
                <w:szCs w:val="24"/>
                <w:lang w:eastAsia="ru-RU"/>
              </w:rPr>
              <w:t>Нормативы ликвидности</w:t>
            </w:r>
          </w:p>
        </w:tc>
        <w:tc>
          <w:tcPr>
            <w:tcW w:w="3263" w:type="dxa"/>
            <w:tcBorders>
              <w:top w:val="nil"/>
              <w:left w:val="nil"/>
              <w:bottom w:val="single" w:sz="12" w:space="0" w:color="FFFFFF"/>
              <w:right w:val="single" w:sz="12" w:space="0" w:color="FFFFFF"/>
            </w:tcBorders>
            <w:shd w:val="clear" w:color="000000" w:fill="D9D9D9"/>
            <w:vAlign w:val="center"/>
            <w:hideMark/>
          </w:tcPr>
          <w:p w14:paraId="70BD9FC0" w14:textId="77777777" w:rsidR="00D33150" w:rsidRPr="00A227CB" w:rsidRDefault="00D33150" w:rsidP="008D4996">
            <w:pPr>
              <w:jc w:val="center"/>
              <w:rPr>
                <w:rFonts w:ascii="Times New Roman" w:eastAsia="Times New Roman" w:hAnsi="Times New Roman"/>
                <w:b/>
                <w:bCs/>
                <w:color w:val="000000"/>
                <w:sz w:val="24"/>
                <w:szCs w:val="24"/>
                <w:lang w:eastAsia="ru-RU"/>
              </w:rPr>
            </w:pPr>
            <w:r w:rsidRPr="00A227CB">
              <w:rPr>
                <w:rFonts w:ascii="Times New Roman" w:eastAsia="Times New Roman" w:hAnsi="Times New Roman"/>
                <w:b/>
                <w:bCs/>
                <w:color w:val="000000"/>
                <w:sz w:val="24"/>
                <w:szCs w:val="24"/>
                <w:lang w:eastAsia="ru-RU"/>
              </w:rPr>
              <w:t>Предельное значение, установленное Банком России</w:t>
            </w:r>
          </w:p>
        </w:tc>
        <w:tc>
          <w:tcPr>
            <w:tcW w:w="1441" w:type="dxa"/>
            <w:tcBorders>
              <w:top w:val="nil"/>
              <w:left w:val="nil"/>
              <w:bottom w:val="single" w:sz="12" w:space="0" w:color="FFFFFF"/>
              <w:right w:val="single" w:sz="12" w:space="0" w:color="FFFFFF"/>
            </w:tcBorders>
            <w:shd w:val="clear" w:color="000000" w:fill="D9D9D9"/>
            <w:vAlign w:val="center"/>
            <w:hideMark/>
          </w:tcPr>
          <w:p w14:paraId="35A66BE2" w14:textId="77777777" w:rsidR="00D33150" w:rsidRPr="00A227CB" w:rsidRDefault="00D33150" w:rsidP="008D4996">
            <w:pPr>
              <w:jc w:val="center"/>
              <w:rPr>
                <w:rFonts w:ascii="Times New Roman" w:eastAsia="Times New Roman" w:hAnsi="Times New Roman"/>
                <w:b/>
                <w:bCs/>
                <w:color w:val="000000"/>
                <w:sz w:val="24"/>
                <w:szCs w:val="24"/>
                <w:lang w:eastAsia="ru-RU"/>
              </w:rPr>
            </w:pPr>
            <w:r w:rsidRPr="00A227CB">
              <w:rPr>
                <w:rFonts w:ascii="Times New Roman" w:eastAsia="Times New Roman" w:hAnsi="Times New Roman"/>
                <w:b/>
                <w:bCs/>
                <w:color w:val="000000"/>
                <w:sz w:val="24"/>
                <w:szCs w:val="24"/>
                <w:lang w:eastAsia="ru-RU"/>
              </w:rPr>
              <w:t>01.11.2017</w:t>
            </w:r>
          </w:p>
        </w:tc>
        <w:tc>
          <w:tcPr>
            <w:tcW w:w="1422" w:type="dxa"/>
            <w:tcBorders>
              <w:top w:val="nil"/>
              <w:left w:val="nil"/>
              <w:bottom w:val="single" w:sz="12" w:space="0" w:color="FFFFFF"/>
              <w:right w:val="single" w:sz="12" w:space="0" w:color="FFFFFF"/>
            </w:tcBorders>
            <w:shd w:val="clear" w:color="000000" w:fill="D9D9D9"/>
            <w:vAlign w:val="center"/>
            <w:hideMark/>
          </w:tcPr>
          <w:p w14:paraId="4C857C91" w14:textId="77777777" w:rsidR="00D33150" w:rsidRPr="00A227CB" w:rsidRDefault="00D33150" w:rsidP="008D4996">
            <w:pPr>
              <w:jc w:val="center"/>
              <w:rPr>
                <w:rFonts w:ascii="Times New Roman" w:eastAsia="Times New Roman" w:hAnsi="Times New Roman"/>
                <w:b/>
                <w:bCs/>
                <w:color w:val="000000"/>
                <w:sz w:val="24"/>
                <w:szCs w:val="24"/>
                <w:lang w:eastAsia="ru-RU"/>
              </w:rPr>
            </w:pPr>
            <w:r w:rsidRPr="00A227CB">
              <w:rPr>
                <w:rFonts w:ascii="Times New Roman" w:eastAsia="Times New Roman" w:hAnsi="Times New Roman"/>
                <w:b/>
                <w:bCs/>
                <w:color w:val="000000"/>
                <w:sz w:val="24"/>
                <w:szCs w:val="24"/>
                <w:lang w:eastAsia="ru-RU"/>
              </w:rPr>
              <w:t>01.01.2017</w:t>
            </w:r>
          </w:p>
        </w:tc>
      </w:tr>
      <w:tr w:rsidR="00D33150" w:rsidRPr="00A227CB" w14:paraId="6A2F5F69" w14:textId="77777777" w:rsidTr="008D4996">
        <w:trPr>
          <w:trHeight w:val="631"/>
        </w:trPr>
        <w:tc>
          <w:tcPr>
            <w:tcW w:w="3282" w:type="dxa"/>
            <w:tcBorders>
              <w:top w:val="nil"/>
              <w:left w:val="single" w:sz="12" w:space="0" w:color="FFFFFF"/>
              <w:bottom w:val="single" w:sz="12" w:space="0" w:color="FFFFFF"/>
              <w:right w:val="single" w:sz="12" w:space="0" w:color="FFFFFF"/>
            </w:tcBorders>
            <w:shd w:val="clear" w:color="auto" w:fill="auto"/>
            <w:vAlign w:val="center"/>
            <w:hideMark/>
          </w:tcPr>
          <w:p w14:paraId="3D256395" w14:textId="77777777" w:rsidR="00D33150" w:rsidRPr="00A227CB" w:rsidRDefault="00D33150" w:rsidP="008D4996">
            <w:pPr>
              <w:rPr>
                <w:rFonts w:ascii="Times New Roman" w:eastAsia="Times New Roman" w:hAnsi="Times New Roman"/>
                <w:color w:val="000000"/>
                <w:sz w:val="24"/>
                <w:szCs w:val="24"/>
                <w:lang w:eastAsia="ru-RU"/>
              </w:rPr>
            </w:pPr>
            <w:r w:rsidRPr="00A227CB">
              <w:rPr>
                <w:rFonts w:ascii="Times New Roman" w:eastAsia="Times New Roman" w:hAnsi="Times New Roman"/>
                <w:color w:val="000000"/>
                <w:sz w:val="24"/>
                <w:szCs w:val="24"/>
                <w:lang w:eastAsia="ru-RU"/>
              </w:rPr>
              <w:t>Норматив мгновенной ликвидности (Н2)</w:t>
            </w:r>
          </w:p>
        </w:tc>
        <w:tc>
          <w:tcPr>
            <w:tcW w:w="3263" w:type="dxa"/>
            <w:tcBorders>
              <w:top w:val="nil"/>
              <w:left w:val="nil"/>
              <w:bottom w:val="single" w:sz="12" w:space="0" w:color="FFFFFF"/>
              <w:right w:val="single" w:sz="12" w:space="0" w:color="FFFFFF"/>
            </w:tcBorders>
            <w:shd w:val="clear" w:color="auto" w:fill="auto"/>
            <w:vAlign w:val="center"/>
            <w:hideMark/>
          </w:tcPr>
          <w:p w14:paraId="5E6A2EEF" w14:textId="77777777" w:rsidR="00D33150" w:rsidRPr="00A227CB" w:rsidRDefault="00D33150" w:rsidP="008D4996">
            <w:pPr>
              <w:jc w:val="center"/>
              <w:rPr>
                <w:rFonts w:ascii="Times New Roman" w:eastAsia="Times New Roman" w:hAnsi="Times New Roman"/>
                <w:color w:val="000000"/>
                <w:sz w:val="24"/>
                <w:szCs w:val="24"/>
                <w:lang w:eastAsia="ru-RU"/>
              </w:rPr>
            </w:pPr>
            <w:r w:rsidRPr="00A227CB">
              <w:rPr>
                <w:rFonts w:ascii="Times New Roman" w:eastAsia="Times New Roman" w:hAnsi="Times New Roman"/>
                <w:color w:val="000000"/>
                <w:sz w:val="24"/>
                <w:szCs w:val="24"/>
                <w:lang w:eastAsia="ru-RU"/>
              </w:rPr>
              <w:t>Более 15%</w:t>
            </w:r>
          </w:p>
        </w:tc>
        <w:tc>
          <w:tcPr>
            <w:tcW w:w="1441" w:type="dxa"/>
            <w:tcBorders>
              <w:top w:val="nil"/>
              <w:left w:val="nil"/>
              <w:bottom w:val="single" w:sz="12" w:space="0" w:color="FFFFFF"/>
              <w:right w:val="single" w:sz="12" w:space="0" w:color="FFFFFF"/>
            </w:tcBorders>
            <w:shd w:val="clear" w:color="auto" w:fill="auto"/>
            <w:vAlign w:val="center"/>
            <w:hideMark/>
          </w:tcPr>
          <w:p w14:paraId="2A975E91" w14:textId="77777777" w:rsidR="00D33150" w:rsidRPr="00A227CB" w:rsidRDefault="00D33150" w:rsidP="008D4996">
            <w:pPr>
              <w:jc w:val="center"/>
              <w:rPr>
                <w:rFonts w:ascii="Times New Roman" w:eastAsia="Times New Roman" w:hAnsi="Times New Roman"/>
                <w:color w:val="000000"/>
                <w:sz w:val="24"/>
                <w:szCs w:val="24"/>
                <w:lang w:eastAsia="ru-RU"/>
              </w:rPr>
            </w:pPr>
            <w:r w:rsidRPr="00A227CB">
              <w:rPr>
                <w:rFonts w:ascii="Times New Roman" w:eastAsia="Times New Roman" w:hAnsi="Times New Roman"/>
                <w:color w:val="000000"/>
                <w:sz w:val="24"/>
                <w:szCs w:val="24"/>
                <w:lang w:eastAsia="ru-RU"/>
              </w:rPr>
              <w:t>83,92</w:t>
            </w:r>
          </w:p>
        </w:tc>
        <w:tc>
          <w:tcPr>
            <w:tcW w:w="1422" w:type="dxa"/>
            <w:tcBorders>
              <w:top w:val="nil"/>
              <w:left w:val="nil"/>
              <w:bottom w:val="single" w:sz="12" w:space="0" w:color="FFFFFF"/>
              <w:right w:val="single" w:sz="12" w:space="0" w:color="FFFFFF"/>
            </w:tcBorders>
            <w:shd w:val="clear" w:color="auto" w:fill="auto"/>
            <w:vAlign w:val="center"/>
            <w:hideMark/>
          </w:tcPr>
          <w:p w14:paraId="0C13AF0E" w14:textId="77777777" w:rsidR="00D33150" w:rsidRPr="00A227CB" w:rsidRDefault="00D33150" w:rsidP="008D4996">
            <w:pPr>
              <w:jc w:val="center"/>
              <w:rPr>
                <w:rFonts w:ascii="Times New Roman" w:eastAsia="Times New Roman" w:hAnsi="Times New Roman"/>
                <w:color w:val="000000"/>
                <w:sz w:val="24"/>
                <w:szCs w:val="24"/>
                <w:lang w:eastAsia="ru-RU"/>
              </w:rPr>
            </w:pPr>
            <w:r w:rsidRPr="00A227CB">
              <w:rPr>
                <w:rFonts w:ascii="Times New Roman" w:eastAsia="Times New Roman" w:hAnsi="Times New Roman"/>
                <w:color w:val="000000"/>
                <w:sz w:val="24"/>
                <w:szCs w:val="24"/>
                <w:lang w:eastAsia="ru-RU"/>
              </w:rPr>
              <w:t>85,12</w:t>
            </w:r>
          </w:p>
        </w:tc>
      </w:tr>
      <w:tr w:rsidR="00D33150" w:rsidRPr="00A227CB" w14:paraId="687E673E" w14:textId="77777777" w:rsidTr="008D4996">
        <w:trPr>
          <w:trHeight w:val="631"/>
        </w:trPr>
        <w:tc>
          <w:tcPr>
            <w:tcW w:w="3282" w:type="dxa"/>
            <w:tcBorders>
              <w:top w:val="nil"/>
              <w:left w:val="single" w:sz="12" w:space="0" w:color="FFFFFF"/>
              <w:bottom w:val="single" w:sz="12" w:space="0" w:color="FFFFFF"/>
              <w:right w:val="single" w:sz="12" w:space="0" w:color="FFFFFF"/>
            </w:tcBorders>
            <w:shd w:val="clear" w:color="000000" w:fill="D9D9D9"/>
            <w:vAlign w:val="center"/>
            <w:hideMark/>
          </w:tcPr>
          <w:p w14:paraId="366C293E" w14:textId="77777777" w:rsidR="00D33150" w:rsidRPr="00A227CB" w:rsidRDefault="00D33150" w:rsidP="008D4996">
            <w:pPr>
              <w:rPr>
                <w:rFonts w:ascii="Times New Roman" w:eastAsia="Times New Roman" w:hAnsi="Times New Roman"/>
                <w:color w:val="000000"/>
                <w:sz w:val="24"/>
                <w:szCs w:val="24"/>
                <w:lang w:eastAsia="ru-RU"/>
              </w:rPr>
            </w:pPr>
            <w:r w:rsidRPr="00A227CB">
              <w:rPr>
                <w:rFonts w:ascii="Times New Roman" w:eastAsia="Times New Roman" w:hAnsi="Times New Roman"/>
                <w:color w:val="000000"/>
                <w:sz w:val="24"/>
                <w:szCs w:val="24"/>
                <w:lang w:eastAsia="ru-RU"/>
              </w:rPr>
              <w:t>Норматив текущей ликвидности (НЗ)</w:t>
            </w:r>
          </w:p>
        </w:tc>
        <w:tc>
          <w:tcPr>
            <w:tcW w:w="3263" w:type="dxa"/>
            <w:tcBorders>
              <w:top w:val="nil"/>
              <w:left w:val="nil"/>
              <w:bottom w:val="single" w:sz="12" w:space="0" w:color="FFFFFF"/>
              <w:right w:val="single" w:sz="12" w:space="0" w:color="FFFFFF"/>
            </w:tcBorders>
            <w:shd w:val="clear" w:color="000000" w:fill="D9D9D9"/>
            <w:vAlign w:val="center"/>
            <w:hideMark/>
          </w:tcPr>
          <w:p w14:paraId="6E771127" w14:textId="77777777" w:rsidR="00D33150" w:rsidRPr="00A227CB" w:rsidRDefault="00D33150" w:rsidP="008D4996">
            <w:pPr>
              <w:jc w:val="center"/>
              <w:rPr>
                <w:rFonts w:ascii="Times New Roman" w:eastAsia="Times New Roman" w:hAnsi="Times New Roman"/>
                <w:color w:val="000000"/>
                <w:sz w:val="24"/>
                <w:szCs w:val="24"/>
                <w:lang w:eastAsia="ru-RU"/>
              </w:rPr>
            </w:pPr>
            <w:r w:rsidRPr="00A227CB">
              <w:rPr>
                <w:rFonts w:ascii="Times New Roman" w:eastAsia="Times New Roman" w:hAnsi="Times New Roman"/>
                <w:color w:val="000000"/>
                <w:sz w:val="24"/>
                <w:szCs w:val="24"/>
                <w:lang w:eastAsia="ru-RU"/>
              </w:rPr>
              <w:t>Более 50%</w:t>
            </w:r>
          </w:p>
        </w:tc>
        <w:tc>
          <w:tcPr>
            <w:tcW w:w="1441" w:type="dxa"/>
            <w:tcBorders>
              <w:top w:val="nil"/>
              <w:left w:val="nil"/>
              <w:bottom w:val="single" w:sz="12" w:space="0" w:color="FFFFFF"/>
              <w:right w:val="single" w:sz="12" w:space="0" w:color="FFFFFF"/>
            </w:tcBorders>
            <w:shd w:val="clear" w:color="000000" w:fill="D9D9D9"/>
            <w:vAlign w:val="center"/>
            <w:hideMark/>
          </w:tcPr>
          <w:p w14:paraId="68D9F901" w14:textId="77777777" w:rsidR="00D33150" w:rsidRPr="00A227CB" w:rsidRDefault="00D33150" w:rsidP="008D4996">
            <w:pPr>
              <w:jc w:val="center"/>
              <w:rPr>
                <w:rFonts w:ascii="Times New Roman" w:eastAsia="Times New Roman" w:hAnsi="Times New Roman"/>
                <w:color w:val="000000"/>
                <w:sz w:val="24"/>
                <w:szCs w:val="24"/>
                <w:lang w:eastAsia="ru-RU"/>
              </w:rPr>
            </w:pPr>
            <w:r w:rsidRPr="00A227CB">
              <w:rPr>
                <w:rFonts w:ascii="Times New Roman" w:eastAsia="Times New Roman" w:hAnsi="Times New Roman"/>
                <w:color w:val="000000"/>
                <w:sz w:val="24"/>
                <w:szCs w:val="24"/>
                <w:lang w:eastAsia="ru-RU"/>
              </w:rPr>
              <w:t>103,54</w:t>
            </w:r>
          </w:p>
        </w:tc>
        <w:tc>
          <w:tcPr>
            <w:tcW w:w="1422" w:type="dxa"/>
            <w:tcBorders>
              <w:top w:val="nil"/>
              <w:left w:val="nil"/>
              <w:bottom w:val="single" w:sz="12" w:space="0" w:color="FFFFFF"/>
              <w:right w:val="single" w:sz="12" w:space="0" w:color="FFFFFF"/>
            </w:tcBorders>
            <w:shd w:val="clear" w:color="000000" w:fill="D9D9D9"/>
            <w:vAlign w:val="center"/>
            <w:hideMark/>
          </w:tcPr>
          <w:p w14:paraId="0D3294AD" w14:textId="77777777" w:rsidR="00D33150" w:rsidRPr="00A227CB" w:rsidRDefault="00D33150" w:rsidP="008D4996">
            <w:pPr>
              <w:jc w:val="center"/>
              <w:rPr>
                <w:rFonts w:ascii="Times New Roman" w:eastAsia="Times New Roman" w:hAnsi="Times New Roman"/>
                <w:color w:val="000000"/>
                <w:sz w:val="24"/>
                <w:szCs w:val="24"/>
                <w:lang w:eastAsia="ru-RU"/>
              </w:rPr>
            </w:pPr>
            <w:r w:rsidRPr="00A227CB">
              <w:rPr>
                <w:rFonts w:ascii="Times New Roman" w:eastAsia="Times New Roman" w:hAnsi="Times New Roman"/>
                <w:color w:val="000000"/>
                <w:sz w:val="24"/>
                <w:szCs w:val="24"/>
                <w:lang w:eastAsia="ru-RU"/>
              </w:rPr>
              <w:t>102,76</w:t>
            </w:r>
          </w:p>
        </w:tc>
      </w:tr>
      <w:tr w:rsidR="00D33150" w:rsidRPr="00A227CB" w14:paraId="370CDB11" w14:textId="77777777" w:rsidTr="008D4996">
        <w:trPr>
          <w:trHeight w:val="631"/>
        </w:trPr>
        <w:tc>
          <w:tcPr>
            <w:tcW w:w="3282" w:type="dxa"/>
            <w:tcBorders>
              <w:top w:val="nil"/>
              <w:left w:val="single" w:sz="12" w:space="0" w:color="FFFFFF"/>
              <w:bottom w:val="single" w:sz="12" w:space="0" w:color="FFFFFF"/>
              <w:right w:val="single" w:sz="12" w:space="0" w:color="FFFFFF"/>
            </w:tcBorders>
            <w:shd w:val="clear" w:color="auto" w:fill="auto"/>
            <w:vAlign w:val="center"/>
            <w:hideMark/>
          </w:tcPr>
          <w:p w14:paraId="544BB0C8" w14:textId="77777777" w:rsidR="00D33150" w:rsidRPr="00A227CB" w:rsidRDefault="00D33150" w:rsidP="008D4996">
            <w:pPr>
              <w:rPr>
                <w:rFonts w:ascii="Times New Roman" w:eastAsia="Times New Roman" w:hAnsi="Times New Roman"/>
                <w:color w:val="000000"/>
                <w:sz w:val="24"/>
                <w:szCs w:val="24"/>
                <w:lang w:eastAsia="ru-RU"/>
              </w:rPr>
            </w:pPr>
            <w:r w:rsidRPr="00A227CB">
              <w:rPr>
                <w:rFonts w:ascii="Times New Roman" w:eastAsia="Times New Roman" w:hAnsi="Times New Roman"/>
                <w:color w:val="000000"/>
                <w:sz w:val="24"/>
                <w:szCs w:val="24"/>
                <w:lang w:eastAsia="ru-RU"/>
              </w:rPr>
              <w:t>Норматив долгосрочной ликвидности (Н4)</w:t>
            </w:r>
          </w:p>
        </w:tc>
        <w:tc>
          <w:tcPr>
            <w:tcW w:w="3263" w:type="dxa"/>
            <w:tcBorders>
              <w:top w:val="nil"/>
              <w:left w:val="nil"/>
              <w:bottom w:val="single" w:sz="12" w:space="0" w:color="FFFFFF"/>
              <w:right w:val="single" w:sz="12" w:space="0" w:color="FFFFFF"/>
            </w:tcBorders>
            <w:shd w:val="clear" w:color="auto" w:fill="auto"/>
            <w:vAlign w:val="center"/>
            <w:hideMark/>
          </w:tcPr>
          <w:p w14:paraId="76C9BAC6" w14:textId="77777777" w:rsidR="00D33150" w:rsidRPr="00A227CB" w:rsidRDefault="00D33150" w:rsidP="008D4996">
            <w:pPr>
              <w:jc w:val="center"/>
              <w:rPr>
                <w:rFonts w:ascii="Times New Roman" w:eastAsia="Times New Roman" w:hAnsi="Times New Roman"/>
                <w:color w:val="000000"/>
                <w:sz w:val="24"/>
                <w:szCs w:val="24"/>
                <w:lang w:eastAsia="ru-RU"/>
              </w:rPr>
            </w:pPr>
            <w:r w:rsidRPr="00A227CB">
              <w:rPr>
                <w:rFonts w:ascii="Times New Roman" w:eastAsia="Times New Roman" w:hAnsi="Times New Roman"/>
                <w:color w:val="000000"/>
                <w:sz w:val="24"/>
                <w:szCs w:val="24"/>
                <w:lang w:eastAsia="ru-RU"/>
              </w:rPr>
              <w:t>Менее 120%</w:t>
            </w:r>
          </w:p>
        </w:tc>
        <w:tc>
          <w:tcPr>
            <w:tcW w:w="1441" w:type="dxa"/>
            <w:tcBorders>
              <w:top w:val="nil"/>
              <w:left w:val="nil"/>
              <w:bottom w:val="single" w:sz="12" w:space="0" w:color="FFFFFF"/>
              <w:right w:val="single" w:sz="12" w:space="0" w:color="FFFFFF"/>
            </w:tcBorders>
            <w:shd w:val="clear" w:color="auto" w:fill="auto"/>
            <w:vAlign w:val="center"/>
            <w:hideMark/>
          </w:tcPr>
          <w:p w14:paraId="340F4121" w14:textId="77777777" w:rsidR="00D33150" w:rsidRPr="00A227CB" w:rsidRDefault="00D33150" w:rsidP="008D4996">
            <w:pPr>
              <w:jc w:val="center"/>
              <w:rPr>
                <w:rFonts w:ascii="Times New Roman" w:eastAsia="Times New Roman" w:hAnsi="Times New Roman"/>
                <w:color w:val="000000"/>
                <w:sz w:val="24"/>
                <w:szCs w:val="24"/>
                <w:lang w:eastAsia="ru-RU"/>
              </w:rPr>
            </w:pPr>
            <w:r w:rsidRPr="00A227CB">
              <w:rPr>
                <w:rFonts w:ascii="Times New Roman" w:eastAsia="Times New Roman" w:hAnsi="Times New Roman"/>
                <w:color w:val="000000"/>
                <w:sz w:val="24"/>
                <w:szCs w:val="24"/>
                <w:lang w:eastAsia="ru-RU"/>
              </w:rPr>
              <w:t>0,58</w:t>
            </w:r>
          </w:p>
        </w:tc>
        <w:tc>
          <w:tcPr>
            <w:tcW w:w="1422" w:type="dxa"/>
            <w:tcBorders>
              <w:top w:val="nil"/>
              <w:left w:val="nil"/>
              <w:bottom w:val="single" w:sz="12" w:space="0" w:color="FFFFFF"/>
              <w:right w:val="single" w:sz="12" w:space="0" w:color="FFFFFF"/>
            </w:tcBorders>
            <w:shd w:val="clear" w:color="auto" w:fill="auto"/>
            <w:vAlign w:val="center"/>
            <w:hideMark/>
          </w:tcPr>
          <w:p w14:paraId="48426AED" w14:textId="77777777" w:rsidR="00D33150" w:rsidRPr="00A227CB" w:rsidRDefault="00D33150" w:rsidP="008D4996">
            <w:pPr>
              <w:jc w:val="center"/>
              <w:rPr>
                <w:rFonts w:ascii="Times New Roman" w:eastAsia="Times New Roman" w:hAnsi="Times New Roman"/>
                <w:color w:val="000000"/>
                <w:sz w:val="24"/>
                <w:szCs w:val="24"/>
                <w:lang w:eastAsia="ru-RU"/>
              </w:rPr>
            </w:pPr>
            <w:r w:rsidRPr="00A227CB">
              <w:rPr>
                <w:rFonts w:ascii="Times New Roman" w:eastAsia="Times New Roman" w:hAnsi="Times New Roman"/>
                <w:color w:val="000000"/>
                <w:sz w:val="24"/>
                <w:szCs w:val="24"/>
                <w:lang w:eastAsia="ru-RU"/>
              </w:rPr>
              <w:t>6,75</w:t>
            </w:r>
          </w:p>
        </w:tc>
      </w:tr>
    </w:tbl>
    <w:p w14:paraId="033CF445" w14:textId="21E3407D" w:rsidR="00D33150" w:rsidRPr="00341240" w:rsidRDefault="0098619E" w:rsidP="0098619E">
      <w:pPr>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2349D7">
        <w:rPr>
          <w:rFonts w:ascii="Times New Roman" w:eastAsia="Calibri" w:hAnsi="Times New Roman"/>
          <w:sz w:val="24"/>
          <w:szCs w:val="24"/>
        </w:rPr>
        <w:t xml:space="preserve">С момента присвоения НКЦ </w:t>
      </w:r>
      <w:r w:rsidR="003F4E49">
        <w:rPr>
          <w:rFonts w:ascii="Times New Roman" w:eastAsia="Calibri" w:hAnsi="Times New Roman"/>
          <w:sz w:val="24"/>
          <w:szCs w:val="24"/>
        </w:rPr>
        <w:t xml:space="preserve">нового </w:t>
      </w:r>
      <w:r w:rsidR="00D33150" w:rsidRPr="002349D7">
        <w:rPr>
          <w:rFonts w:ascii="Times New Roman" w:eastAsia="Calibri" w:hAnsi="Times New Roman"/>
          <w:sz w:val="24"/>
          <w:szCs w:val="24"/>
        </w:rPr>
        <w:t>статуса в составе обязательных нормативов уровень ликвидности отражает норматив Н4цк.</w:t>
      </w:r>
      <w:r w:rsidR="00D33150" w:rsidRPr="00341240">
        <w:rPr>
          <w:rFonts w:ascii="Times New Roman" w:eastAsia="Calibri" w:hAnsi="Times New Roman"/>
          <w:sz w:val="24"/>
          <w:szCs w:val="24"/>
        </w:rPr>
        <w:t xml:space="preserve">  </w:t>
      </w:r>
      <w:r w:rsidR="00D33150">
        <w:rPr>
          <w:rFonts w:ascii="Times New Roman" w:eastAsia="Calibri" w:hAnsi="Times New Roman"/>
          <w:sz w:val="24"/>
          <w:szCs w:val="24"/>
        </w:rPr>
        <w:t>Его фактическое значение для НКЦ в тысячи раз превышает минимальный пороговый уровень.</w:t>
      </w:r>
    </w:p>
    <w:p w14:paraId="5473AD6B" w14:textId="77777777" w:rsidR="00D33150" w:rsidRPr="00341240" w:rsidRDefault="00D33150" w:rsidP="00D33150">
      <w:pPr>
        <w:widowControl w:val="0"/>
        <w:autoSpaceDE w:val="0"/>
        <w:autoSpaceDN w:val="0"/>
        <w:adjustRightInd w:val="0"/>
        <w:spacing w:before="120"/>
        <w:ind w:firstLine="567"/>
        <w:jc w:val="both"/>
        <w:rPr>
          <w:rFonts w:ascii="Times New Roman" w:eastAsia="Calibri" w:hAnsi="Times New Roman"/>
          <w:i/>
          <w:sz w:val="24"/>
          <w:szCs w:val="24"/>
        </w:rPr>
      </w:pPr>
      <w:r w:rsidRPr="00341240">
        <w:rPr>
          <w:rFonts w:ascii="Times New Roman" w:eastAsia="Calibri" w:hAnsi="Times New Roman"/>
          <w:i/>
          <w:sz w:val="24"/>
          <w:szCs w:val="24"/>
        </w:rPr>
        <w:t>Управление риском ликвидности включает следующие процедуры:</w:t>
      </w:r>
    </w:p>
    <w:p w14:paraId="74D0BE1B" w14:textId="77777777" w:rsidR="00D33150" w:rsidRPr="00341240" w:rsidRDefault="00D33150" w:rsidP="00D33150">
      <w:pPr>
        <w:widowControl w:val="0"/>
        <w:numPr>
          <w:ilvl w:val="0"/>
          <w:numId w:val="6"/>
        </w:numPr>
        <w:tabs>
          <w:tab w:val="left" w:pos="737"/>
        </w:tabs>
        <w:autoSpaceDE w:val="0"/>
        <w:autoSpaceDN w:val="0"/>
        <w:adjustRightInd w:val="0"/>
        <w:jc w:val="both"/>
        <w:rPr>
          <w:rFonts w:ascii="Times New Roman" w:eastAsia="Calibri" w:hAnsi="Times New Roman"/>
          <w:sz w:val="24"/>
          <w:szCs w:val="24"/>
        </w:rPr>
      </w:pPr>
      <w:r w:rsidRPr="00341240">
        <w:rPr>
          <w:rFonts w:ascii="Times New Roman" w:eastAsia="Calibri" w:hAnsi="Times New Roman"/>
          <w:sz w:val="24"/>
          <w:szCs w:val="24"/>
        </w:rPr>
        <w:t>прогнозирование потоков платежей в разрезе основных видов валют и определение необходимого объема ликвидных активов;</w:t>
      </w:r>
    </w:p>
    <w:p w14:paraId="071A19A8" w14:textId="77777777" w:rsidR="00D33150" w:rsidRPr="00341240" w:rsidRDefault="00D33150" w:rsidP="00D33150">
      <w:pPr>
        <w:widowControl w:val="0"/>
        <w:numPr>
          <w:ilvl w:val="0"/>
          <w:numId w:val="6"/>
        </w:numPr>
        <w:tabs>
          <w:tab w:val="left" w:pos="737"/>
        </w:tabs>
        <w:autoSpaceDE w:val="0"/>
        <w:autoSpaceDN w:val="0"/>
        <w:adjustRightInd w:val="0"/>
        <w:jc w:val="both"/>
        <w:rPr>
          <w:rFonts w:ascii="Times New Roman" w:eastAsia="Calibri" w:hAnsi="Times New Roman"/>
          <w:sz w:val="24"/>
          <w:szCs w:val="24"/>
        </w:rPr>
      </w:pPr>
      <w:r w:rsidRPr="00341240">
        <w:rPr>
          <w:rFonts w:ascii="Times New Roman" w:eastAsia="Calibri" w:hAnsi="Times New Roman"/>
          <w:sz w:val="24"/>
          <w:szCs w:val="24"/>
        </w:rPr>
        <w:t>мониторинг коэффициентов ликвидности и их прогноз;</w:t>
      </w:r>
    </w:p>
    <w:p w14:paraId="0F5701A6" w14:textId="77777777" w:rsidR="00D33150" w:rsidRPr="00341240" w:rsidRDefault="00D33150" w:rsidP="00D33150">
      <w:pPr>
        <w:numPr>
          <w:ilvl w:val="0"/>
          <w:numId w:val="6"/>
        </w:numPr>
        <w:tabs>
          <w:tab w:val="left" w:pos="737"/>
        </w:tabs>
        <w:autoSpaceDE w:val="0"/>
        <w:autoSpaceDN w:val="0"/>
        <w:adjustRightInd w:val="0"/>
        <w:jc w:val="both"/>
        <w:rPr>
          <w:rFonts w:ascii="Times New Roman" w:eastAsia="Calibri" w:hAnsi="Times New Roman"/>
          <w:sz w:val="24"/>
          <w:szCs w:val="24"/>
        </w:rPr>
      </w:pPr>
      <w:r w:rsidRPr="00341240">
        <w:rPr>
          <w:rFonts w:ascii="Times New Roman" w:eastAsia="Calibri" w:hAnsi="Times New Roman"/>
          <w:sz w:val="24"/>
          <w:szCs w:val="24"/>
        </w:rPr>
        <w:t>поддержание мгновенной, текущей и долгосрочной ликвидности на уровне нормативных значений;</w:t>
      </w:r>
    </w:p>
    <w:p w14:paraId="17E6F8F3" w14:textId="77777777" w:rsidR="00D33150" w:rsidRPr="00341240" w:rsidRDefault="00D33150" w:rsidP="00D33150">
      <w:pPr>
        <w:widowControl w:val="0"/>
        <w:numPr>
          <w:ilvl w:val="0"/>
          <w:numId w:val="6"/>
        </w:numPr>
        <w:tabs>
          <w:tab w:val="left" w:pos="737"/>
        </w:tabs>
        <w:autoSpaceDE w:val="0"/>
        <w:autoSpaceDN w:val="0"/>
        <w:adjustRightInd w:val="0"/>
        <w:jc w:val="both"/>
        <w:rPr>
          <w:rFonts w:ascii="Times New Roman" w:eastAsia="Calibri" w:hAnsi="Times New Roman"/>
          <w:sz w:val="24"/>
          <w:szCs w:val="24"/>
        </w:rPr>
      </w:pPr>
      <w:r w:rsidRPr="00341240">
        <w:rPr>
          <w:rFonts w:ascii="Times New Roman" w:eastAsia="Calibri" w:hAnsi="Times New Roman"/>
          <w:sz w:val="24"/>
          <w:szCs w:val="24"/>
        </w:rPr>
        <w:t>планирование действий по восстановлению необходимого уровня ликвидности в неблагоприятных и кризисных условиях;</w:t>
      </w:r>
    </w:p>
    <w:p w14:paraId="12E94C3C" w14:textId="77777777" w:rsidR="00D33150" w:rsidRPr="00341240" w:rsidRDefault="00D33150" w:rsidP="00D33150">
      <w:pPr>
        <w:widowControl w:val="0"/>
        <w:numPr>
          <w:ilvl w:val="0"/>
          <w:numId w:val="6"/>
        </w:numPr>
        <w:tabs>
          <w:tab w:val="left" w:pos="737"/>
        </w:tabs>
        <w:autoSpaceDE w:val="0"/>
        <w:autoSpaceDN w:val="0"/>
        <w:adjustRightInd w:val="0"/>
        <w:jc w:val="both"/>
        <w:rPr>
          <w:rFonts w:ascii="Times New Roman" w:eastAsia="Calibri" w:hAnsi="Times New Roman"/>
          <w:sz w:val="24"/>
          <w:szCs w:val="24"/>
        </w:rPr>
      </w:pPr>
      <w:r w:rsidRPr="00341240">
        <w:rPr>
          <w:rFonts w:ascii="Times New Roman" w:eastAsia="Calibri" w:hAnsi="Times New Roman"/>
          <w:sz w:val="24"/>
          <w:szCs w:val="24"/>
        </w:rPr>
        <w:t>установление лимитов и ограничений на трансформацию денежных ресурсов в другие виды активов: на операции с ценными бумагами в зависимости от вида и срока ценных бумаг, лимит открытой валютной позиции (ОВП);</w:t>
      </w:r>
    </w:p>
    <w:p w14:paraId="1B1E57FD" w14:textId="77777777" w:rsidR="00D33150" w:rsidRPr="00341240" w:rsidRDefault="00D33150" w:rsidP="00D33150">
      <w:pPr>
        <w:numPr>
          <w:ilvl w:val="0"/>
          <w:numId w:val="6"/>
        </w:numPr>
        <w:tabs>
          <w:tab w:val="left" w:pos="737"/>
        </w:tabs>
        <w:autoSpaceDE w:val="0"/>
        <w:autoSpaceDN w:val="0"/>
        <w:adjustRightInd w:val="0"/>
        <w:jc w:val="both"/>
        <w:rPr>
          <w:rFonts w:ascii="Times New Roman" w:eastAsia="Calibri" w:hAnsi="Times New Roman"/>
          <w:sz w:val="24"/>
          <w:szCs w:val="24"/>
        </w:rPr>
      </w:pPr>
      <w:r w:rsidRPr="00341240">
        <w:rPr>
          <w:rFonts w:ascii="Times New Roman" w:eastAsia="Calibri" w:hAnsi="Times New Roman"/>
          <w:sz w:val="24"/>
          <w:szCs w:val="24"/>
        </w:rPr>
        <w:t>формирование оптимальной структуры активов в соответствии с ресурсной базой;</w:t>
      </w:r>
    </w:p>
    <w:p w14:paraId="7622559B" w14:textId="77777777" w:rsidR="00D33150" w:rsidRPr="00341240" w:rsidRDefault="00D33150" w:rsidP="00D33150">
      <w:pPr>
        <w:numPr>
          <w:ilvl w:val="0"/>
          <w:numId w:val="6"/>
        </w:numPr>
        <w:tabs>
          <w:tab w:val="left" w:pos="737"/>
        </w:tabs>
        <w:autoSpaceDE w:val="0"/>
        <w:autoSpaceDN w:val="0"/>
        <w:adjustRightInd w:val="0"/>
        <w:jc w:val="both"/>
        <w:rPr>
          <w:rFonts w:ascii="Times New Roman" w:eastAsia="Calibri" w:hAnsi="Times New Roman"/>
          <w:sz w:val="24"/>
          <w:szCs w:val="24"/>
        </w:rPr>
      </w:pPr>
      <w:r w:rsidRPr="00341240">
        <w:rPr>
          <w:rFonts w:ascii="Times New Roman" w:eastAsia="Calibri" w:hAnsi="Times New Roman"/>
          <w:sz w:val="24"/>
          <w:szCs w:val="24"/>
        </w:rPr>
        <w:t>учет срочности источников ресурсов и их объемов при размещении активов в финансовые инструменты;</w:t>
      </w:r>
    </w:p>
    <w:p w14:paraId="1E3B0D34" w14:textId="77777777" w:rsidR="00D33150" w:rsidRPr="003506EA" w:rsidRDefault="00D33150" w:rsidP="00D33150">
      <w:pPr>
        <w:numPr>
          <w:ilvl w:val="0"/>
          <w:numId w:val="6"/>
        </w:numPr>
        <w:tabs>
          <w:tab w:val="left" w:pos="737"/>
        </w:tabs>
        <w:autoSpaceDE w:val="0"/>
        <w:autoSpaceDN w:val="0"/>
        <w:adjustRightInd w:val="0"/>
        <w:jc w:val="both"/>
        <w:rPr>
          <w:rFonts w:ascii="Times New Roman" w:eastAsia="Calibri" w:hAnsi="Times New Roman"/>
          <w:sz w:val="24"/>
          <w:szCs w:val="24"/>
        </w:rPr>
      </w:pPr>
      <w:r w:rsidRPr="00341240">
        <w:rPr>
          <w:rFonts w:ascii="Times New Roman" w:eastAsia="Calibri" w:hAnsi="Times New Roman"/>
          <w:sz w:val="24"/>
          <w:szCs w:val="24"/>
        </w:rPr>
        <w:t>анализ негативных вариантов наступления дефицита ликвидности, оценка системы реагирования на данный риск, совершенствование механизмов и методов управления ликвидностью.</w:t>
      </w:r>
    </w:p>
    <w:p w14:paraId="5A763AF6" w14:textId="1BF9F59D" w:rsidR="00D33150" w:rsidRDefault="0098619E" w:rsidP="0098619E">
      <w:pPr>
        <w:widowControl w:val="0"/>
        <w:autoSpaceDE w:val="0"/>
        <w:autoSpaceDN w:val="0"/>
        <w:adjustRightInd w:val="0"/>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Управление ликвидностью осуществляется НКЦ в режиме реального времени на базе платежного календаря с использованием мер по оптимизации денежных потоков, совершенствования операционных регламентов активных операций, расчетов и корреспондентских отношений.</w:t>
      </w:r>
      <w:r w:rsidR="00D33150">
        <w:rPr>
          <w:rFonts w:ascii="Times New Roman" w:eastAsia="Calibri" w:hAnsi="Times New Roman"/>
          <w:sz w:val="24"/>
          <w:szCs w:val="24"/>
        </w:rPr>
        <w:t xml:space="preserve"> </w:t>
      </w:r>
      <w:r w:rsidR="00D33150" w:rsidRPr="00341240">
        <w:rPr>
          <w:rFonts w:ascii="Times New Roman" w:eastAsia="Calibri" w:hAnsi="Times New Roman"/>
          <w:sz w:val="24"/>
          <w:szCs w:val="24"/>
        </w:rPr>
        <w:t>Ежемесячно проводится оценка состояния ликвидности на основе анализа разрывов ликвидности в сроках погашения требований и обязательств (анализ активов и пассивов по сро</w:t>
      </w:r>
      <w:r w:rsidR="00D33150" w:rsidRPr="00341240">
        <w:rPr>
          <w:rFonts w:ascii="Times New Roman" w:eastAsia="Calibri" w:hAnsi="Times New Roman"/>
          <w:sz w:val="24"/>
          <w:szCs w:val="24"/>
        </w:rPr>
        <w:lastRenderedPageBreak/>
        <w:t xml:space="preserve">кам погашения) и расчета дефицита (избытка) ликвидности и коэффициента дефицита (избытка) ликвидности нарастающим итогом по срокам погашения с учетом инструментов рефинансирования. Детализированный анализ ликвидности на основе внутренних моделей НКЦ выполняется с применением уточняющих корректировок данных бухгалтерской отчетности по составу, суммам, срочности активов и пассивов. </w:t>
      </w:r>
    </w:p>
    <w:p w14:paraId="04C0DC9E" w14:textId="1A57352F" w:rsidR="00D33150" w:rsidRDefault="0098619E" w:rsidP="0098619E">
      <w:pPr>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341240">
        <w:rPr>
          <w:rFonts w:ascii="Times New Roman" w:eastAsia="Calibri" w:hAnsi="Times New Roman"/>
          <w:sz w:val="24"/>
          <w:szCs w:val="24"/>
        </w:rPr>
        <w:t>Ежемесячный мониторинг показателей ликвидности свидетельствует об отсутствии дефицита ликвидности в 201</w:t>
      </w:r>
      <w:r w:rsidR="00D33150">
        <w:rPr>
          <w:rFonts w:ascii="Times New Roman" w:eastAsia="Calibri" w:hAnsi="Times New Roman"/>
          <w:sz w:val="24"/>
          <w:szCs w:val="24"/>
        </w:rPr>
        <w:t>7</w:t>
      </w:r>
      <w:r w:rsidR="00D33150" w:rsidRPr="00341240">
        <w:rPr>
          <w:rFonts w:ascii="Times New Roman" w:eastAsia="Calibri" w:hAnsi="Times New Roman"/>
          <w:sz w:val="24"/>
          <w:szCs w:val="24"/>
        </w:rPr>
        <w:t xml:space="preserve"> году на всех сроках, как это показано на приведенном графике:</w:t>
      </w:r>
    </w:p>
    <w:p w14:paraId="75DC466D" w14:textId="77777777" w:rsidR="00D33150" w:rsidRPr="0036633C" w:rsidRDefault="00D33150" w:rsidP="00D33150">
      <w:pPr>
        <w:jc w:val="center"/>
        <w:rPr>
          <w:rFonts w:ascii="Times New Roman" w:eastAsia="Calibri" w:hAnsi="Times New Roman"/>
          <w:b/>
          <w:sz w:val="24"/>
          <w:szCs w:val="24"/>
        </w:rPr>
      </w:pPr>
      <w:r w:rsidRPr="00341240">
        <w:rPr>
          <w:rFonts w:ascii="Times New Roman" w:eastAsia="Calibri" w:hAnsi="Times New Roman"/>
          <w:b/>
          <w:sz w:val="24"/>
          <w:szCs w:val="24"/>
        </w:rPr>
        <w:t>Показатели риска ликвидности на 01.01.201</w:t>
      </w:r>
      <w:r>
        <w:rPr>
          <w:rFonts w:ascii="Times New Roman" w:eastAsia="Calibri" w:hAnsi="Times New Roman"/>
          <w:b/>
          <w:sz w:val="24"/>
          <w:szCs w:val="24"/>
        </w:rPr>
        <w:t>8</w:t>
      </w:r>
    </w:p>
    <w:p w14:paraId="1E86CA2C" w14:textId="77777777" w:rsidR="00D33150" w:rsidRPr="00341240" w:rsidRDefault="00D33150" w:rsidP="00D33150">
      <w:pPr>
        <w:jc w:val="center"/>
        <w:rPr>
          <w:rFonts w:ascii="Times New Roman" w:eastAsia="Calibri" w:hAnsi="Times New Roman"/>
        </w:rPr>
      </w:pPr>
      <w:r w:rsidRPr="00341240">
        <w:rPr>
          <w:rFonts w:ascii="Times New Roman" w:eastAsia="Calibri" w:hAnsi="Times New Roman"/>
        </w:rPr>
        <w:t>(оценка на основе внутренних моделей Банка)</w:t>
      </w:r>
    </w:p>
    <w:p w14:paraId="3406B627" w14:textId="77777777" w:rsidR="00D33150" w:rsidRDefault="00D33150" w:rsidP="00D33150">
      <w:pPr>
        <w:ind w:firstLine="567"/>
        <w:jc w:val="both"/>
        <w:rPr>
          <w:rFonts w:ascii="Times New Roman" w:eastAsia="Calibri" w:hAnsi="Times New Roman"/>
          <w:sz w:val="24"/>
          <w:szCs w:val="24"/>
        </w:rPr>
      </w:pPr>
    </w:p>
    <w:p w14:paraId="0086CA8B" w14:textId="77777777" w:rsidR="00D33150" w:rsidRPr="003506EA" w:rsidRDefault="00D33150" w:rsidP="00D33150">
      <w:pPr>
        <w:jc w:val="both"/>
        <w:rPr>
          <w:rFonts w:ascii="Times New Roman" w:eastAsia="Calibri" w:hAnsi="Times New Roman"/>
          <w:b/>
          <w:sz w:val="24"/>
          <w:szCs w:val="24"/>
        </w:rPr>
      </w:pPr>
      <w:r>
        <w:rPr>
          <w:noProof/>
          <w:lang w:eastAsia="ru-RU"/>
        </w:rPr>
        <w:drawing>
          <wp:inline distT="0" distB="0" distL="0" distR="0" wp14:anchorId="282565DD" wp14:editId="3DC1A96D">
            <wp:extent cx="5940425" cy="33718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E14D7D7" w14:textId="77777777" w:rsidR="00D33150" w:rsidRPr="003506EA" w:rsidRDefault="00D33150" w:rsidP="003221B6">
      <w:pPr>
        <w:pStyle w:val="3"/>
        <w:jc w:val="center"/>
        <w:rPr>
          <w:rFonts w:ascii="Times New Roman" w:eastAsia="Calibri" w:hAnsi="Times New Roman" w:cs="Times New Roman"/>
          <w:b/>
          <w:i/>
          <w:color w:val="auto"/>
        </w:rPr>
      </w:pPr>
      <w:bookmarkStart w:id="24" w:name="_Toc510776672"/>
      <w:r w:rsidRPr="00C11834">
        <w:rPr>
          <w:rFonts w:ascii="Times New Roman" w:eastAsia="Calibri" w:hAnsi="Times New Roman" w:cs="Times New Roman"/>
          <w:b/>
          <w:i/>
          <w:color w:val="auto"/>
        </w:rPr>
        <w:t>Управление операционным риском</w:t>
      </w:r>
      <w:bookmarkEnd w:id="24"/>
    </w:p>
    <w:p w14:paraId="10A9266E" w14:textId="75D95EDB" w:rsidR="00D33150" w:rsidRDefault="0098619E" w:rsidP="0098619E">
      <w:pPr>
        <w:autoSpaceDE w:val="0"/>
        <w:autoSpaceDN w:val="0"/>
        <w:adjustRightInd w:val="0"/>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4F7ED3">
        <w:rPr>
          <w:rFonts w:ascii="Times New Roman" w:eastAsia="Calibri" w:hAnsi="Times New Roman"/>
          <w:sz w:val="24"/>
          <w:szCs w:val="24"/>
        </w:rPr>
        <w:t>Система управления операционным риском НКЦ является частью общей системы риск-менеджемента, ее функционирование нацелено на обеспечение непрерывности деятельности НКЦ, в том числе бесперебойности функционирования его собственных систем и процессов и критически важных сервисов.  Эффективность функционирования</w:t>
      </w:r>
      <w:r w:rsidR="003F4E49">
        <w:rPr>
          <w:rFonts w:ascii="Times New Roman" w:eastAsia="Calibri" w:hAnsi="Times New Roman"/>
          <w:sz w:val="24"/>
          <w:szCs w:val="24"/>
        </w:rPr>
        <w:t xml:space="preserve"> системы управления операционным риском</w:t>
      </w:r>
      <w:r w:rsidR="00D33150" w:rsidRPr="004F7ED3">
        <w:rPr>
          <w:rFonts w:ascii="Times New Roman" w:eastAsia="Calibri" w:hAnsi="Times New Roman"/>
          <w:sz w:val="24"/>
          <w:szCs w:val="24"/>
        </w:rPr>
        <w:t xml:space="preserve"> обеспечивается </w:t>
      </w:r>
      <w:r w:rsidR="00D33150">
        <w:rPr>
          <w:rFonts w:ascii="Times New Roman" w:eastAsia="Calibri" w:hAnsi="Times New Roman"/>
          <w:sz w:val="24"/>
          <w:szCs w:val="24"/>
        </w:rPr>
        <w:t xml:space="preserve">ее </w:t>
      </w:r>
      <w:r w:rsidR="00D33150" w:rsidRPr="004F7ED3">
        <w:rPr>
          <w:rFonts w:ascii="Times New Roman" w:eastAsia="Calibri" w:hAnsi="Times New Roman"/>
          <w:sz w:val="24"/>
          <w:szCs w:val="24"/>
        </w:rPr>
        <w:t xml:space="preserve">многоуровневой структурой, включающей четкое распределение полномочий и функций между профильными подразделениями, комитетами, органами управления, что в полной мере соответствует лучшим мировым практикам управления. Система управления операционным риском выстроена с учетом рекомендаций Банка России, Базельского комитета по банковскому надзору, а также </w:t>
      </w:r>
      <w:r w:rsidR="00D33150" w:rsidRPr="004F7ED3">
        <w:rPr>
          <w:rFonts w:ascii="Times New Roman" w:eastAsia="Calibri" w:hAnsi="Times New Roman"/>
          <w:sz w:val="24"/>
          <w:szCs w:val="24"/>
          <w:lang w:val="en-US"/>
        </w:rPr>
        <w:t>CPMI</w:t>
      </w:r>
      <w:r w:rsidR="00D33150" w:rsidRPr="004F7ED3">
        <w:rPr>
          <w:rFonts w:ascii="Times New Roman" w:eastAsia="Calibri" w:hAnsi="Times New Roman"/>
          <w:sz w:val="24"/>
          <w:szCs w:val="24"/>
        </w:rPr>
        <w:t>-</w:t>
      </w:r>
      <w:r w:rsidR="00D33150" w:rsidRPr="004F7ED3">
        <w:rPr>
          <w:rFonts w:ascii="Times New Roman" w:eastAsia="Calibri" w:hAnsi="Times New Roman"/>
          <w:sz w:val="24"/>
          <w:szCs w:val="24"/>
          <w:lang w:val="en-US"/>
        </w:rPr>
        <w:t>IOSCO</w:t>
      </w:r>
      <w:r w:rsidR="00D33150" w:rsidRPr="004F7ED3">
        <w:rPr>
          <w:rFonts w:ascii="Times New Roman" w:eastAsia="Calibri" w:hAnsi="Times New Roman"/>
          <w:sz w:val="24"/>
          <w:szCs w:val="24"/>
        </w:rPr>
        <w:t>.</w:t>
      </w:r>
    </w:p>
    <w:p w14:paraId="4434084D" w14:textId="77777777" w:rsidR="00D33150" w:rsidRPr="004F7ED3" w:rsidRDefault="00D33150" w:rsidP="00D33150">
      <w:pPr>
        <w:autoSpaceDE w:val="0"/>
        <w:autoSpaceDN w:val="0"/>
        <w:adjustRightInd w:val="0"/>
        <w:spacing w:before="120"/>
        <w:ind w:firstLine="567"/>
        <w:jc w:val="both"/>
        <w:rPr>
          <w:rFonts w:ascii="Times New Roman" w:eastAsia="Calibri" w:hAnsi="Times New Roman"/>
          <w:sz w:val="24"/>
          <w:szCs w:val="24"/>
        </w:rPr>
      </w:pPr>
      <w:r w:rsidRPr="004F7ED3">
        <w:rPr>
          <w:rFonts w:ascii="Times New Roman" w:eastAsia="Calibri" w:hAnsi="Times New Roman"/>
          <w:sz w:val="24"/>
          <w:szCs w:val="24"/>
        </w:rPr>
        <w:t>Процесс управления операционным риском включает следующие основные этапы:</w:t>
      </w:r>
    </w:p>
    <w:p w14:paraId="1B2F509C" w14:textId="77777777" w:rsidR="00D33150" w:rsidRPr="004F7ED3" w:rsidRDefault="00D33150" w:rsidP="00D33150">
      <w:pPr>
        <w:widowControl w:val="0"/>
        <w:numPr>
          <w:ilvl w:val="0"/>
          <w:numId w:val="6"/>
        </w:numPr>
        <w:autoSpaceDE w:val="0"/>
        <w:autoSpaceDN w:val="0"/>
        <w:adjustRightInd w:val="0"/>
        <w:ind w:left="851" w:hanging="284"/>
        <w:jc w:val="both"/>
        <w:rPr>
          <w:rFonts w:ascii="Times New Roman" w:eastAsia="Calibri" w:hAnsi="Times New Roman"/>
          <w:sz w:val="24"/>
          <w:szCs w:val="24"/>
        </w:rPr>
      </w:pPr>
      <w:r w:rsidRPr="004F7ED3">
        <w:rPr>
          <w:rFonts w:ascii="Times New Roman" w:eastAsia="Calibri" w:hAnsi="Times New Roman"/>
          <w:sz w:val="24"/>
          <w:szCs w:val="24"/>
        </w:rPr>
        <w:t xml:space="preserve">сбор данных о событиях операционного риска, произошедших в </w:t>
      </w:r>
      <w:r>
        <w:rPr>
          <w:rFonts w:ascii="Times New Roman" w:eastAsia="Calibri" w:hAnsi="Times New Roman"/>
          <w:sz w:val="24"/>
          <w:szCs w:val="24"/>
        </w:rPr>
        <w:t>НКЦ</w:t>
      </w:r>
      <w:r w:rsidRPr="004F7ED3">
        <w:rPr>
          <w:rFonts w:ascii="Times New Roman" w:eastAsia="Calibri" w:hAnsi="Times New Roman"/>
          <w:sz w:val="24"/>
          <w:szCs w:val="24"/>
        </w:rPr>
        <w:t xml:space="preserve"> путем аккумулирования информации в базе данных операционного риска по утвержденному алгоритму;</w:t>
      </w:r>
    </w:p>
    <w:p w14:paraId="013433F6" w14:textId="77777777" w:rsidR="00D33150" w:rsidRPr="004F7ED3" w:rsidRDefault="00D33150" w:rsidP="00D33150">
      <w:pPr>
        <w:widowControl w:val="0"/>
        <w:numPr>
          <w:ilvl w:val="0"/>
          <w:numId w:val="6"/>
        </w:numPr>
        <w:autoSpaceDE w:val="0"/>
        <w:autoSpaceDN w:val="0"/>
        <w:adjustRightInd w:val="0"/>
        <w:ind w:left="851" w:hanging="284"/>
        <w:jc w:val="both"/>
        <w:rPr>
          <w:rFonts w:ascii="Times New Roman" w:eastAsia="Calibri" w:hAnsi="Times New Roman"/>
          <w:sz w:val="24"/>
          <w:szCs w:val="24"/>
        </w:rPr>
      </w:pPr>
      <w:r w:rsidRPr="004F7ED3">
        <w:rPr>
          <w:rFonts w:ascii="Times New Roman" w:eastAsia="Calibri" w:hAnsi="Times New Roman"/>
          <w:sz w:val="24"/>
          <w:szCs w:val="24"/>
        </w:rPr>
        <w:t>выявление потенциальных операционных рисков с помощью процедур самооценки;</w:t>
      </w:r>
    </w:p>
    <w:p w14:paraId="4ABA1C30" w14:textId="77777777" w:rsidR="00D33150" w:rsidRPr="004F7ED3" w:rsidRDefault="00D33150" w:rsidP="00D33150">
      <w:pPr>
        <w:widowControl w:val="0"/>
        <w:numPr>
          <w:ilvl w:val="0"/>
          <w:numId w:val="6"/>
        </w:numPr>
        <w:autoSpaceDE w:val="0"/>
        <w:autoSpaceDN w:val="0"/>
        <w:adjustRightInd w:val="0"/>
        <w:ind w:left="851" w:hanging="284"/>
        <w:jc w:val="both"/>
        <w:rPr>
          <w:rFonts w:ascii="Times New Roman" w:eastAsia="Calibri" w:hAnsi="Times New Roman"/>
          <w:sz w:val="24"/>
          <w:szCs w:val="24"/>
        </w:rPr>
      </w:pPr>
      <w:r w:rsidRPr="004F7ED3">
        <w:rPr>
          <w:rFonts w:ascii="Times New Roman" w:eastAsia="Calibri" w:hAnsi="Times New Roman"/>
          <w:sz w:val="24"/>
          <w:szCs w:val="24"/>
        </w:rPr>
        <w:t>анализ и оценка выявленных операционных рисков;</w:t>
      </w:r>
    </w:p>
    <w:p w14:paraId="60D843A4" w14:textId="77777777" w:rsidR="00D33150" w:rsidRDefault="00D33150" w:rsidP="00D33150">
      <w:pPr>
        <w:widowControl w:val="0"/>
        <w:numPr>
          <w:ilvl w:val="0"/>
          <w:numId w:val="6"/>
        </w:numPr>
        <w:autoSpaceDE w:val="0"/>
        <w:autoSpaceDN w:val="0"/>
        <w:adjustRightInd w:val="0"/>
        <w:ind w:left="851" w:hanging="284"/>
        <w:jc w:val="both"/>
        <w:rPr>
          <w:rFonts w:ascii="Times New Roman" w:eastAsia="Calibri" w:hAnsi="Times New Roman"/>
          <w:sz w:val="24"/>
          <w:szCs w:val="24"/>
        </w:rPr>
      </w:pPr>
      <w:r w:rsidRPr="004F7ED3">
        <w:rPr>
          <w:rFonts w:ascii="Times New Roman" w:eastAsia="Calibri" w:hAnsi="Times New Roman"/>
          <w:sz w:val="24"/>
          <w:szCs w:val="24"/>
        </w:rPr>
        <w:t>определение мер устранения последствий конкретного СОР и мер минимизации возникновения его в будущем</w:t>
      </w:r>
      <w:r>
        <w:rPr>
          <w:rFonts w:ascii="Times New Roman" w:eastAsia="Calibri" w:hAnsi="Times New Roman"/>
          <w:sz w:val="24"/>
          <w:szCs w:val="24"/>
        </w:rPr>
        <w:t>;</w:t>
      </w:r>
    </w:p>
    <w:p w14:paraId="63A7C697" w14:textId="2F18F956" w:rsidR="00904CAC" w:rsidRPr="004F7ED3" w:rsidRDefault="00904CAC" w:rsidP="00904CAC">
      <w:pPr>
        <w:widowControl w:val="0"/>
        <w:numPr>
          <w:ilvl w:val="0"/>
          <w:numId w:val="6"/>
        </w:numPr>
        <w:autoSpaceDE w:val="0"/>
        <w:autoSpaceDN w:val="0"/>
        <w:adjustRightInd w:val="0"/>
        <w:ind w:left="851" w:hanging="284"/>
        <w:jc w:val="both"/>
        <w:rPr>
          <w:rFonts w:ascii="Times New Roman" w:eastAsia="Calibri" w:hAnsi="Times New Roman"/>
          <w:sz w:val="24"/>
          <w:szCs w:val="24"/>
        </w:rPr>
      </w:pPr>
      <w:r w:rsidRPr="004F7ED3">
        <w:rPr>
          <w:rFonts w:ascii="Times New Roman" w:eastAsia="Calibri" w:hAnsi="Times New Roman"/>
          <w:sz w:val="24"/>
          <w:szCs w:val="24"/>
        </w:rPr>
        <w:lastRenderedPageBreak/>
        <w:t>инф</w:t>
      </w:r>
      <w:r>
        <w:rPr>
          <w:rFonts w:ascii="Times New Roman" w:eastAsia="Calibri" w:hAnsi="Times New Roman"/>
          <w:sz w:val="24"/>
          <w:szCs w:val="24"/>
        </w:rPr>
        <w:t>о</w:t>
      </w:r>
      <w:r w:rsidRPr="004F7ED3">
        <w:rPr>
          <w:rFonts w:ascii="Times New Roman" w:eastAsia="Calibri" w:hAnsi="Times New Roman"/>
          <w:sz w:val="24"/>
          <w:szCs w:val="24"/>
        </w:rPr>
        <w:t xml:space="preserve">рмирование органов управления </w:t>
      </w:r>
      <w:r>
        <w:rPr>
          <w:rFonts w:ascii="Times New Roman" w:eastAsia="Calibri" w:hAnsi="Times New Roman"/>
          <w:sz w:val="24"/>
          <w:szCs w:val="24"/>
        </w:rPr>
        <w:t>о событиях и уровне</w:t>
      </w:r>
      <w:r w:rsidRPr="004F7ED3">
        <w:rPr>
          <w:rFonts w:ascii="Times New Roman" w:eastAsia="Calibri" w:hAnsi="Times New Roman"/>
          <w:sz w:val="24"/>
          <w:szCs w:val="24"/>
        </w:rPr>
        <w:t xml:space="preserve"> операционно</w:t>
      </w:r>
      <w:r>
        <w:rPr>
          <w:rFonts w:ascii="Times New Roman" w:eastAsia="Calibri" w:hAnsi="Times New Roman"/>
          <w:sz w:val="24"/>
          <w:szCs w:val="24"/>
        </w:rPr>
        <w:t>го</w:t>
      </w:r>
      <w:r w:rsidRPr="004F7ED3">
        <w:rPr>
          <w:rFonts w:ascii="Times New Roman" w:eastAsia="Calibri" w:hAnsi="Times New Roman"/>
          <w:sz w:val="24"/>
          <w:szCs w:val="24"/>
        </w:rPr>
        <w:t xml:space="preserve"> риск</w:t>
      </w:r>
      <w:r>
        <w:rPr>
          <w:rFonts w:ascii="Times New Roman" w:eastAsia="Calibri" w:hAnsi="Times New Roman"/>
          <w:sz w:val="24"/>
          <w:szCs w:val="24"/>
        </w:rPr>
        <w:t>а (ежемесячно или оперативно по существенным СОР)</w:t>
      </w:r>
      <w:r w:rsidRPr="004F7ED3">
        <w:rPr>
          <w:rFonts w:ascii="Times New Roman" w:eastAsia="Calibri" w:hAnsi="Times New Roman"/>
          <w:sz w:val="24"/>
          <w:szCs w:val="24"/>
        </w:rPr>
        <w:t xml:space="preserve"> и контроль выполнения мероприятий по минимизации операционного риска по возникшим СОР на ежеквартальной основе</w:t>
      </w:r>
      <w:r>
        <w:rPr>
          <w:rFonts w:ascii="Times New Roman" w:eastAsia="Calibri" w:hAnsi="Times New Roman"/>
          <w:sz w:val="24"/>
          <w:szCs w:val="24"/>
        </w:rPr>
        <w:t>;</w:t>
      </w:r>
    </w:p>
    <w:p w14:paraId="367A6ACB" w14:textId="77777777" w:rsidR="00D33150" w:rsidRPr="003506EA" w:rsidRDefault="00D33150" w:rsidP="00D33150">
      <w:pPr>
        <w:widowControl w:val="0"/>
        <w:numPr>
          <w:ilvl w:val="0"/>
          <w:numId w:val="6"/>
        </w:numPr>
        <w:autoSpaceDE w:val="0"/>
        <w:autoSpaceDN w:val="0"/>
        <w:adjustRightInd w:val="0"/>
        <w:ind w:left="851" w:hanging="284"/>
        <w:jc w:val="both"/>
        <w:rPr>
          <w:rFonts w:ascii="Times New Roman" w:eastAsia="Calibri" w:hAnsi="Times New Roman"/>
          <w:sz w:val="24"/>
          <w:szCs w:val="24"/>
        </w:rPr>
      </w:pPr>
      <w:r w:rsidRPr="004F7ED3">
        <w:rPr>
          <w:rFonts w:ascii="Times New Roman" w:eastAsia="Calibri" w:hAnsi="Times New Roman"/>
          <w:sz w:val="24"/>
          <w:szCs w:val="24"/>
        </w:rPr>
        <w:t>отчетность НКЦ, как квалифицированного ЦК, на периодической (ежемесячной) основе перед регулятором (Банком России) о перечне зарегистрированных инцидентов и выявленных операционных рисках</w:t>
      </w:r>
      <w:r>
        <w:rPr>
          <w:rFonts w:ascii="Times New Roman" w:eastAsia="Calibri" w:hAnsi="Times New Roman"/>
          <w:sz w:val="24"/>
          <w:szCs w:val="24"/>
        </w:rPr>
        <w:t>.</w:t>
      </w:r>
    </w:p>
    <w:p w14:paraId="115FC2B8" w14:textId="741BB729" w:rsidR="00D33150" w:rsidRPr="004F7ED3" w:rsidRDefault="0098619E" w:rsidP="0098619E">
      <w:pPr>
        <w:widowControl w:val="0"/>
        <w:tabs>
          <w:tab w:val="left" w:pos="0"/>
        </w:tabs>
        <w:autoSpaceDE w:val="0"/>
        <w:autoSpaceDN w:val="0"/>
        <w:adjustRightInd w:val="0"/>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4F7ED3">
        <w:rPr>
          <w:rFonts w:ascii="Times New Roman" w:eastAsia="Calibri" w:hAnsi="Times New Roman"/>
          <w:sz w:val="24"/>
          <w:szCs w:val="24"/>
        </w:rPr>
        <w:t>Методологическую основу эффективного функционирования системы управления операционным риском составляю</w:t>
      </w:r>
      <w:r w:rsidR="00D33150">
        <w:rPr>
          <w:rFonts w:ascii="Times New Roman" w:eastAsia="Calibri" w:hAnsi="Times New Roman"/>
          <w:sz w:val="24"/>
          <w:szCs w:val="24"/>
        </w:rPr>
        <w:t>т</w:t>
      </w:r>
      <w:r w:rsidR="00D33150" w:rsidRPr="004F7ED3">
        <w:rPr>
          <w:rFonts w:ascii="Times New Roman" w:eastAsia="Calibri" w:hAnsi="Times New Roman"/>
          <w:sz w:val="24"/>
          <w:szCs w:val="24"/>
        </w:rPr>
        <w:t xml:space="preserve"> внутренние документы НКЦ, определяющие:</w:t>
      </w:r>
    </w:p>
    <w:p w14:paraId="21BDBF93" w14:textId="77777777" w:rsidR="00D33150" w:rsidRPr="004F7ED3" w:rsidRDefault="00D33150" w:rsidP="00D33150">
      <w:pPr>
        <w:widowControl w:val="0"/>
        <w:numPr>
          <w:ilvl w:val="0"/>
          <w:numId w:val="6"/>
        </w:numPr>
        <w:autoSpaceDE w:val="0"/>
        <w:autoSpaceDN w:val="0"/>
        <w:adjustRightInd w:val="0"/>
        <w:ind w:left="851" w:hanging="284"/>
        <w:jc w:val="both"/>
        <w:rPr>
          <w:rFonts w:ascii="Times New Roman" w:eastAsia="Calibri" w:hAnsi="Times New Roman"/>
          <w:sz w:val="24"/>
          <w:szCs w:val="24"/>
        </w:rPr>
      </w:pPr>
      <w:r w:rsidRPr="004F7ED3">
        <w:rPr>
          <w:rFonts w:ascii="Times New Roman" w:eastAsia="Calibri" w:hAnsi="Times New Roman"/>
          <w:sz w:val="24"/>
          <w:szCs w:val="24"/>
        </w:rPr>
        <w:t>мониторинг операционного риска с использованием системы индикаторов операционного риска;</w:t>
      </w:r>
    </w:p>
    <w:p w14:paraId="076B1CC2" w14:textId="77777777" w:rsidR="00D33150" w:rsidRPr="004F7ED3" w:rsidRDefault="00D33150" w:rsidP="00D33150">
      <w:pPr>
        <w:widowControl w:val="0"/>
        <w:numPr>
          <w:ilvl w:val="0"/>
          <w:numId w:val="6"/>
        </w:numPr>
        <w:autoSpaceDE w:val="0"/>
        <w:autoSpaceDN w:val="0"/>
        <w:adjustRightInd w:val="0"/>
        <w:ind w:left="851" w:hanging="284"/>
        <w:jc w:val="both"/>
        <w:rPr>
          <w:rFonts w:ascii="Times New Roman" w:eastAsia="Calibri" w:hAnsi="Times New Roman"/>
          <w:sz w:val="24"/>
          <w:szCs w:val="24"/>
        </w:rPr>
      </w:pPr>
      <w:r w:rsidRPr="004F7ED3">
        <w:rPr>
          <w:rFonts w:ascii="Times New Roman" w:eastAsia="Calibri" w:hAnsi="Times New Roman"/>
          <w:sz w:val="24"/>
          <w:szCs w:val="24"/>
        </w:rPr>
        <w:t>выявление операционных рисков по новым продуктам и процессам в процессе их разработки;</w:t>
      </w:r>
    </w:p>
    <w:p w14:paraId="333AF45A" w14:textId="77777777" w:rsidR="00D33150" w:rsidRPr="004F7ED3" w:rsidRDefault="00D33150" w:rsidP="00D33150">
      <w:pPr>
        <w:widowControl w:val="0"/>
        <w:numPr>
          <w:ilvl w:val="0"/>
          <w:numId w:val="6"/>
        </w:numPr>
        <w:autoSpaceDE w:val="0"/>
        <w:autoSpaceDN w:val="0"/>
        <w:adjustRightInd w:val="0"/>
        <w:ind w:left="851" w:hanging="284"/>
        <w:jc w:val="both"/>
        <w:rPr>
          <w:rFonts w:ascii="Times New Roman" w:eastAsia="Calibri" w:hAnsi="Times New Roman"/>
          <w:sz w:val="24"/>
          <w:szCs w:val="24"/>
        </w:rPr>
      </w:pPr>
      <w:r w:rsidRPr="004F7ED3">
        <w:rPr>
          <w:rFonts w:ascii="Times New Roman" w:eastAsia="Calibri" w:hAnsi="Times New Roman"/>
          <w:sz w:val="24"/>
          <w:szCs w:val="24"/>
        </w:rPr>
        <w:t xml:space="preserve">сбор и анализ данных о событиях операционного риска, произошедших в других организациях, схожих с </w:t>
      </w:r>
      <w:r>
        <w:rPr>
          <w:rFonts w:ascii="Times New Roman" w:eastAsia="Calibri" w:hAnsi="Times New Roman"/>
          <w:sz w:val="24"/>
          <w:szCs w:val="24"/>
        </w:rPr>
        <w:t>НКЦ</w:t>
      </w:r>
      <w:r w:rsidRPr="004F7ED3">
        <w:rPr>
          <w:rFonts w:ascii="Times New Roman" w:eastAsia="Calibri" w:hAnsi="Times New Roman"/>
          <w:sz w:val="24"/>
          <w:szCs w:val="24"/>
        </w:rPr>
        <w:t xml:space="preserve"> по профилю деятельности с целью анализа их влияния на деятельност</w:t>
      </w:r>
      <w:r>
        <w:rPr>
          <w:rFonts w:ascii="Times New Roman" w:eastAsia="Calibri" w:hAnsi="Times New Roman"/>
          <w:sz w:val="24"/>
          <w:szCs w:val="24"/>
        </w:rPr>
        <w:t>ь</w:t>
      </w:r>
      <w:r w:rsidRPr="004F7ED3">
        <w:rPr>
          <w:rFonts w:ascii="Times New Roman" w:eastAsia="Calibri" w:hAnsi="Times New Roman"/>
          <w:sz w:val="24"/>
          <w:szCs w:val="24"/>
        </w:rPr>
        <w:t xml:space="preserve"> НКЦ;</w:t>
      </w:r>
    </w:p>
    <w:p w14:paraId="77BCEB2C" w14:textId="77777777" w:rsidR="00D33150" w:rsidRPr="004F7ED3" w:rsidRDefault="00D33150" w:rsidP="00D33150">
      <w:pPr>
        <w:widowControl w:val="0"/>
        <w:numPr>
          <w:ilvl w:val="0"/>
          <w:numId w:val="6"/>
        </w:numPr>
        <w:autoSpaceDE w:val="0"/>
        <w:autoSpaceDN w:val="0"/>
        <w:adjustRightInd w:val="0"/>
        <w:ind w:left="851" w:hanging="284"/>
        <w:jc w:val="both"/>
        <w:rPr>
          <w:rFonts w:ascii="Times New Roman" w:eastAsia="Calibri" w:hAnsi="Times New Roman"/>
          <w:sz w:val="24"/>
          <w:szCs w:val="24"/>
        </w:rPr>
      </w:pPr>
      <w:r w:rsidRPr="004F7ED3">
        <w:rPr>
          <w:rFonts w:ascii="Times New Roman" w:eastAsia="Calibri" w:hAnsi="Times New Roman"/>
          <w:sz w:val="24"/>
          <w:szCs w:val="24"/>
        </w:rPr>
        <w:t>разработку мер реагирования на операционный риск и контроль за исполнением мероприятий по снижению операционных рисков;</w:t>
      </w:r>
    </w:p>
    <w:p w14:paraId="2596E5F5" w14:textId="77777777" w:rsidR="00D33150" w:rsidRPr="004F7ED3" w:rsidRDefault="00D33150" w:rsidP="00D33150">
      <w:pPr>
        <w:widowControl w:val="0"/>
        <w:numPr>
          <w:ilvl w:val="0"/>
          <w:numId w:val="6"/>
        </w:numPr>
        <w:autoSpaceDE w:val="0"/>
        <w:autoSpaceDN w:val="0"/>
        <w:adjustRightInd w:val="0"/>
        <w:ind w:left="851" w:hanging="284"/>
        <w:jc w:val="both"/>
        <w:rPr>
          <w:rFonts w:ascii="Times New Roman" w:eastAsia="Calibri" w:hAnsi="Times New Roman"/>
          <w:sz w:val="24"/>
          <w:szCs w:val="24"/>
        </w:rPr>
      </w:pPr>
      <w:r w:rsidRPr="004F7ED3">
        <w:rPr>
          <w:rFonts w:ascii="Times New Roman" w:eastAsia="Calibri" w:hAnsi="Times New Roman"/>
          <w:sz w:val="24"/>
          <w:szCs w:val="24"/>
        </w:rPr>
        <w:t>проверку устойчивости НКЦ к сбоям операционно-информационных систем не реже одного раза в год;</w:t>
      </w:r>
    </w:p>
    <w:p w14:paraId="29009BEE" w14:textId="77777777" w:rsidR="00D33150" w:rsidRPr="004F7ED3" w:rsidRDefault="00D33150" w:rsidP="00D33150">
      <w:pPr>
        <w:widowControl w:val="0"/>
        <w:numPr>
          <w:ilvl w:val="0"/>
          <w:numId w:val="6"/>
        </w:numPr>
        <w:autoSpaceDE w:val="0"/>
        <w:autoSpaceDN w:val="0"/>
        <w:adjustRightInd w:val="0"/>
        <w:ind w:left="851" w:hanging="284"/>
        <w:jc w:val="both"/>
        <w:rPr>
          <w:rFonts w:ascii="Times New Roman" w:eastAsia="Calibri" w:hAnsi="Times New Roman"/>
          <w:sz w:val="24"/>
          <w:szCs w:val="24"/>
        </w:rPr>
      </w:pPr>
      <w:r w:rsidRPr="004F7ED3">
        <w:rPr>
          <w:rFonts w:ascii="Times New Roman" w:eastAsia="Calibri" w:hAnsi="Times New Roman"/>
          <w:sz w:val="24"/>
          <w:szCs w:val="24"/>
        </w:rPr>
        <w:t>повышение квалификации сотрудников по вопросам управления операционным риском;</w:t>
      </w:r>
    </w:p>
    <w:p w14:paraId="176ACE95" w14:textId="77777777" w:rsidR="00D33150" w:rsidRPr="004F7ED3" w:rsidRDefault="00D33150" w:rsidP="00D33150">
      <w:pPr>
        <w:widowControl w:val="0"/>
        <w:numPr>
          <w:ilvl w:val="0"/>
          <w:numId w:val="6"/>
        </w:numPr>
        <w:autoSpaceDE w:val="0"/>
        <w:autoSpaceDN w:val="0"/>
        <w:adjustRightInd w:val="0"/>
        <w:ind w:left="851" w:hanging="284"/>
        <w:jc w:val="both"/>
        <w:rPr>
          <w:rFonts w:ascii="Times New Roman" w:eastAsia="Calibri" w:hAnsi="Times New Roman"/>
          <w:sz w:val="24"/>
          <w:szCs w:val="24"/>
        </w:rPr>
      </w:pPr>
      <w:r w:rsidRPr="004F7ED3">
        <w:rPr>
          <w:rFonts w:ascii="Times New Roman" w:eastAsia="Calibri" w:hAnsi="Times New Roman"/>
          <w:sz w:val="24"/>
          <w:szCs w:val="24"/>
        </w:rPr>
        <w:t>систему поощрений рядовых сотрудников за выявленные в процессе работы операционные риски;</w:t>
      </w:r>
    </w:p>
    <w:p w14:paraId="7783EACA" w14:textId="77777777" w:rsidR="00D33150" w:rsidRPr="004F7ED3" w:rsidRDefault="00D33150" w:rsidP="00D33150">
      <w:pPr>
        <w:widowControl w:val="0"/>
        <w:numPr>
          <w:ilvl w:val="0"/>
          <w:numId w:val="6"/>
        </w:numPr>
        <w:autoSpaceDE w:val="0"/>
        <w:autoSpaceDN w:val="0"/>
        <w:adjustRightInd w:val="0"/>
        <w:ind w:left="851" w:hanging="284"/>
        <w:jc w:val="both"/>
        <w:rPr>
          <w:rFonts w:ascii="Times New Roman" w:eastAsia="Calibri" w:hAnsi="Times New Roman"/>
          <w:sz w:val="24"/>
          <w:szCs w:val="24"/>
        </w:rPr>
      </w:pPr>
      <w:r w:rsidRPr="004F7ED3">
        <w:rPr>
          <w:rFonts w:ascii="Times New Roman" w:eastAsia="Calibri" w:hAnsi="Times New Roman"/>
          <w:sz w:val="24"/>
          <w:szCs w:val="24"/>
        </w:rPr>
        <w:t>политику разграничения прав доступа при вводе и обработке данных, снижающая риск несанкционированных либо ошибочных действий сотрудников соответствующих подразделений НКЦ;</w:t>
      </w:r>
    </w:p>
    <w:p w14:paraId="1AD33E39" w14:textId="77777777" w:rsidR="00D33150" w:rsidRPr="003506EA" w:rsidRDefault="00D33150" w:rsidP="00D33150">
      <w:pPr>
        <w:widowControl w:val="0"/>
        <w:numPr>
          <w:ilvl w:val="0"/>
          <w:numId w:val="6"/>
        </w:numPr>
        <w:autoSpaceDE w:val="0"/>
        <w:autoSpaceDN w:val="0"/>
        <w:adjustRightInd w:val="0"/>
        <w:ind w:left="851" w:hanging="284"/>
        <w:jc w:val="both"/>
        <w:rPr>
          <w:rFonts w:ascii="Times New Roman" w:eastAsia="Calibri" w:hAnsi="Times New Roman"/>
          <w:sz w:val="24"/>
          <w:szCs w:val="24"/>
        </w:rPr>
      </w:pPr>
      <w:r w:rsidRPr="004F7ED3">
        <w:rPr>
          <w:rFonts w:ascii="Times New Roman" w:eastAsia="Calibri" w:hAnsi="Times New Roman"/>
          <w:sz w:val="24"/>
          <w:szCs w:val="24"/>
        </w:rPr>
        <w:t>политику разграничения сред на всех стадиях жизненного цикла информационных систем.</w:t>
      </w:r>
    </w:p>
    <w:p w14:paraId="3506C77B" w14:textId="1D67B691" w:rsidR="00D33150" w:rsidRDefault="0098619E" w:rsidP="0098619E">
      <w:pPr>
        <w:autoSpaceDE w:val="0"/>
        <w:autoSpaceDN w:val="0"/>
        <w:adjustRightInd w:val="0"/>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4F7ED3">
        <w:rPr>
          <w:rFonts w:ascii="Times New Roman" w:eastAsia="Calibri" w:hAnsi="Times New Roman"/>
          <w:sz w:val="24"/>
          <w:szCs w:val="24"/>
        </w:rPr>
        <w:t>Операционный риск ограничивается, прежде всего, за счет использования надежных технических средств, информационных и технологических систем, многоуровневого контроля процедур проведения операций, высокой квалификации сотрудников.</w:t>
      </w:r>
    </w:p>
    <w:p w14:paraId="601F8B0E" w14:textId="160624AE" w:rsidR="00D33150" w:rsidRPr="003506EA" w:rsidRDefault="0098619E" w:rsidP="0098619E">
      <w:pPr>
        <w:autoSpaceDE w:val="0"/>
        <w:autoSpaceDN w:val="0"/>
        <w:adjustRightInd w:val="0"/>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4F7ED3">
        <w:rPr>
          <w:rFonts w:ascii="Times New Roman" w:eastAsia="Calibri" w:hAnsi="Times New Roman"/>
          <w:sz w:val="24"/>
          <w:szCs w:val="24"/>
        </w:rPr>
        <w:t>Реализуемый в НКЦ комплексный подход к снижению операционных рисков (персонала, процессов, систем) предполагает, в частности, внедрение системы определения приоритетности автоматизации процессов (с учётом рисков), проведение регулярного риск-аудита бизнес-процессов, поддержание оперативного учёта информационных активов (информационные системы, оборудование, каналы связи), резервирование каналов связи, а также внедрение проектного и сервисного подхода в работе подразделений.</w:t>
      </w:r>
    </w:p>
    <w:p w14:paraId="35267BF7" w14:textId="72D2B5DC" w:rsidR="00D33150" w:rsidRPr="003506EA" w:rsidRDefault="0098619E" w:rsidP="0098619E">
      <w:pPr>
        <w:autoSpaceDE w:val="0"/>
        <w:autoSpaceDN w:val="0"/>
        <w:adjustRightInd w:val="0"/>
        <w:spacing w:before="120"/>
        <w:jc w:val="both"/>
        <w:rPr>
          <w:rFonts w:ascii="Times New Roman" w:eastAsia="Calibri" w:hAnsi="Times New Roman"/>
          <w:sz w:val="24"/>
          <w:szCs w:val="24"/>
        </w:rPr>
      </w:pPr>
      <w:r>
        <w:rPr>
          <w:rFonts w:ascii="Times New Roman" w:eastAsia="Calibri" w:hAnsi="Times New Roman"/>
          <w:color w:val="000000"/>
          <w:sz w:val="24"/>
          <w:szCs w:val="24"/>
        </w:rPr>
        <w:t xml:space="preserve">     </w:t>
      </w:r>
      <w:r w:rsidR="00D33150" w:rsidRPr="004F7ED3">
        <w:rPr>
          <w:rFonts w:ascii="Times New Roman" w:eastAsia="Calibri" w:hAnsi="Times New Roman"/>
          <w:color w:val="000000"/>
          <w:sz w:val="24"/>
          <w:szCs w:val="24"/>
        </w:rPr>
        <w:t xml:space="preserve">Минимизация операционного риска в </w:t>
      </w:r>
      <w:r w:rsidR="00D33150">
        <w:rPr>
          <w:rFonts w:ascii="Times New Roman" w:eastAsia="Calibri" w:hAnsi="Times New Roman"/>
          <w:color w:val="000000"/>
          <w:sz w:val="24"/>
          <w:szCs w:val="24"/>
        </w:rPr>
        <w:t>НКЦ</w:t>
      </w:r>
      <w:r w:rsidR="00D33150" w:rsidRPr="004F7ED3">
        <w:rPr>
          <w:rFonts w:ascii="Times New Roman" w:eastAsia="Calibri" w:hAnsi="Times New Roman"/>
          <w:color w:val="000000"/>
          <w:sz w:val="24"/>
          <w:szCs w:val="24"/>
        </w:rPr>
        <w:t xml:space="preserve"> осуществляется путем проведения превентивных и корректирующих внутренних и внешних контрольных мероприятий, в число которых, в частности, входят: внедрение новых процедур и программно-технических средств контроля доступа, разграничение прав пользователей/администраторов информационных систем, резервное копирование информации,</w:t>
      </w:r>
      <w:r w:rsidR="00D33150" w:rsidRPr="004F7ED3">
        <w:rPr>
          <w:rFonts w:ascii="Times New Roman" w:eastAsia="Calibri" w:hAnsi="Times New Roman"/>
          <w:sz w:val="24"/>
          <w:szCs w:val="24"/>
        </w:rPr>
        <w:t xml:space="preserve"> анализ эффективности существующих, а также разработка и внедрение новых контрольных мероприятий.  </w:t>
      </w:r>
    </w:p>
    <w:p w14:paraId="206E9171" w14:textId="6DD8FB43" w:rsidR="00D33150" w:rsidRPr="003506EA" w:rsidRDefault="0098619E" w:rsidP="0098619E">
      <w:pPr>
        <w:autoSpaceDE w:val="0"/>
        <w:autoSpaceDN w:val="0"/>
        <w:adjustRightInd w:val="0"/>
        <w:spacing w:before="120"/>
        <w:jc w:val="both"/>
        <w:rPr>
          <w:rFonts w:ascii="Times New Roman" w:eastAsia="Calibri" w:hAnsi="Times New Roman"/>
          <w:color w:val="000000"/>
          <w:sz w:val="24"/>
          <w:szCs w:val="24"/>
        </w:rPr>
      </w:pPr>
      <w:r>
        <w:rPr>
          <w:rFonts w:ascii="Times New Roman" w:eastAsia="Calibri" w:hAnsi="Times New Roman"/>
          <w:color w:val="000000"/>
          <w:sz w:val="24"/>
          <w:szCs w:val="24"/>
        </w:rPr>
        <w:lastRenderedPageBreak/>
        <w:t xml:space="preserve">     </w:t>
      </w:r>
      <w:r w:rsidR="00D33150" w:rsidRPr="004F7ED3">
        <w:rPr>
          <w:rFonts w:ascii="Times New Roman" w:eastAsia="Calibri" w:hAnsi="Times New Roman"/>
          <w:color w:val="000000"/>
          <w:sz w:val="24"/>
          <w:szCs w:val="24"/>
        </w:rPr>
        <w:t xml:space="preserve">В </w:t>
      </w:r>
      <w:r w:rsidR="00D33150">
        <w:rPr>
          <w:rFonts w:ascii="Times New Roman" w:eastAsia="Calibri" w:hAnsi="Times New Roman"/>
          <w:color w:val="000000"/>
          <w:sz w:val="24"/>
          <w:szCs w:val="24"/>
        </w:rPr>
        <w:t>НКЦ</w:t>
      </w:r>
      <w:r w:rsidR="00D33150" w:rsidRPr="004F7ED3">
        <w:rPr>
          <w:rFonts w:ascii="Times New Roman" w:eastAsia="Calibri" w:hAnsi="Times New Roman"/>
          <w:color w:val="000000"/>
          <w:sz w:val="24"/>
          <w:szCs w:val="24"/>
        </w:rPr>
        <w:t xml:space="preserve"> осуществлялся регулярный анализ ключевых процессов, по результатам которого внедряются новые технологии, снижающие уровень операционного риска. При внедрении новых продуктов и услуг проводится комплексный многофакторный анализ проекта, вклю</w:t>
      </w:r>
      <w:r w:rsidR="00D33150">
        <w:rPr>
          <w:rFonts w:ascii="Times New Roman" w:eastAsia="Calibri" w:hAnsi="Times New Roman"/>
          <w:color w:val="000000"/>
          <w:sz w:val="24"/>
          <w:szCs w:val="24"/>
        </w:rPr>
        <w:t xml:space="preserve">чая оценку операционных рисков. </w:t>
      </w:r>
      <w:r w:rsidR="00D33150" w:rsidRPr="004F7ED3">
        <w:rPr>
          <w:rFonts w:ascii="Times New Roman" w:eastAsia="Calibri" w:hAnsi="Times New Roman"/>
          <w:sz w:val="24"/>
          <w:szCs w:val="24"/>
        </w:rPr>
        <w:t>На регулярной основе проводится независимый внешний аудит системы менеджме</w:t>
      </w:r>
      <w:r w:rsidR="00D33150">
        <w:rPr>
          <w:rFonts w:ascii="Times New Roman" w:eastAsia="Calibri" w:hAnsi="Times New Roman"/>
          <w:sz w:val="24"/>
          <w:szCs w:val="24"/>
        </w:rPr>
        <w:t>нта информационной безопасности.</w:t>
      </w:r>
    </w:p>
    <w:p w14:paraId="4CCE664E" w14:textId="33CFFC49" w:rsidR="00D33150" w:rsidRDefault="0098619E" w:rsidP="0098619E">
      <w:pPr>
        <w:autoSpaceDE w:val="0"/>
        <w:autoSpaceDN w:val="0"/>
        <w:adjustRightInd w:val="0"/>
        <w:spacing w:before="120"/>
        <w:jc w:val="both"/>
        <w:rPr>
          <w:rFonts w:ascii="Times New Roman" w:eastAsia="Calibri" w:hAnsi="Times New Roman"/>
          <w:sz w:val="24"/>
          <w:szCs w:val="24"/>
          <w:lang w:eastAsia="ru-RU"/>
        </w:rPr>
      </w:pPr>
      <w:r>
        <w:rPr>
          <w:rFonts w:ascii="Times New Roman" w:eastAsia="Calibri" w:hAnsi="Times New Roman"/>
          <w:sz w:val="24"/>
          <w:szCs w:val="24"/>
        </w:rPr>
        <w:t xml:space="preserve">     </w:t>
      </w:r>
      <w:r w:rsidR="00D33150" w:rsidRPr="004F7ED3">
        <w:rPr>
          <w:rFonts w:ascii="Times New Roman" w:eastAsia="Calibri" w:hAnsi="Times New Roman"/>
          <w:sz w:val="24"/>
          <w:szCs w:val="24"/>
        </w:rPr>
        <w:t xml:space="preserve">Особое внимание уделяется обеспечению непрерывности деятельности </w:t>
      </w:r>
      <w:r w:rsidR="00D33150">
        <w:rPr>
          <w:rFonts w:ascii="Times New Roman" w:eastAsia="Calibri" w:hAnsi="Times New Roman"/>
          <w:sz w:val="24"/>
          <w:szCs w:val="24"/>
        </w:rPr>
        <w:t>НКЦ</w:t>
      </w:r>
      <w:r w:rsidR="00D33150" w:rsidRPr="004F7ED3">
        <w:rPr>
          <w:rFonts w:ascii="Times New Roman" w:eastAsia="Calibri" w:hAnsi="Times New Roman"/>
          <w:sz w:val="24"/>
          <w:szCs w:val="24"/>
        </w:rPr>
        <w:t xml:space="preserve"> - ключевые информационные системы обеспечены резервными каналами и мощностями, организовано надлежащее хранение информации в электронных архивах.</w:t>
      </w:r>
      <w:r w:rsidR="00D33150">
        <w:rPr>
          <w:rFonts w:ascii="Times New Roman" w:eastAsia="Calibri" w:hAnsi="Times New Roman"/>
          <w:sz w:val="24"/>
          <w:szCs w:val="24"/>
        </w:rPr>
        <w:t xml:space="preserve"> </w:t>
      </w:r>
      <w:r w:rsidR="00D33150" w:rsidRPr="004F7ED3">
        <w:rPr>
          <w:rFonts w:ascii="Times New Roman" w:eastAsia="Calibri" w:hAnsi="Times New Roman"/>
          <w:sz w:val="24"/>
          <w:szCs w:val="24"/>
        </w:rPr>
        <w:t>Выполняя функции клиринговой организацией и центрального контрагента, НКЦ исходит из необходимости быть готовым к возникновению событий, которые могут привести к приостановке обычных операционных процедур. Положение Банка России от 16.12.2003г. № 242-П «Об организации внутреннего контроля в кредитных организациях и банковских группах» обязывает кредитные организации разрабатывать планы обеспечения непрерывности и восстановления деятельности при возникновении непредвиденных обстоятельств. Следуя требованиям регулятора, в НКЦ разработана и внедрена современная модель системы менеджмента непрерывности бизнеса, в том числе с учетом рекомендаций Центрального Банка России 20.05.2016 №17-МР «Методические рекомендации по разработке планов восстановления финансовой устойчивости инфраструктурными организациями финансового рынка».</w:t>
      </w:r>
    </w:p>
    <w:p w14:paraId="25379867" w14:textId="4833A2F3" w:rsidR="00D33150" w:rsidRPr="004F7ED3" w:rsidRDefault="0098619E" w:rsidP="0098619E">
      <w:pPr>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4F7ED3">
        <w:rPr>
          <w:rFonts w:ascii="Times New Roman" w:eastAsia="Calibri" w:hAnsi="Times New Roman"/>
          <w:sz w:val="24"/>
          <w:szCs w:val="24"/>
        </w:rPr>
        <w:t xml:space="preserve">При реализации процессов обеспечения непрерывности бизнеса НКЦ использует методику международного стандарта </w:t>
      </w:r>
      <w:r w:rsidR="00D33150" w:rsidRPr="004F7ED3">
        <w:rPr>
          <w:rFonts w:ascii="Times New Roman" w:eastAsia="Calibri" w:hAnsi="Times New Roman"/>
          <w:sz w:val="24"/>
          <w:szCs w:val="24"/>
          <w:lang w:val="en-US"/>
        </w:rPr>
        <w:t>ISO</w:t>
      </w:r>
      <w:r w:rsidR="00D33150" w:rsidRPr="004F7ED3">
        <w:rPr>
          <w:rFonts w:ascii="Times New Roman" w:eastAsia="Calibri" w:hAnsi="Times New Roman"/>
          <w:sz w:val="24"/>
          <w:szCs w:val="24"/>
        </w:rPr>
        <w:t xml:space="preserve"> 22301 (Социальная безопасность-Системы управления непрерывностью бизнеса-Требования). Основными элементами этого подхода являются:</w:t>
      </w:r>
    </w:p>
    <w:p w14:paraId="60DE67A1" w14:textId="77777777" w:rsidR="00D33150" w:rsidRPr="004F7ED3"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политика обеспечения непрерывности бизнеса – согласованный Наблюдательным советом НКЦ документ, который регламентирует работу в области обеспечения непрерывности бизнеса в НКЦ;</w:t>
      </w:r>
    </w:p>
    <w:p w14:paraId="4F3A7EE1" w14:textId="77777777" w:rsidR="00D33150" w:rsidRPr="004F7ED3"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оценка рисков непрерывности бизнеса – процесс по выявлению рисков, их анализ, и оценка их влияния на бизнес НКЦ;</w:t>
      </w:r>
    </w:p>
    <w:p w14:paraId="12224D17" w14:textId="77777777" w:rsidR="00D33150" w:rsidRPr="004F7ED3"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 xml:space="preserve">анализ влияния на бизнес – это анализ всех процессов НКЦ с точки зрения оценки возможного влияние на них различных видов инцидентов с течением времени. Анализ проводится, как минимум, ежегодно и охватывает все структурные подразделения </w:t>
      </w:r>
      <w:r>
        <w:rPr>
          <w:rFonts w:ascii="Times New Roman" w:eastAsia="Calibri" w:hAnsi="Times New Roman"/>
          <w:sz w:val="24"/>
          <w:szCs w:val="24"/>
        </w:rPr>
        <w:t>НКЦ</w:t>
      </w:r>
      <w:r w:rsidRPr="004F7ED3">
        <w:rPr>
          <w:rFonts w:ascii="Times New Roman" w:eastAsia="Calibri" w:hAnsi="Times New Roman"/>
          <w:sz w:val="24"/>
          <w:szCs w:val="24"/>
        </w:rPr>
        <w:t>;</w:t>
      </w:r>
    </w:p>
    <w:p w14:paraId="48F42C8B" w14:textId="77777777" w:rsidR="00D33150" w:rsidRPr="004F7ED3"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кризисное управление – это определение высокоуровневой стратегии обеспечения непрерывности бизнеса НКЦ, которая включает в себя заранее разработанные механизмы выхода из различных кризисных ситуаций;</w:t>
      </w:r>
    </w:p>
    <w:p w14:paraId="5A5DAB62" w14:textId="77777777" w:rsidR="00D33150" w:rsidRPr="004F7ED3"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стратегия обеспечения непрерывности бизнеса – разработанная стратегия, в которой описаны принципы построения системы менеджмента непрерывности бизнеса на краткосрочную, среднесрочную и долгосрочную перспективы;</w:t>
      </w:r>
    </w:p>
    <w:p w14:paraId="5684B51A" w14:textId="77777777" w:rsidR="00D33150" w:rsidRPr="004F7ED3"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план обеспечения непрерывности и восстановления деятельности – задокументированная процедура для использования при объявлении чрезвычайной ситуации. В плане перечислены меры для поддержания критичных бизнес функций на заранее определенном и согласованном уровне;</w:t>
      </w:r>
    </w:p>
    <w:p w14:paraId="3C2492DE" w14:textId="77777777" w:rsidR="00D33150" w:rsidRPr="004F7ED3"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план восстановления – задокументированный процесс восстановления и защиты ИТ- инфраструктуры и систем, в случае возникновения чрезвычайной ситуации;</w:t>
      </w:r>
    </w:p>
    <w:p w14:paraId="6223221E" w14:textId="77777777" w:rsidR="00D33150" w:rsidRPr="004F7ED3"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управление инцидентами – четко определенный и задокументированный план действий, который подлежит использованию во время чрезвычайной ситуации для минимизации влияния на персонал и критичные бизнес процессы;</w:t>
      </w:r>
    </w:p>
    <w:p w14:paraId="78E0C012" w14:textId="77777777" w:rsidR="00D33150" w:rsidRPr="004F7ED3"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lastRenderedPageBreak/>
        <w:t>кризисные коммуникации – задокументированные приоритеты в коммуникациях при возникновении чрезвычайной ситуации, которые содержат заранее разработанные образцы для оповещения во внешнюю и внутреннюю среды;</w:t>
      </w:r>
    </w:p>
    <w:p w14:paraId="6135774F" w14:textId="77777777" w:rsidR="00D33150" w:rsidRPr="003506EA"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 xml:space="preserve">тестирование и проведение упражнений - важный процесс, разработанный для определения: адекватности, качества планирования, эффективности организационной подготовленности процесса обеспечения непрерывности бизнеса. </w:t>
      </w:r>
    </w:p>
    <w:p w14:paraId="5B2F0CCE" w14:textId="5A073E06" w:rsidR="00D33150" w:rsidRDefault="0098619E" w:rsidP="0098619E">
      <w:pPr>
        <w:spacing w:before="120"/>
        <w:jc w:val="both"/>
        <w:rPr>
          <w:rFonts w:ascii="Times New Roman" w:eastAsia="Calibri" w:hAnsi="Times New Roman"/>
          <w:b/>
          <w:i/>
          <w:color w:val="000000"/>
          <w:sz w:val="24"/>
        </w:rPr>
      </w:pPr>
      <w:r>
        <w:rPr>
          <w:rFonts w:ascii="Times New Roman" w:eastAsia="Calibri" w:hAnsi="Times New Roman"/>
          <w:sz w:val="24"/>
          <w:szCs w:val="24"/>
        </w:rPr>
        <w:t xml:space="preserve">     </w:t>
      </w:r>
      <w:r w:rsidR="00D33150">
        <w:rPr>
          <w:rFonts w:ascii="Times New Roman" w:eastAsia="Calibri" w:hAnsi="Times New Roman"/>
          <w:sz w:val="24"/>
          <w:szCs w:val="24"/>
        </w:rPr>
        <w:t>Руководствуясь</w:t>
      </w:r>
      <w:r w:rsidR="00D33150" w:rsidRPr="004F7ED3">
        <w:rPr>
          <w:rFonts w:ascii="Times New Roman" w:eastAsia="Calibri" w:hAnsi="Times New Roman"/>
          <w:sz w:val="24"/>
          <w:szCs w:val="24"/>
        </w:rPr>
        <w:t xml:space="preserve"> стратеги</w:t>
      </w:r>
      <w:r w:rsidR="00D33150">
        <w:rPr>
          <w:rFonts w:ascii="Times New Roman" w:eastAsia="Calibri" w:hAnsi="Times New Roman"/>
          <w:sz w:val="24"/>
          <w:szCs w:val="24"/>
        </w:rPr>
        <w:t>ей</w:t>
      </w:r>
      <w:r w:rsidR="00D33150" w:rsidRPr="004F7ED3">
        <w:rPr>
          <w:rFonts w:ascii="Times New Roman" w:eastAsia="Calibri" w:hAnsi="Times New Roman"/>
          <w:sz w:val="24"/>
          <w:szCs w:val="24"/>
        </w:rPr>
        <w:t xml:space="preserve"> обеспечения непрерывности бизнеса и основываясь на требованиях бизнеса, в НКЦ созданы альтернативные площадки (географически </w:t>
      </w:r>
      <w:r w:rsidR="00D33150">
        <w:rPr>
          <w:rFonts w:ascii="Times New Roman" w:eastAsia="Calibri" w:hAnsi="Times New Roman"/>
          <w:sz w:val="24"/>
          <w:szCs w:val="24"/>
        </w:rPr>
        <w:t>удален</w:t>
      </w:r>
      <w:r w:rsidR="00D33150" w:rsidRPr="004F7ED3">
        <w:rPr>
          <w:rFonts w:ascii="Times New Roman" w:eastAsia="Calibri" w:hAnsi="Times New Roman"/>
          <w:sz w:val="24"/>
          <w:szCs w:val="24"/>
        </w:rPr>
        <w:t>ные резервные офисы), которые активируются при реализации сценария недоступности основных офисов. Для оценки уровня зрелости НКЦ в области обеспечения непрерывности бизнеса регулярно готовится отчетность по ключевым показателям системы менеджмента непрерывности бизнеса и передается органам управления НКЦ.</w:t>
      </w:r>
    </w:p>
    <w:p w14:paraId="370B2563" w14:textId="77777777" w:rsidR="00D33150" w:rsidRPr="00C11834" w:rsidRDefault="00D33150" w:rsidP="003221B6">
      <w:pPr>
        <w:pStyle w:val="3"/>
        <w:jc w:val="center"/>
        <w:rPr>
          <w:rFonts w:ascii="Times New Roman" w:eastAsia="Calibri" w:hAnsi="Times New Roman" w:cs="Times New Roman"/>
          <w:b/>
          <w:i/>
          <w:color w:val="auto"/>
        </w:rPr>
      </w:pPr>
      <w:bookmarkStart w:id="25" w:name="_Toc510776673"/>
      <w:r w:rsidRPr="00C11834">
        <w:rPr>
          <w:rFonts w:ascii="Times New Roman" w:eastAsia="Calibri" w:hAnsi="Times New Roman" w:cs="Times New Roman"/>
          <w:b/>
          <w:i/>
          <w:color w:val="auto"/>
        </w:rPr>
        <w:t>Управление стратегическим риском</w:t>
      </w:r>
      <w:bookmarkEnd w:id="25"/>
    </w:p>
    <w:p w14:paraId="41A605AE" w14:textId="3B93FE25" w:rsidR="00D33150" w:rsidRDefault="0098619E" w:rsidP="0098619E">
      <w:pPr>
        <w:jc w:val="both"/>
        <w:rPr>
          <w:rFonts w:ascii="Times New Roman" w:eastAsia="Calibri" w:hAnsi="Times New Roman"/>
          <w:sz w:val="24"/>
          <w:szCs w:val="24"/>
        </w:rPr>
      </w:pPr>
      <w:r>
        <w:rPr>
          <w:rFonts w:ascii="Times New Roman" w:hAnsi="Times New Roman"/>
          <w:sz w:val="24"/>
          <w:szCs w:val="24"/>
        </w:rPr>
        <w:t xml:space="preserve">     </w:t>
      </w:r>
      <w:r w:rsidR="00D33150">
        <w:rPr>
          <w:rFonts w:ascii="Times New Roman" w:hAnsi="Times New Roman"/>
          <w:sz w:val="24"/>
          <w:szCs w:val="24"/>
        </w:rPr>
        <w:t xml:space="preserve">Стратегические цели НКЦ определены в Стратегии НКЦ на 2017-2020гг., разработанной в соответствии со Стратегии Группы «Московская Биржа» на 2015-2020гг., и утверждены Наблюдательным советом НКЦ. </w:t>
      </w:r>
      <w:r w:rsidR="00D33150" w:rsidRPr="002F7C4C">
        <w:rPr>
          <w:rFonts w:ascii="Times New Roman" w:eastAsia="Calibri" w:hAnsi="Times New Roman"/>
          <w:sz w:val="24"/>
          <w:szCs w:val="24"/>
        </w:rPr>
        <w:t>Стратегический риск – риск неблагоприятного изменения результатов деятельности вследствие принятия ошибочных решений в процессе управления НКЦ, в том числе при разработке, утверждении и реализации стратегии развития НКЦ, ненадлежащем исполнении принятых решений, а также неспособности органов управления НКЦ учитывать изменения внешних факторов.</w:t>
      </w:r>
      <w:r w:rsidR="00D33150" w:rsidRPr="002F7C4C">
        <w:rPr>
          <w:rFonts w:ascii="Times New Roman" w:hAnsi="Times New Roman"/>
          <w:sz w:val="24"/>
          <w:szCs w:val="24"/>
        </w:rPr>
        <w:t xml:space="preserve"> Таким образом, эффективное управление стратегическим риском является залогом успеха в достижении стратегических целей при реализации стратегии.</w:t>
      </w:r>
    </w:p>
    <w:p w14:paraId="1934BF54" w14:textId="739C6186" w:rsidR="00D33150" w:rsidRPr="004F7ED3" w:rsidRDefault="0098619E" w:rsidP="0098619E">
      <w:pPr>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4F7ED3">
        <w:rPr>
          <w:rFonts w:ascii="Times New Roman" w:eastAsia="Calibri" w:hAnsi="Times New Roman"/>
          <w:sz w:val="24"/>
          <w:szCs w:val="24"/>
        </w:rPr>
        <w:t>Система управления стратегическим риском учитывает риски</w:t>
      </w:r>
      <w:r w:rsidR="00D33150">
        <w:rPr>
          <w:rFonts w:ascii="Times New Roman" w:eastAsia="Calibri" w:hAnsi="Times New Roman"/>
          <w:sz w:val="24"/>
          <w:szCs w:val="24"/>
        </w:rPr>
        <w:t>, возникающие в деятельности</w:t>
      </w:r>
      <w:r w:rsidR="00D33150" w:rsidRPr="004F7ED3">
        <w:rPr>
          <w:rFonts w:ascii="Times New Roman" w:eastAsia="Calibri" w:hAnsi="Times New Roman"/>
          <w:sz w:val="24"/>
          <w:szCs w:val="24"/>
        </w:rPr>
        <w:t xml:space="preserve"> НКЦ при совмещении</w:t>
      </w:r>
      <w:r w:rsidR="00D33150">
        <w:rPr>
          <w:rFonts w:ascii="Times New Roman" w:eastAsia="Calibri" w:hAnsi="Times New Roman"/>
          <w:sz w:val="24"/>
          <w:szCs w:val="24"/>
        </w:rPr>
        <w:t xml:space="preserve"> функций</w:t>
      </w:r>
      <w:r w:rsidR="00D33150" w:rsidRPr="004F7ED3">
        <w:rPr>
          <w:rFonts w:ascii="Times New Roman" w:eastAsia="Calibri" w:hAnsi="Times New Roman"/>
          <w:sz w:val="24"/>
          <w:szCs w:val="24"/>
        </w:rPr>
        <w:t xml:space="preserve"> </w:t>
      </w:r>
      <w:r w:rsidR="00D33150">
        <w:rPr>
          <w:rFonts w:ascii="Times New Roman" w:eastAsia="Calibri" w:hAnsi="Times New Roman"/>
          <w:sz w:val="24"/>
          <w:szCs w:val="24"/>
        </w:rPr>
        <w:t>кредитной организации</w:t>
      </w:r>
      <w:r w:rsidR="00D33150" w:rsidRPr="004F7ED3">
        <w:rPr>
          <w:rFonts w:ascii="Times New Roman" w:eastAsia="Calibri" w:hAnsi="Times New Roman"/>
          <w:sz w:val="24"/>
          <w:szCs w:val="24"/>
        </w:rPr>
        <w:t xml:space="preserve">, клиринговой </w:t>
      </w:r>
      <w:r w:rsidR="00D33150">
        <w:rPr>
          <w:rFonts w:ascii="Times New Roman" w:eastAsia="Calibri" w:hAnsi="Times New Roman"/>
          <w:sz w:val="24"/>
          <w:szCs w:val="24"/>
        </w:rPr>
        <w:t>организации, центрального контрагента и оператора товарных поставок</w:t>
      </w:r>
      <w:r w:rsidR="00D33150" w:rsidRPr="004F7ED3">
        <w:rPr>
          <w:rFonts w:ascii="Times New Roman" w:eastAsia="Calibri" w:hAnsi="Times New Roman"/>
          <w:sz w:val="24"/>
          <w:szCs w:val="24"/>
        </w:rPr>
        <w:t xml:space="preserve">. </w:t>
      </w:r>
    </w:p>
    <w:p w14:paraId="179CA833" w14:textId="77777777" w:rsidR="00D33150" w:rsidRPr="004F7ED3" w:rsidRDefault="00D33150" w:rsidP="00D33150">
      <w:pPr>
        <w:spacing w:before="120"/>
        <w:ind w:firstLine="567"/>
        <w:jc w:val="both"/>
        <w:rPr>
          <w:rFonts w:ascii="Times New Roman" w:eastAsia="Calibri" w:hAnsi="Times New Roman"/>
          <w:sz w:val="24"/>
          <w:szCs w:val="24"/>
        </w:rPr>
      </w:pPr>
      <w:r w:rsidRPr="004F7ED3">
        <w:rPr>
          <w:rFonts w:ascii="Times New Roman" w:eastAsia="Calibri" w:hAnsi="Times New Roman"/>
          <w:sz w:val="24"/>
          <w:szCs w:val="24"/>
        </w:rPr>
        <w:t>В процессе управления стратегическим риском НКЦ руководствуется следующими принципами:</w:t>
      </w:r>
    </w:p>
    <w:p w14:paraId="6FED6638" w14:textId="77777777" w:rsidR="00D33150" w:rsidRPr="004F7ED3" w:rsidRDefault="00D33150" w:rsidP="00D33150">
      <w:pPr>
        <w:numPr>
          <w:ilvl w:val="0"/>
          <w:numId w:val="9"/>
        </w:numPr>
        <w:ind w:left="0" w:firstLine="567"/>
        <w:contextualSpacing/>
        <w:jc w:val="both"/>
        <w:rPr>
          <w:rFonts w:ascii="Times New Roman" w:eastAsia="Calibri" w:hAnsi="Times New Roman"/>
          <w:sz w:val="24"/>
          <w:szCs w:val="24"/>
        </w:rPr>
      </w:pPr>
      <w:r w:rsidRPr="004F7ED3">
        <w:rPr>
          <w:rFonts w:ascii="Times New Roman" w:eastAsia="Calibri" w:hAnsi="Times New Roman"/>
          <w:sz w:val="24"/>
          <w:szCs w:val="24"/>
        </w:rPr>
        <w:t xml:space="preserve"> соответствие стратегии характеру, возможностям и масштабам деятельности НКЦ;</w:t>
      </w:r>
    </w:p>
    <w:p w14:paraId="01776D4E" w14:textId="77777777" w:rsidR="00D33150" w:rsidRPr="004F7ED3" w:rsidRDefault="00D33150" w:rsidP="00D33150">
      <w:pPr>
        <w:numPr>
          <w:ilvl w:val="0"/>
          <w:numId w:val="9"/>
        </w:numPr>
        <w:ind w:left="0" w:firstLine="567"/>
        <w:contextualSpacing/>
        <w:jc w:val="both"/>
        <w:rPr>
          <w:rFonts w:ascii="Times New Roman" w:eastAsia="Calibri" w:hAnsi="Times New Roman"/>
          <w:sz w:val="24"/>
          <w:szCs w:val="24"/>
        </w:rPr>
      </w:pPr>
      <w:r w:rsidRPr="004F7ED3">
        <w:rPr>
          <w:rFonts w:ascii="Times New Roman" w:eastAsia="Calibri" w:hAnsi="Times New Roman"/>
          <w:sz w:val="24"/>
          <w:szCs w:val="24"/>
        </w:rPr>
        <w:t xml:space="preserve"> внесение оперативных изменений в стратегические задачи НКЦ в случае изменения внешних и внутренних факторов;</w:t>
      </w:r>
    </w:p>
    <w:p w14:paraId="5DA8FFA8" w14:textId="77777777" w:rsidR="00D33150" w:rsidRPr="004F7ED3" w:rsidRDefault="00D33150" w:rsidP="00D33150">
      <w:pPr>
        <w:numPr>
          <w:ilvl w:val="0"/>
          <w:numId w:val="9"/>
        </w:numPr>
        <w:ind w:left="0" w:firstLine="567"/>
        <w:contextualSpacing/>
        <w:jc w:val="both"/>
        <w:rPr>
          <w:rFonts w:ascii="Times New Roman" w:eastAsia="Calibri" w:hAnsi="Times New Roman"/>
          <w:sz w:val="24"/>
          <w:szCs w:val="24"/>
        </w:rPr>
      </w:pPr>
      <w:r w:rsidRPr="004F7ED3">
        <w:rPr>
          <w:rFonts w:ascii="Times New Roman" w:eastAsia="Calibri" w:hAnsi="Times New Roman"/>
          <w:sz w:val="24"/>
          <w:szCs w:val="24"/>
        </w:rPr>
        <w:t xml:space="preserve"> </w:t>
      </w:r>
      <w:r>
        <w:rPr>
          <w:rFonts w:ascii="Times New Roman" w:eastAsia="Calibri" w:hAnsi="Times New Roman"/>
          <w:sz w:val="24"/>
          <w:szCs w:val="24"/>
        </w:rPr>
        <w:t xml:space="preserve">наличие </w:t>
      </w:r>
      <w:r w:rsidRPr="004F7ED3">
        <w:rPr>
          <w:rFonts w:ascii="Times New Roman" w:eastAsia="Calibri" w:hAnsi="Times New Roman"/>
          <w:sz w:val="24"/>
          <w:szCs w:val="24"/>
        </w:rPr>
        <w:t>возможност</w:t>
      </w:r>
      <w:r>
        <w:rPr>
          <w:rFonts w:ascii="Times New Roman" w:eastAsia="Calibri" w:hAnsi="Times New Roman"/>
          <w:sz w:val="24"/>
          <w:szCs w:val="24"/>
        </w:rPr>
        <w:t>и</w:t>
      </w:r>
      <w:r w:rsidRPr="004F7ED3">
        <w:rPr>
          <w:rFonts w:ascii="Times New Roman" w:eastAsia="Calibri" w:hAnsi="Times New Roman"/>
          <w:sz w:val="24"/>
          <w:szCs w:val="24"/>
        </w:rPr>
        <w:t xml:space="preserve"> количественной оценки соответствующих параметров стратегического риска;</w:t>
      </w:r>
    </w:p>
    <w:p w14:paraId="3764C452" w14:textId="77777777" w:rsidR="00D33150" w:rsidRPr="004F7ED3" w:rsidRDefault="00D33150" w:rsidP="00D33150">
      <w:pPr>
        <w:numPr>
          <w:ilvl w:val="0"/>
          <w:numId w:val="9"/>
        </w:numPr>
        <w:ind w:left="0" w:firstLine="567"/>
        <w:contextualSpacing/>
        <w:jc w:val="both"/>
        <w:rPr>
          <w:rFonts w:ascii="Times New Roman" w:eastAsia="Calibri" w:hAnsi="Times New Roman"/>
          <w:sz w:val="24"/>
          <w:szCs w:val="24"/>
        </w:rPr>
      </w:pPr>
      <w:r w:rsidRPr="004F7ED3">
        <w:rPr>
          <w:rFonts w:ascii="Times New Roman" w:eastAsia="Calibri" w:hAnsi="Times New Roman"/>
          <w:sz w:val="24"/>
          <w:szCs w:val="24"/>
        </w:rPr>
        <w:t xml:space="preserve"> регулярное проведения мониторинга размеров параметров стратегического риска;</w:t>
      </w:r>
    </w:p>
    <w:p w14:paraId="2FCC5F7F" w14:textId="77777777" w:rsidR="00D33150" w:rsidRPr="004F7ED3" w:rsidRDefault="00D33150" w:rsidP="00D33150">
      <w:pPr>
        <w:numPr>
          <w:ilvl w:val="0"/>
          <w:numId w:val="9"/>
        </w:numPr>
        <w:ind w:left="0" w:firstLine="567"/>
        <w:contextualSpacing/>
        <w:jc w:val="both"/>
        <w:rPr>
          <w:rFonts w:ascii="Times New Roman" w:eastAsia="Calibri" w:hAnsi="Times New Roman"/>
          <w:sz w:val="24"/>
          <w:szCs w:val="24"/>
        </w:rPr>
      </w:pPr>
      <w:r w:rsidRPr="004F7ED3">
        <w:rPr>
          <w:rFonts w:ascii="Times New Roman" w:eastAsia="Calibri" w:hAnsi="Times New Roman"/>
          <w:sz w:val="24"/>
          <w:szCs w:val="24"/>
        </w:rPr>
        <w:t xml:space="preserve"> осуществление оценки риска и подготовка информации для принятия надлежащих управленческих решений;</w:t>
      </w:r>
    </w:p>
    <w:p w14:paraId="4E785F95" w14:textId="77777777" w:rsidR="00D33150" w:rsidRPr="0049657C" w:rsidRDefault="00D33150" w:rsidP="00D33150">
      <w:pPr>
        <w:numPr>
          <w:ilvl w:val="0"/>
          <w:numId w:val="9"/>
        </w:numPr>
        <w:ind w:left="0" w:firstLine="567"/>
        <w:contextualSpacing/>
        <w:jc w:val="both"/>
        <w:rPr>
          <w:rFonts w:ascii="Times New Roman" w:eastAsia="Calibri" w:hAnsi="Times New Roman"/>
          <w:sz w:val="24"/>
          <w:szCs w:val="24"/>
        </w:rPr>
      </w:pPr>
      <w:r w:rsidRPr="004F7ED3">
        <w:rPr>
          <w:rFonts w:ascii="Times New Roman" w:eastAsia="Calibri" w:hAnsi="Times New Roman"/>
          <w:sz w:val="24"/>
          <w:szCs w:val="24"/>
        </w:rPr>
        <w:t xml:space="preserve"> наличие самостоятельных и независимых информационных подходов по всем значимым рискам.</w:t>
      </w:r>
    </w:p>
    <w:p w14:paraId="7AF7A5CD" w14:textId="77777777" w:rsidR="00D33150" w:rsidRPr="00181A6F" w:rsidRDefault="00D33150" w:rsidP="00D33150">
      <w:pPr>
        <w:spacing w:before="120"/>
        <w:ind w:firstLine="567"/>
        <w:jc w:val="both"/>
        <w:rPr>
          <w:rFonts w:ascii="Times New Roman" w:eastAsia="Calibri" w:hAnsi="Times New Roman"/>
          <w:i/>
          <w:sz w:val="24"/>
          <w:szCs w:val="24"/>
        </w:rPr>
      </w:pPr>
      <w:r w:rsidRPr="00181A6F">
        <w:rPr>
          <w:rFonts w:ascii="Times New Roman" w:eastAsia="Calibri" w:hAnsi="Times New Roman"/>
          <w:i/>
          <w:sz w:val="24"/>
          <w:szCs w:val="24"/>
        </w:rPr>
        <w:t>Для целей мониторинга стратегического риска установлены критерии мониторинга:</w:t>
      </w:r>
    </w:p>
    <w:p w14:paraId="09A09F0A" w14:textId="77777777" w:rsidR="00D33150" w:rsidRPr="004F7ED3" w:rsidRDefault="00D33150" w:rsidP="00D33150">
      <w:pPr>
        <w:numPr>
          <w:ilvl w:val="0"/>
          <w:numId w:val="10"/>
        </w:numPr>
        <w:ind w:left="0" w:firstLine="567"/>
        <w:contextualSpacing/>
        <w:jc w:val="both"/>
        <w:rPr>
          <w:rFonts w:ascii="Times New Roman" w:eastAsia="Calibri" w:hAnsi="Times New Roman"/>
          <w:sz w:val="24"/>
          <w:szCs w:val="24"/>
        </w:rPr>
      </w:pPr>
      <w:r w:rsidRPr="004F7ED3">
        <w:rPr>
          <w:rFonts w:ascii="Times New Roman" w:eastAsia="Calibri" w:hAnsi="Times New Roman"/>
          <w:sz w:val="24"/>
          <w:szCs w:val="24"/>
        </w:rPr>
        <w:t>критерий мониторинга, связанный с невозможностью достичь установленные стратегические цели;</w:t>
      </w:r>
    </w:p>
    <w:p w14:paraId="7201F5F5" w14:textId="77777777" w:rsidR="00D33150" w:rsidRPr="0049657C" w:rsidRDefault="00D33150" w:rsidP="00D33150">
      <w:pPr>
        <w:numPr>
          <w:ilvl w:val="0"/>
          <w:numId w:val="10"/>
        </w:numPr>
        <w:ind w:left="0" w:firstLine="567"/>
        <w:contextualSpacing/>
        <w:jc w:val="both"/>
        <w:rPr>
          <w:rFonts w:ascii="Times New Roman" w:eastAsia="Calibri" w:hAnsi="Times New Roman"/>
          <w:sz w:val="24"/>
          <w:szCs w:val="24"/>
        </w:rPr>
      </w:pPr>
      <w:r w:rsidRPr="004F7ED3">
        <w:rPr>
          <w:rFonts w:ascii="Times New Roman" w:eastAsia="Calibri" w:hAnsi="Times New Roman"/>
          <w:sz w:val="24"/>
          <w:szCs w:val="24"/>
        </w:rPr>
        <w:t>критерий мониторинга, связанный с изменением стратегических целей.</w:t>
      </w:r>
    </w:p>
    <w:p w14:paraId="5045A21A" w14:textId="77777777" w:rsidR="00D33150" w:rsidRPr="00D80EBC" w:rsidRDefault="00D33150" w:rsidP="00D33150">
      <w:pPr>
        <w:spacing w:before="120"/>
        <w:ind w:firstLine="567"/>
        <w:jc w:val="both"/>
        <w:rPr>
          <w:rFonts w:ascii="Times New Roman" w:eastAsia="Calibri" w:hAnsi="Times New Roman"/>
          <w:i/>
          <w:sz w:val="24"/>
          <w:szCs w:val="24"/>
        </w:rPr>
      </w:pPr>
      <w:r w:rsidRPr="00D80EBC">
        <w:rPr>
          <w:rFonts w:ascii="Times New Roman" w:eastAsia="Calibri" w:hAnsi="Times New Roman"/>
          <w:i/>
          <w:sz w:val="24"/>
          <w:szCs w:val="24"/>
        </w:rPr>
        <w:lastRenderedPageBreak/>
        <w:t>Мониторинг стратегического риска осуществляется в соответствии с установленными критериями посредством набора качественных показателей, в том числе:</w:t>
      </w:r>
    </w:p>
    <w:p w14:paraId="1A68A114" w14:textId="77777777" w:rsidR="00D33150" w:rsidRPr="004F7ED3"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выявление случаев несоблюдения одобренной Стратегии развития;</w:t>
      </w:r>
    </w:p>
    <w:p w14:paraId="3AF849BE" w14:textId="77777777" w:rsidR="00D33150" w:rsidRPr="004F7ED3"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выявление значительных отклонений в сроках и/или бюджете реализации стратегических проектов;</w:t>
      </w:r>
    </w:p>
    <w:p w14:paraId="6231D0D1" w14:textId="77777777" w:rsidR="00D33150" w:rsidRPr="0049657C"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выявление рисков, препятствующих достижению стратегических целей.</w:t>
      </w:r>
    </w:p>
    <w:p w14:paraId="2C24D71D" w14:textId="2D56E203" w:rsidR="00D33150" w:rsidRPr="004F7ED3" w:rsidRDefault="00653954" w:rsidP="00653954">
      <w:pPr>
        <w:spacing w:before="120"/>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4F7ED3">
        <w:rPr>
          <w:rFonts w:ascii="Times New Roman" w:eastAsia="Calibri" w:hAnsi="Times New Roman"/>
          <w:sz w:val="24"/>
          <w:szCs w:val="24"/>
        </w:rPr>
        <w:t>Дополнительным инструментом управления стратегическим риском на этапе реализации стратегии является мониторинг хода реализации Стратегических инициатив.</w:t>
      </w:r>
      <w:r w:rsidR="00D33150">
        <w:rPr>
          <w:rFonts w:ascii="Times New Roman" w:eastAsia="Calibri" w:hAnsi="Times New Roman"/>
          <w:sz w:val="24"/>
          <w:szCs w:val="24"/>
        </w:rPr>
        <w:t xml:space="preserve"> </w:t>
      </w:r>
      <w:r w:rsidR="00D33150" w:rsidRPr="004F7ED3">
        <w:rPr>
          <w:rFonts w:ascii="Times New Roman" w:eastAsia="Calibri" w:hAnsi="Times New Roman"/>
          <w:sz w:val="24"/>
          <w:szCs w:val="24"/>
        </w:rPr>
        <w:t>По результатам мониторинга стратегического риска предоставляется отчетность на регулярной основе уполномоченным коллегиальным органам НКЦ, которая включает в себя:</w:t>
      </w:r>
    </w:p>
    <w:p w14:paraId="1C5D50AC" w14:textId="77777777" w:rsidR="00D33150" w:rsidRPr="004F7ED3"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данные об уровне и динамике стратегического риска;</w:t>
      </w:r>
    </w:p>
    <w:p w14:paraId="42ECA7DB" w14:textId="77777777" w:rsidR="00D33150" w:rsidRPr="004F7ED3"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статистические данные по ключевым индикаторам риска;</w:t>
      </w:r>
    </w:p>
    <w:p w14:paraId="0BF06071" w14:textId="77777777" w:rsidR="00D33150" w:rsidRPr="004F7ED3"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результаты программ выявления и оценки стратегического риска;</w:t>
      </w:r>
    </w:p>
    <w:p w14:paraId="1FB08766" w14:textId="77777777" w:rsidR="00D33150" w:rsidRPr="004F7ED3"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отчет по статусам выполнения мероприятий по снижению риска;</w:t>
      </w:r>
    </w:p>
    <w:p w14:paraId="52471E4F" w14:textId="77777777" w:rsidR="00D33150" w:rsidRPr="0049657C" w:rsidRDefault="00D33150" w:rsidP="00D33150">
      <w:pPr>
        <w:widowControl w:val="0"/>
        <w:numPr>
          <w:ilvl w:val="0"/>
          <w:numId w:val="6"/>
        </w:numPr>
        <w:tabs>
          <w:tab w:val="left" w:pos="0"/>
        </w:tabs>
        <w:autoSpaceDE w:val="0"/>
        <w:autoSpaceDN w:val="0"/>
        <w:adjustRightInd w:val="0"/>
        <w:ind w:left="0" w:firstLine="567"/>
        <w:jc w:val="both"/>
        <w:rPr>
          <w:rFonts w:ascii="Times New Roman" w:eastAsia="Calibri" w:hAnsi="Times New Roman"/>
          <w:sz w:val="24"/>
          <w:szCs w:val="24"/>
        </w:rPr>
      </w:pPr>
      <w:r w:rsidRPr="004F7ED3">
        <w:rPr>
          <w:rFonts w:ascii="Times New Roman" w:eastAsia="Calibri" w:hAnsi="Times New Roman"/>
          <w:sz w:val="24"/>
          <w:szCs w:val="24"/>
        </w:rPr>
        <w:t>другую информацию, касающуюся управления стратегическими рисками.</w:t>
      </w:r>
    </w:p>
    <w:p w14:paraId="0D6296C4" w14:textId="5B7E812B" w:rsidR="00D33150" w:rsidRPr="00D7519F" w:rsidRDefault="00653954" w:rsidP="00653954">
      <w:pPr>
        <w:jc w:val="both"/>
        <w:rPr>
          <w:rFonts w:ascii="Times New Roman" w:eastAsia="Calibri" w:hAnsi="Times New Roman"/>
          <w:sz w:val="24"/>
          <w:szCs w:val="24"/>
        </w:rPr>
      </w:pPr>
      <w:r>
        <w:rPr>
          <w:rFonts w:ascii="Times New Roman" w:eastAsia="Calibri" w:hAnsi="Times New Roman"/>
          <w:sz w:val="24"/>
          <w:szCs w:val="24"/>
        </w:rPr>
        <w:t xml:space="preserve">     </w:t>
      </w:r>
      <w:r w:rsidR="00D33150" w:rsidRPr="004F7ED3">
        <w:rPr>
          <w:rFonts w:ascii="Times New Roman" w:eastAsia="Calibri" w:hAnsi="Times New Roman"/>
          <w:sz w:val="24"/>
          <w:szCs w:val="24"/>
        </w:rPr>
        <w:t>Результаты управления стратегическим риском учитываются в процессе стратегического планирования в соответствии со стратегическими целями НКЦ и Стратегией Группы. На основании установленных текущих и плановых (целевых) показателей риск-аппетита НКЦ участвует в разработке стратегических целей.</w:t>
      </w:r>
    </w:p>
    <w:p w14:paraId="1A3E9D6B" w14:textId="77777777" w:rsidR="00D33150" w:rsidRPr="00C11834" w:rsidRDefault="00D33150" w:rsidP="003221B6">
      <w:pPr>
        <w:pStyle w:val="3"/>
        <w:jc w:val="center"/>
        <w:rPr>
          <w:rFonts w:ascii="Times New Roman" w:eastAsia="Calibri" w:hAnsi="Times New Roman" w:cs="Times New Roman"/>
          <w:b/>
          <w:i/>
          <w:color w:val="auto"/>
        </w:rPr>
      </w:pPr>
      <w:bookmarkStart w:id="26" w:name="_Toc510776674"/>
      <w:r w:rsidRPr="00C11834">
        <w:rPr>
          <w:rFonts w:ascii="Times New Roman" w:eastAsia="Calibri" w:hAnsi="Times New Roman" w:cs="Times New Roman"/>
          <w:b/>
          <w:i/>
          <w:color w:val="auto"/>
        </w:rPr>
        <w:t>Управление правовым риском</w:t>
      </w:r>
      <w:bookmarkEnd w:id="26"/>
    </w:p>
    <w:p w14:paraId="6F29DEE5" w14:textId="017B9C71" w:rsidR="00D33150" w:rsidRPr="000630B0" w:rsidRDefault="00653954" w:rsidP="00653954">
      <w:pPr>
        <w:tabs>
          <w:tab w:val="num" w:pos="567"/>
          <w:tab w:val="left" w:pos="600"/>
        </w:tabs>
        <w:spacing w:before="120"/>
        <w:jc w:val="both"/>
        <w:rPr>
          <w:rFonts w:ascii="Times New Roman" w:hAnsi="Times New Roman"/>
          <w:color w:val="000000"/>
          <w:sz w:val="24"/>
        </w:rPr>
      </w:pPr>
      <w:r>
        <w:rPr>
          <w:rFonts w:ascii="Times New Roman" w:hAnsi="Times New Roman"/>
          <w:color w:val="000000"/>
          <w:sz w:val="24"/>
        </w:rPr>
        <w:t xml:space="preserve">     </w:t>
      </w:r>
      <w:r w:rsidR="00D33150" w:rsidRPr="000630B0">
        <w:rPr>
          <w:rFonts w:ascii="Times New Roman" w:hAnsi="Times New Roman"/>
          <w:color w:val="000000"/>
          <w:sz w:val="24"/>
        </w:rPr>
        <w:t>Организация управления правовым риском в НКЦ осуществляется с учетом специфики деятельности Банка, совмещающего функции центрального контрагента и клиринговой организации на финансовых рынках Группы «Московская Биржа» с деятельностью</w:t>
      </w:r>
      <w:r w:rsidR="00D33150">
        <w:rPr>
          <w:rFonts w:ascii="Times New Roman" w:hAnsi="Times New Roman"/>
          <w:color w:val="000000"/>
          <w:sz w:val="24"/>
        </w:rPr>
        <w:t xml:space="preserve"> кредитной организации</w:t>
      </w:r>
      <w:r w:rsidR="00D33150" w:rsidRPr="000630B0">
        <w:rPr>
          <w:rFonts w:ascii="Times New Roman" w:hAnsi="Times New Roman"/>
          <w:color w:val="000000"/>
          <w:sz w:val="24"/>
        </w:rPr>
        <w:t>,</w:t>
      </w:r>
      <w:r w:rsidR="00D33150">
        <w:rPr>
          <w:rFonts w:ascii="Times New Roman" w:hAnsi="Times New Roman"/>
          <w:color w:val="000000"/>
          <w:sz w:val="24"/>
        </w:rPr>
        <w:t xml:space="preserve"> а</w:t>
      </w:r>
      <w:r w:rsidR="00D33150" w:rsidRPr="000630B0">
        <w:rPr>
          <w:rFonts w:ascii="Times New Roman" w:hAnsi="Times New Roman"/>
          <w:color w:val="000000"/>
          <w:sz w:val="24"/>
        </w:rPr>
        <w:t xml:space="preserve"> также деятельностью оператора товарных поставок. При этом особое внимание уделяется мерам по минимизации правового риска при осуществлении НКЦ функций центрального контрагента. Факторы правового риска в НКЦ являются общими для всех видов деятельности, поэтому в целях организации процесса управления правовым риском в НКЦ построена комплексная система управления правовым риском по всем направлениям деятельности НКЦ.</w:t>
      </w:r>
    </w:p>
    <w:p w14:paraId="0FAE96EC" w14:textId="77777777" w:rsidR="00653954" w:rsidRDefault="00653954" w:rsidP="00653954">
      <w:pPr>
        <w:autoSpaceDE w:val="0"/>
        <w:autoSpaceDN w:val="0"/>
        <w:adjustRightInd w:val="0"/>
        <w:jc w:val="both"/>
        <w:rPr>
          <w:rFonts w:ascii="Times New Roman" w:hAnsi="Times New Roman"/>
          <w:color w:val="000000"/>
          <w:sz w:val="24"/>
          <w:szCs w:val="24"/>
        </w:rPr>
      </w:pPr>
    </w:p>
    <w:p w14:paraId="3458ECE8" w14:textId="209976A5" w:rsidR="00D33150" w:rsidRPr="000630B0" w:rsidRDefault="00653954" w:rsidP="00653954">
      <w:pPr>
        <w:autoSpaceDE w:val="0"/>
        <w:autoSpaceDN w:val="0"/>
        <w:adjustRightInd w:val="0"/>
        <w:jc w:val="both"/>
        <w:rPr>
          <w:rFonts w:ascii="Times New Roman" w:hAnsi="Times New Roman"/>
          <w:sz w:val="24"/>
          <w:szCs w:val="24"/>
        </w:rPr>
      </w:pPr>
      <w:r>
        <w:rPr>
          <w:rFonts w:ascii="Times New Roman" w:hAnsi="Times New Roman"/>
          <w:color w:val="000000"/>
          <w:sz w:val="24"/>
          <w:szCs w:val="24"/>
        </w:rPr>
        <w:t xml:space="preserve">     </w:t>
      </w:r>
      <w:r w:rsidR="00D33150" w:rsidRPr="000630B0">
        <w:rPr>
          <w:rFonts w:ascii="Times New Roman" w:hAnsi="Times New Roman"/>
          <w:color w:val="000000"/>
          <w:sz w:val="24"/>
          <w:szCs w:val="24"/>
        </w:rPr>
        <w:t xml:space="preserve">Управление правовым риском в </w:t>
      </w:r>
      <w:r w:rsidR="00D33150">
        <w:rPr>
          <w:rFonts w:ascii="Times New Roman" w:hAnsi="Times New Roman"/>
          <w:color w:val="000000"/>
          <w:sz w:val="24"/>
          <w:szCs w:val="24"/>
        </w:rPr>
        <w:t>НКЦ</w:t>
      </w:r>
      <w:r w:rsidR="00D33150" w:rsidRPr="000630B0">
        <w:rPr>
          <w:rFonts w:ascii="Times New Roman" w:hAnsi="Times New Roman"/>
          <w:color w:val="000000"/>
          <w:sz w:val="24"/>
          <w:szCs w:val="24"/>
        </w:rPr>
        <w:t xml:space="preserve"> осуществляется в соответствии с Положением «Об организации управления правовым риском в </w:t>
      </w:r>
      <w:r w:rsidR="00D33150" w:rsidRPr="000630B0">
        <w:rPr>
          <w:rFonts w:ascii="Times New Roman" w:hAnsi="Times New Roman"/>
          <w:color w:val="000000"/>
          <w:sz w:val="24"/>
        </w:rPr>
        <w:t>Банке «Национальный Клиринговый Центр» (Акционерное общество)»</w:t>
      </w:r>
      <w:r w:rsidR="00D33150" w:rsidRPr="000630B0">
        <w:rPr>
          <w:rFonts w:ascii="Times New Roman" w:hAnsi="Times New Roman"/>
          <w:color w:val="000000"/>
          <w:sz w:val="24"/>
          <w:szCs w:val="24"/>
        </w:rPr>
        <w:t>, утвержденным решением Наблюдательного сов</w:t>
      </w:r>
      <w:r w:rsidR="00D33150">
        <w:rPr>
          <w:rFonts w:ascii="Times New Roman" w:hAnsi="Times New Roman"/>
          <w:color w:val="000000"/>
          <w:sz w:val="24"/>
          <w:szCs w:val="24"/>
        </w:rPr>
        <w:t>ета Банка НКЦ (АО) 24.12.2015 (П</w:t>
      </w:r>
      <w:r w:rsidR="00D33150" w:rsidRPr="000630B0">
        <w:rPr>
          <w:rFonts w:ascii="Times New Roman" w:hAnsi="Times New Roman"/>
          <w:color w:val="000000"/>
          <w:sz w:val="24"/>
          <w:szCs w:val="24"/>
        </w:rPr>
        <w:t xml:space="preserve">ротокол № 8), которое учитывает требования Банка России к управлению правовым риском, изложенные в </w:t>
      </w:r>
      <w:r w:rsidR="00D33150" w:rsidRPr="000630B0">
        <w:rPr>
          <w:rFonts w:ascii="Times New Roman" w:hAnsi="Times New Roman"/>
          <w:sz w:val="24"/>
          <w:szCs w:val="24"/>
        </w:rPr>
        <w:t xml:space="preserve">Положении </w:t>
      </w:r>
      <w:r w:rsidR="00D33150">
        <w:rPr>
          <w:rFonts w:ascii="Times New Roman" w:hAnsi="Times New Roman"/>
          <w:sz w:val="24"/>
          <w:szCs w:val="24"/>
        </w:rPr>
        <w:t xml:space="preserve">Банка России </w:t>
      </w:r>
      <w:r w:rsidR="00D33150" w:rsidRPr="000630B0">
        <w:rPr>
          <w:rFonts w:ascii="Times New Roman" w:hAnsi="Times New Roman"/>
          <w:sz w:val="24"/>
          <w:szCs w:val="24"/>
        </w:rPr>
        <w:t>от 12.03.2015 № 463-П «О требованиях, направленных на снижение рисков осуществления клиринговой деятельности, и требованиях к документу (документам), определяющему (определяющим) меры, направленные на снижение кредитных, операционных и иных рисков, в том числе рисков, связанных с совмещением клиринговой деятельности с иными видами деятельности», Указании от 15.04.2015 № 3624-У «О требованиях к системе управления рисками и капиталом кредитной организации и банковской группы»,</w:t>
      </w:r>
      <w:r w:rsidR="00D33150" w:rsidRPr="000630B0">
        <w:rPr>
          <w:rFonts w:ascii="Times New Roman" w:hAnsi="Times New Roman"/>
          <w:color w:val="000000"/>
          <w:sz w:val="24"/>
          <w:szCs w:val="24"/>
        </w:rPr>
        <w:t xml:space="preserve"> </w:t>
      </w:r>
      <w:r w:rsidR="00D33150" w:rsidRPr="000630B0">
        <w:rPr>
          <w:rFonts w:ascii="Times New Roman" w:hAnsi="Times New Roman"/>
          <w:sz w:val="24"/>
          <w:szCs w:val="24"/>
        </w:rPr>
        <w:t>Указании от 03.12.2012 № 2919-У «Об оценке качества управления кредитной организации, осуществляющей функции центрального контрагента»,</w:t>
      </w:r>
      <w:r w:rsidR="00D33150" w:rsidRPr="000630B0">
        <w:rPr>
          <w:rFonts w:ascii="Times New Roman" w:hAnsi="Times New Roman"/>
          <w:sz w:val="28"/>
          <w:szCs w:val="28"/>
        </w:rPr>
        <w:t xml:space="preserve"> </w:t>
      </w:r>
      <w:r w:rsidR="00D33150" w:rsidRPr="000630B0">
        <w:rPr>
          <w:rFonts w:ascii="Times New Roman" w:hAnsi="Times New Roman"/>
          <w:sz w:val="24"/>
          <w:szCs w:val="24"/>
        </w:rPr>
        <w:t xml:space="preserve">Письме от 30.06.2005 № 92-Т «Об организации управления правовым </w:t>
      </w:r>
      <w:r w:rsidR="00D33150" w:rsidRPr="000630B0">
        <w:rPr>
          <w:rFonts w:ascii="Times New Roman" w:hAnsi="Times New Roman"/>
          <w:sz w:val="24"/>
          <w:szCs w:val="24"/>
        </w:rPr>
        <w:lastRenderedPageBreak/>
        <w:t>риском и риском потери деловой репутации в кредитных организациях и банковских группах».</w:t>
      </w:r>
    </w:p>
    <w:p w14:paraId="5285418B" w14:textId="6FCABA39" w:rsidR="00D33150" w:rsidRPr="000630B0" w:rsidRDefault="00653954" w:rsidP="00653954">
      <w:pPr>
        <w:tabs>
          <w:tab w:val="num" w:pos="567"/>
          <w:tab w:val="left" w:pos="600"/>
        </w:tabs>
        <w:spacing w:before="120"/>
        <w:jc w:val="both"/>
        <w:rPr>
          <w:rFonts w:ascii="Times New Roman" w:hAnsi="Times New Roman"/>
          <w:color w:val="000000"/>
          <w:sz w:val="24"/>
        </w:rPr>
      </w:pPr>
      <w:r>
        <w:rPr>
          <w:rFonts w:ascii="Times New Roman" w:hAnsi="Times New Roman"/>
          <w:color w:val="000000"/>
          <w:sz w:val="24"/>
        </w:rPr>
        <w:t xml:space="preserve">     </w:t>
      </w:r>
      <w:r w:rsidR="00D33150" w:rsidRPr="000630B0">
        <w:rPr>
          <w:rFonts w:ascii="Times New Roman" w:hAnsi="Times New Roman"/>
          <w:color w:val="000000"/>
          <w:sz w:val="24"/>
        </w:rPr>
        <w:t xml:space="preserve">Процесс управления правовым риском предполагает распределение полномочий между различными уровнями органов управления НКЦ, а также структурными подразделениями и работниками </w:t>
      </w:r>
      <w:r w:rsidR="00D33150">
        <w:rPr>
          <w:rFonts w:ascii="Times New Roman" w:hAnsi="Times New Roman"/>
          <w:color w:val="000000"/>
          <w:sz w:val="24"/>
        </w:rPr>
        <w:t>НКЦ</w:t>
      </w:r>
      <w:r w:rsidR="00D33150" w:rsidRPr="000630B0">
        <w:rPr>
          <w:rFonts w:ascii="Times New Roman" w:hAnsi="Times New Roman"/>
          <w:color w:val="000000"/>
          <w:sz w:val="24"/>
        </w:rPr>
        <w:t>. Система полномочий по принятию решений в процессе управления правовым риском и контроля за эффективностью  управления правовым риском включает в себя несколько уровней: первый уровень – Наблюдательный совет НКЦ и Комитет по рискам Наблюдательного совета; второй уровень – Правление НКЦ, Председатель Правления, Служба внутреннего аудита; третий уровень -  Ответственный сотрудник по правовым вопросам, Юридическое управление, Служба внутреннего контроля, Департамент анализа и контроля рисков, Сотрудник, ответственный за управление операционным</w:t>
      </w:r>
      <w:r w:rsidR="00D33150">
        <w:rPr>
          <w:rFonts w:ascii="Times New Roman" w:hAnsi="Times New Roman"/>
          <w:color w:val="000000"/>
          <w:sz w:val="24"/>
        </w:rPr>
        <w:t xml:space="preserve"> и стратегическим</w:t>
      </w:r>
      <w:r w:rsidR="00D33150" w:rsidRPr="000630B0">
        <w:rPr>
          <w:rFonts w:ascii="Times New Roman" w:hAnsi="Times New Roman"/>
          <w:color w:val="000000"/>
          <w:sz w:val="24"/>
        </w:rPr>
        <w:t xml:space="preserve"> риском; четвертый уровень – другие подразделения.</w:t>
      </w:r>
    </w:p>
    <w:p w14:paraId="5D30535A" w14:textId="0673A223" w:rsidR="00D33150" w:rsidRPr="000630B0" w:rsidRDefault="00653954" w:rsidP="00653954">
      <w:pPr>
        <w:tabs>
          <w:tab w:val="num" w:pos="567"/>
          <w:tab w:val="left" w:pos="600"/>
        </w:tabs>
        <w:spacing w:before="120"/>
        <w:jc w:val="both"/>
        <w:rPr>
          <w:rFonts w:ascii="Times New Roman" w:hAnsi="Times New Roman"/>
          <w:color w:val="000000"/>
          <w:sz w:val="24"/>
        </w:rPr>
      </w:pPr>
      <w:r>
        <w:rPr>
          <w:rFonts w:ascii="Times New Roman" w:hAnsi="Times New Roman"/>
          <w:color w:val="000000"/>
          <w:sz w:val="24"/>
        </w:rPr>
        <w:t xml:space="preserve">     </w:t>
      </w:r>
      <w:r w:rsidR="00D33150" w:rsidRPr="000630B0">
        <w:rPr>
          <w:rFonts w:ascii="Times New Roman" w:hAnsi="Times New Roman"/>
          <w:color w:val="000000"/>
          <w:sz w:val="24"/>
        </w:rPr>
        <w:t xml:space="preserve">В соответствии с внутренним распорядительным документом в </w:t>
      </w:r>
      <w:r w:rsidR="00D33150">
        <w:rPr>
          <w:rFonts w:ascii="Times New Roman" w:hAnsi="Times New Roman"/>
          <w:color w:val="000000"/>
          <w:sz w:val="24"/>
        </w:rPr>
        <w:t>НКЦ</w:t>
      </w:r>
      <w:r w:rsidR="00D33150" w:rsidRPr="000630B0">
        <w:rPr>
          <w:rFonts w:ascii="Times New Roman" w:hAnsi="Times New Roman"/>
          <w:color w:val="000000"/>
          <w:sz w:val="24"/>
        </w:rPr>
        <w:t xml:space="preserve"> назначен Ответственный сотрудник по правовым вопросам, осуществляющий управление правовым риском и организацию работы по минимизации правового риска. Ответственный сотрудник по правовым вопросам находится в непосредственном подчинении Председателя Правления НКЦ и в своей деятельности независим от деятельности Юридического управления и подразделений, осуществляющих операции (сделки), связанные с принятием правового риска. </w:t>
      </w:r>
    </w:p>
    <w:p w14:paraId="21FA8614" w14:textId="02B38061" w:rsidR="00D33150" w:rsidRPr="000630B0" w:rsidRDefault="00653954" w:rsidP="00653954">
      <w:pPr>
        <w:tabs>
          <w:tab w:val="num" w:pos="567"/>
          <w:tab w:val="left" w:pos="600"/>
        </w:tabs>
        <w:spacing w:before="120"/>
        <w:jc w:val="both"/>
        <w:rPr>
          <w:rFonts w:ascii="Times New Roman" w:hAnsi="Times New Roman"/>
          <w:color w:val="000000"/>
          <w:sz w:val="24"/>
        </w:rPr>
      </w:pPr>
      <w:r>
        <w:rPr>
          <w:rFonts w:ascii="Times New Roman" w:hAnsi="Times New Roman"/>
          <w:color w:val="000000"/>
          <w:sz w:val="24"/>
        </w:rPr>
        <w:t xml:space="preserve">     </w:t>
      </w:r>
      <w:r w:rsidR="00D33150" w:rsidRPr="000630B0">
        <w:rPr>
          <w:rFonts w:ascii="Times New Roman" w:hAnsi="Times New Roman"/>
          <w:color w:val="000000"/>
          <w:sz w:val="24"/>
        </w:rPr>
        <w:t xml:space="preserve">На постоянной основе Ответственным сотрудником по правовым вопросам организуется мониторинг законодательства Российской Федерации, подготавливаются обзоры по изменениям законодательства Российской Федерации, нормативных правовых актов Российской Федерации, судебной практики, а также проектов нормативных правовых актов Российской Федерации, по вопросам, имеющим отношение к деятельности НКЦ. Такие обзоры направляются всем заинтересованным структурным подразделениям НКЦ. Руководители заинтересованных структурных подразделений обеспечивают своевременное внесение изменений во внутренние документы НКЦ, учитывающие изменения законодательства Российской Федерации. </w:t>
      </w:r>
    </w:p>
    <w:p w14:paraId="22F673B3" w14:textId="5A2A762E" w:rsidR="00D33150" w:rsidRPr="000630B0" w:rsidRDefault="00653954" w:rsidP="00653954">
      <w:pPr>
        <w:tabs>
          <w:tab w:val="num" w:pos="567"/>
          <w:tab w:val="left" w:pos="600"/>
        </w:tabs>
        <w:spacing w:before="120"/>
        <w:jc w:val="both"/>
        <w:rPr>
          <w:rFonts w:ascii="Times New Roman" w:hAnsi="Times New Roman"/>
          <w:color w:val="000000"/>
          <w:sz w:val="24"/>
        </w:rPr>
      </w:pPr>
      <w:r>
        <w:rPr>
          <w:rFonts w:ascii="Times New Roman" w:hAnsi="Times New Roman"/>
          <w:color w:val="000000"/>
          <w:sz w:val="24"/>
        </w:rPr>
        <w:t xml:space="preserve">    </w:t>
      </w:r>
      <w:r w:rsidR="00D33150" w:rsidRPr="000630B0">
        <w:rPr>
          <w:rFonts w:ascii="Times New Roman" w:hAnsi="Times New Roman"/>
          <w:color w:val="000000"/>
          <w:sz w:val="24"/>
        </w:rPr>
        <w:t>В целях минимизации правового риска разработаны типовые формы договоров и иных внутренних документов, установлен порядок согласования Юридическим управлением заключаемых Банком договоров, проводимых операций и других сделок, отличных от типовых.</w:t>
      </w:r>
    </w:p>
    <w:p w14:paraId="63C169F9" w14:textId="3B730A29" w:rsidR="00D33150" w:rsidRPr="000630B0" w:rsidRDefault="00653954" w:rsidP="00653954">
      <w:pPr>
        <w:tabs>
          <w:tab w:val="num" w:pos="567"/>
          <w:tab w:val="left" w:pos="600"/>
        </w:tabs>
        <w:spacing w:before="120"/>
        <w:jc w:val="both"/>
        <w:rPr>
          <w:rFonts w:ascii="Times New Roman" w:hAnsi="Times New Roman"/>
          <w:color w:val="000000"/>
          <w:sz w:val="24"/>
        </w:rPr>
      </w:pPr>
      <w:r>
        <w:rPr>
          <w:rFonts w:ascii="Times New Roman" w:hAnsi="Times New Roman"/>
          <w:color w:val="000000"/>
          <w:sz w:val="24"/>
        </w:rPr>
        <w:t xml:space="preserve">     </w:t>
      </w:r>
      <w:r w:rsidR="00D33150" w:rsidRPr="000630B0">
        <w:rPr>
          <w:rFonts w:ascii="Times New Roman" w:hAnsi="Times New Roman"/>
          <w:color w:val="000000"/>
          <w:sz w:val="24"/>
        </w:rPr>
        <w:t xml:space="preserve">В соответствии с внутренними документами НКЦ осуществляются сбор и анализ информации о событиях правового риска и мониторинг правового риска. Ответственным сотрудником по правовым вопросам ежеквартально подготавливается и выносится на рассмотрение и утверждение Правления НКЦ отчетность по правовому риску. </w:t>
      </w:r>
      <w:r w:rsidR="00D33150">
        <w:rPr>
          <w:rFonts w:ascii="Times New Roman" w:hAnsi="Times New Roman"/>
          <w:color w:val="000000"/>
          <w:sz w:val="24"/>
        </w:rPr>
        <w:t xml:space="preserve">Эта  </w:t>
      </w:r>
      <w:r w:rsidR="00D33150" w:rsidRPr="000630B0">
        <w:rPr>
          <w:rFonts w:ascii="Times New Roman" w:hAnsi="Times New Roman"/>
          <w:color w:val="000000"/>
          <w:sz w:val="24"/>
        </w:rPr>
        <w:t xml:space="preserve"> </w:t>
      </w:r>
      <w:r w:rsidR="00D33150">
        <w:rPr>
          <w:rFonts w:ascii="Times New Roman" w:hAnsi="Times New Roman"/>
          <w:color w:val="000000"/>
          <w:sz w:val="24"/>
        </w:rPr>
        <w:t>от</w:t>
      </w:r>
      <w:r w:rsidR="00D33150" w:rsidRPr="000630B0">
        <w:rPr>
          <w:rFonts w:ascii="Times New Roman" w:hAnsi="Times New Roman"/>
          <w:color w:val="000000"/>
          <w:sz w:val="24"/>
        </w:rPr>
        <w:t xml:space="preserve">четность формируется на основании показателей оценки уровня правового риска, установленных Положением «Об организации управления правовым риском в Банке «Национальный Клиринговый Центр» (Акционерное общество)», и </w:t>
      </w:r>
      <w:r w:rsidR="00D33150" w:rsidRPr="000630B0">
        <w:rPr>
          <w:rFonts w:ascii="Times New Roman" w:hAnsi="Times New Roman"/>
          <w:sz w:val="24"/>
          <w:szCs w:val="24"/>
        </w:rPr>
        <w:t>содержит следующую информацию: оценка уровня правового риска; результаты оценки уровня правового риска в динамике; соотношение показателей уровня правового риска с установленными лимитами</w:t>
      </w:r>
      <w:r w:rsidR="00D33150" w:rsidRPr="000630B0">
        <w:rPr>
          <w:rFonts w:ascii="Times New Roman" w:hAnsi="Times New Roman"/>
          <w:color w:val="000000"/>
          <w:sz w:val="24"/>
        </w:rPr>
        <w:t xml:space="preserve">. </w:t>
      </w:r>
    </w:p>
    <w:p w14:paraId="3F764E44" w14:textId="77777777" w:rsidR="00653954" w:rsidRDefault="00653954" w:rsidP="00653954">
      <w:pPr>
        <w:jc w:val="both"/>
        <w:rPr>
          <w:rFonts w:ascii="Times New Roman" w:hAnsi="Times New Roman"/>
          <w:color w:val="000000"/>
          <w:sz w:val="24"/>
        </w:rPr>
      </w:pPr>
      <w:r>
        <w:rPr>
          <w:rFonts w:ascii="Times New Roman" w:hAnsi="Times New Roman"/>
          <w:color w:val="000000"/>
          <w:sz w:val="24"/>
        </w:rPr>
        <w:t xml:space="preserve">     </w:t>
      </w:r>
    </w:p>
    <w:p w14:paraId="0E0B6E65" w14:textId="48100D2E" w:rsidR="00D33150" w:rsidRPr="000630B0" w:rsidRDefault="00653954" w:rsidP="00653954">
      <w:pPr>
        <w:jc w:val="both"/>
        <w:rPr>
          <w:rFonts w:ascii="Times New Roman" w:hAnsi="Times New Roman"/>
          <w:color w:val="000000"/>
          <w:sz w:val="24"/>
        </w:rPr>
      </w:pPr>
      <w:r>
        <w:rPr>
          <w:rFonts w:ascii="Times New Roman" w:hAnsi="Times New Roman"/>
          <w:color w:val="000000"/>
          <w:sz w:val="24"/>
        </w:rPr>
        <w:t xml:space="preserve">     </w:t>
      </w:r>
      <w:r w:rsidR="00D33150" w:rsidRPr="000630B0">
        <w:rPr>
          <w:rFonts w:ascii="Times New Roman" w:hAnsi="Times New Roman"/>
          <w:color w:val="000000"/>
          <w:sz w:val="24"/>
        </w:rPr>
        <w:t>Показатели оценки уровня правового риска в 201</w:t>
      </w:r>
      <w:r w:rsidR="00D33150">
        <w:rPr>
          <w:rFonts w:ascii="Times New Roman" w:hAnsi="Times New Roman"/>
          <w:color w:val="000000"/>
          <w:sz w:val="24"/>
        </w:rPr>
        <w:t>7</w:t>
      </w:r>
      <w:r w:rsidR="00D33150" w:rsidRPr="000630B0">
        <w:rPr>
          <w:rFonts w:ascii="Times New Roman" w:hAnsi="Times New Roman"/>
          <w:color w:val="000000"/>
          <w:sz w:val="24"/>
        </w:rPr>
        <w:t xml:space="preserve"> году не превысили лимитов, установленных решением Правления Банка. Повышенное внимание в 201</w:t>
      </w:r>
      <w:r w:rsidR="00D33150">
        <w:rPr>
          <w:rFonts w:ascii="Times New Roman" w:hAnsi="Times New Roman"/>
          <w:color w:val="000000"/>
          <w:sz w:val="24"/>
        </w:rPr>
        <w:t>7</w:t>
      </w:r>
      <w:r w:rsidR="00D33150" w:rsidRPr="000630B0">
        <w:rPr>
          <w:rFonts w:ascii="Times New Roman" w:hAnsi="Times New Roman"/>
          <w:color w:val="000000"/>
          <w:sz w:val="24"/>
        </w:rPr>
        <w:t xml:space="preserve"> году уделялось анализу претензий участников клиринга и контрагентов, а </w:t>
      </w:r>
      <w:r w:rsidR="00D33150" w:rsidRPr="000630B0">
        <w:rPr>
          <w:rFonts w:ascii="Times New Roman" w:hAnsi="Times New Roman"/>
          <w:color w:val="000000"/>
          <w:sz w:val="24"/>
        </w:rPr>
        <w:lastRenderedPageBreak/>
        <w:t xml:space="preserve">также мероприятиям, направленным на предотвращение возникновения ситуаций, способных повлечь за собой предъявление к НКЦ судебных исков. </w:t>
      </w:r>
      <w:r w:rsidR="00D33150" w:rsidRPr="000630B0">
        <w:rPr>
          <w:rFonts w:ascii="Times New Roman" w:hAnsi="Times New Roman"/>
          <w:sz w:val="24"/>
          <w:szCs w:val="24"/>
        </w:rPr>
        <w:t xml:space="preserve">По каждому событию правового риска, в том числе связанному с </w:t>
      </w:r>
      <w:r w:rsidR="00D33150" w:rsidRPr="000630B0">
        <w:rPr>
          <w:rFonts w:ascii="Times New Roman" w:hAnsi="Times New Roman"/>
          <w:color w:val="000000"/>
          <w:sz w:val="24"/>
        </w:rPr>
        <w:t xml:space="preserve">предъявлением клиентами и контрагентами претензий к НКЦ, оперативно принимались меры для снижения риска. </w:t>
      </w:r>
    </w:p>
    <w:p w14:paraId="7EA165D1" w14:textId="77777777" w:rsidR="00653954" w:rsidRDefault="00653954" w:rsidP="00653954">
      <w:pPr>
        <w:jc w:val="both"/>
        <w:rPr>
          <w:rFonts w:ascii="Times New Roman" w:hAnsi="Times New Roman"/>
          <w:color w:val="000000"/>
          <w:sz w:val="24"/>
        </w:rPr>
      </w:pPr>
    </w:p>
    <w:p w14:paraId="6796D29C" w14:textId="222F282F" w:rsidR="00D33150" w:rsidRPr="00D070E0" w:rsidRDefault="00653954" w:rsidP="00653954">
      <w:pPr>
        <w:jc w:val="both"/>
        <w:rPr>
          <w:rFonts w:ascii="Times New Roman" w:hAnsi="Times New Roman"/>
          <w:color w:val="000000"/>
          <w:sz w:val="24"/>
        </w:rPr>
      </w:pPr>
      <w:r>
        <w:rPr>
          <w:rFonts w:ascii="Times New Roman" w:hAnsi="Times New Roman"/>
          <w:color w:val="000000"/>
          <w:sz w:val="24"/>
        </w:rPr>
        <w:t xml:space="preserve">     </w:t>
      </w:r>
      <w:r w:rsidR="00D33150" w:rsidRPr="000630B0">
        <w:rPr>
          <w:rFonts w:ascii="Times New Roman" w:hAnsi="Times New Roman"/>
          <w:color w:val="000000"/>
          <w:sz w:val="24"/>
        </w:rPr>
        <w:t>Количество зафиксированных в 201</w:t>
      </w:r>
      <w:r w:rsidR="00D33150">
        <w:rPr>
          <w:rFonts w:ascii="Times New Roman" w:hAnsi="Times New Roman"/>
          <w:color w:val="000000"/>
          <w:sz w:val="24"/>
        </w:rPr>
        <w:t>7</w:t>
      </w:r>
      <w:r w:rsidR="00D33150" w:rsidRPr="000630B0">
        <w:rPr>
          <w:rFonts w:ascii="Times New Roman" w:hAnsi="Times New Roman"/>
          <w:color w:val="000000"/>
          <w:sz w:val="24"/>
        </w:rPr>
        <w:t xml:space="preserve"> году событий правового риска, связанных с предъявлением клиентами и контрагентами претензий к НКЦ, в сравнении с 201</w:t>
      </w:r>
      <w:r w:rsidR="00D33150">
        <w:rPr>
          <w:rFonts w:ascii="Times New Roman" w:hAnsi="Times New Roman"/>
          <w:color w:val="000000"/>
          <w:sz w:val="24"/>
        </w:rPr>
        <w:t>6</w:t>
      </w:r>
      <w:r w:rsidR="00D33150" w:rsidRPr="000630B0">
        <w:rPr>
          <w:rFonts w:ascii="Times New Roman" w:hAnsi="Times New Roman"/>
          <w:color w:val="000000"/>
          <w:sz w:val="24"/>
        </w:rPr>
        <w:t xml:space="preserve"> годом </w:t>
      </w:r>
      <w:r w:rsidR="00D33150">
        <w:rPr>
          <w:rFonts w:ascii="Times New Roman" w:hAnsi="Times New Roman"/>
          <w:color w:val="000000"/>
          <w:sz w:val="24"/>
        </w:rPr>
        <w:t>сократилось с 9 до 5</w:t>
      </w:r>
      <w:r w:rsidR="00D33150" w:rsidRPr="000630B0">
        <w:rPr>
          <w:rFonts w:ascii="Times New Roman" w:hAnsi="Times New Roman"/>
          <w:color w:val="000000"/>
          <w:sz w:val="24"/>
        </w:rPr>
        <w:t>.</w:t>
      </w:r>
      <w:r w:rsidR="00D33150" w:rsidRPr="00D070E0">
        <w:rPr>
          <w:rFonts w:ascii="Times New Roman" w:hAnsi="Times New Roman"/>
          <w:color w:val="000000"/>
          <w:sz w:val="24"/>
        </w:rPr>
        <w:t xml:space="preserve"> Выплаты Банком денежных средств по решению судебных органов в 201</w:t>
      </w:r>
      <w:r w:rsidR="00D33150">
        <w:rPr>
          <w:rFonts w:ascii="Times New Roman" w:hAnsi="Times New Roman"/>
          <w:color w:val="000000"/>
          <w:sz w:val="24"/>
        </w:rPr>
        <w:t>7</w:t>
      </w:r>
      <w:r w:rsidR="00D33150" w:rsidRPr="00D070E0">
        <w:rPr>
          <w:rFonts w:ascii="Times New Roman" w:hAnsi="Times New Roman"/>
          <w:color w:val="000000"/>
          <w:sz w:val="24"/>
        </w:rPr>
        <w:t xml:space="preserve"> году не осуществлялись.</w:t>
      </w:r>
    </w:p>
    <w:p w14:paraId="201A942C" w14:textId="77777777" w:rsidR="00D33150" w:rsidRPr="0049657C" w:rsidRDefault="00D33150" w:rsidP="003221B6">
      <w:pPr>
        <w:pStyle w:val="3"/>
        <w:jc w:val="center"/>
        <w:rPr>
          <w:rFonts w:ascii="Times New Roman" w:eastAsia="Calibri" w:hAnsi="Times New Roman" w:cs="Times New Roman"/>
          <w:b/>
          <w:i/>
          <w:color w:val="auto"/>
        </w:rPr>
      </w:pPr>
      <w:bookmarkStart w:id="27" w:name="_Toc510776675"/>
      <w:r w:rsidRPr="00C11834">
        <w:rPr>
          <w:rFonts w:ascii="Times New Roman" w:eastAsia="Calibri" w:hAnsi="Times New Roman" w:cs="Times New Roman"/>
          <w:b/>
          <w:i/>
          <w:color w:val="auto"/>
        </w:rPr>
        <w:t>Управление регуляторным (комплаенс) риском</w:t>
      </w:r>
      <w:bookmarkEnd w:id="27"/>
    </w:p>
    <w:p w14:paraId="36B32C3C" w14:textId="5BF63E58" w:rsidR="00D33150" w:rsidRDefault="00653954" w:rsidP="00653954">
      <w:pPr>
        <w:spacing w:before="120"/>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D33150" w:rsidRPr="00B13264">
        <w:rPr>
          <w:rFonts w:ascii="Times New Roman" w:hAnsi="Times New Roman"/>
          <w:color w:val="000000"/>
          <w:sz w:val="24"/>
          <w:szCs w:val="24"/>
        </w:rPr>
        <w:t>Регуляторный (комплаенс) риск – это риск убытков, возникающих в результате несоблюдения законодательства Российской Федерации, внутренних документов организации, а также в результате применения санкций и (или) иных мер воздействи</w:t>
      </w:r>
      <w:r w:rsidR="00D33150">
        <w:rPr>
          <w:rFonts w:ascii="Times New Roman" w:hAnsi="Times New Roman"/>
          <w:color w:val="000000"/>
          <w:sz w:val="24"/>
          <w:szCs w:val="24"/>
        </w:rPr>
        <w:t>я со стороны надзорных органов.</w:t>
      </w:r>
    </w:p>
    <w:p w14:paraId="3692EF7E" w14:textId="77777777" w:rsidR="00653954" w:rsidRDefault="00653954" w:rsidP="00653954">
      <w:pPr>
        <w:spacing w:before="120"/>
        <w:contextualSpacing/>
        <w:jc w:val="both"/>
        <w:rPr>
          <w:rFonts w:ascii="Times New Roman" w:hAnsi="Times New Roman"/>
          <w:color w:val="000000"/>
          <w:sz w:val="24"/>
          <w:szCs w:val="24"/>
        </w:rPr>
      </w:pPr>
    </w:p>
    <w:p w14:paraId="12B4C1E2" w14:textId="54CFD6EE" w:rsidR="00D33150" w:rsidRDefault="00653954" w:rsidP="00653954">
      <w:pPr>
        <w:spacing w:before="120"/>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D33150" w:rsidRPr="00B13264">
        <w:rPr>
          <w:rFonts w:ascii="Times New Roman" w:hAnsi="Times New Roman"/>
          <w:color w:val="000000"/>
          <w:sz w:val="24"/>
          <w:szCs w:val="24"/>
        </w:rPr>
        <w:t>Специфика проявления регуляторного риска применительно к деятельности НКЦ в качестве клиринговой организации, центрального контрагента и оператора товарных поставок заключается в возможности возникновения расходов (убытков) НКЦ в результате несоблюдения требований Федерального закона от 07.02.2011 № 7-ФЗ «О клиринге, клиринговой деятельности и центральном контрагенте», нормативных актов Банка России, Устава и внутренних документов НКЦ, связанных с перечисленным</w:t>
      </w:r>
      <w:r w:rsidR="00D33150">
        <w:rPr>
          <w:rFonts w:ascii="Times New Roman" w:hAnsi="Times New Roman"/>
          <w:color w:val="000000"/>
          <w:sz w:val="24"/>
          <w:szCs w:val="24"/>
        </w:rPr>
        <w:t>и выше видами его деятельности.</w:t>
      </w:r>
    </w:p>
    <w:p w14:paraId="21267309" w14:textId="77777777" w:rsidR="00653954" w:rsidRDefault="00653954" w:rsidP="00653954">
      <w:pPr>
        <w:autoSpaceDE w:val="0"/>
        <w:autoSpaceDN w:val="0"/>
        <w:spacing w:before="120"/>
        <w:contextualSpacing/>
        <w:jc w:val="both"/>
        <w:rPr>
          <w:rFonts w:ascii="Times New Roman" w:hAnsi="Times New Roman"/>
          <w:color w:val="000000"/>
          <w:sz w:val="24"/>
          <w:szCs w:val="24"/>
        </w:rPr>
      </w:pPr>
    </w:p>
    <w:p w14:paraId="3B7EA48A" w14:textId="465AB62F" w:rsidR="00D33150" w:rsidRPr="00B13264" w:rsidRDefault="00653954" w:rsidP="00653954">
      <w:pPr>
        <w:autoSpaceDE w:val="0"/>
        <w:autoSpaceDN w:val="0"/>
        <w:spacing w:before="120"/>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D33150" w:rsidRPr="00B13264">
        <w:rPr>
          <w:rFonts w:ascii="Times New Roman" w:hAnsi="Times New Roman"/>
          <w:color w:val="000000"/>
          <w:sz w:val="24"/>
          <w:szCs w:val="24"/>
        </w:rPr>
        <w:t>Управление регуляторным риском осуществляется Службой внутреннего контроля, в перечень задач которой входит осуществление следующих действий:</w:t>
      </w:r>
    </w:p>
    <w:p w14:paraId="047B06C5" w14:textId="77777777" w:rsidR="00D33150" w:rsidRPr="002F7C4C" w:rsidRDefault="00D33150" w:rsidP="00D33150">
      <w:pPr>
        <w:pStyle w:val="a9"/>
        <w:numPr>
          <w:ilvl w:val="0"/>
          <w:numId w:val="12"/>
        </w:numPr>
        <w:autoSpaceDE w:val="0"/>
        <w:autoSpaceDN w:val="0"/>
        <w:spacing w:after="0" w:line="240" w:lineRule="auto"/>
        <w:jc w:val="both"/>
        <w:rPr>
          <w:rFonts w:ascii="Times New Roman" w:hAnsi="Times New Roman"/>
          <w:color w:val="000000"/>
          <w:sz w:val="24"/>
          <w:szCs w:val="24"/>
        </w:rPr>
      </w:pPr>
      <w:r w:rsidRPr="002F7C4C">
        <w:rPr>
          <w:rFonts w:ascii="Times New Roman" w:hAnsi="Times New Roman"/>
          <w:color w:val="000000"/>
          <w:sz w:val="24"/>
          <w:szCs w:val="24"/>
        </w:rPr>
        <w:t>минимизация возникновения регуляторного риска (</w:t>
      </w:r>
      <w:r w:rsidRPr="002F7C4C">
        <w:rPr>
          <w:rFonts w:ascii="Times New Roman" w:hAnsi="Times New Roman"/>
          <w:sz w:val="24"/>
          <w:szCs w:val="24"/>
        </w:rPr>
        <w:t>сбор информации, анализ информации на предмет их связи с регуляторным риском, предварительная обработка информации, взаимодействие со структурными подразделениями в целях получения разъяснений, дополнительной информации, фиксация событий)</w:t>
      </w:r>
      <w:r w:rsidRPr="002F7C4C">
        <w:rPr>
          <w:rFonts w:ascii="Times New Roman" w:hAnsi="Times New Roman"/>
          <w:color w:val="000000"/>
          <w:sz w:val="24"/>
          <w:szCs w:val="24"/>
        </w:rPr>
        <w:t>;</w:t>
      </w:r>
    </w:p>
    <w:p w14:paraId="7EBF75B9" w14:textId="77777777" w:rsidR="00D33150" w:rsidRPr="002F7C4C" w:rsidRDefault="00D33150" w:rsidP="00D33150">
      <w:pPr>
        <w:pStyle w:val="a9"/>
        <w:numPr>
          <w:ilvl w:val="0"/>
          <w:numId w:val="12"/>
        </w:numPr>
        <w:autoSpaceDE w:val="0"/>
        <w:autoSpaceDN w:val="0"/>
        <w:spacing w:after="0" w:line="240" w:lineRule="auto"/>
        <w:jc w:val="both"/>
        <w:rPr>
          <w:rFonts w:ascii="Times New Roman" w:hAnsi="Times New Roman"/>
          <w:color w:val="000000"/>
          <w:sz w:val="24"/>
          <w:szCs w:val="24"/>
        </w:rPr>
      </w:pPr>
      <w:r w:rsidRPr="002F7C4C">
        <w:rPr>
          <w:rFonts w:ascii="Times New Roman" w:hAnsi="Times New Roman"/>
          <w:sz w:val="24"/>
          <w:szCs w:val="24"/>
        </w:rPr>
        <w:t>контроль за соблюдением НКЦ законодательства о клиринге и клиринговой деятельности, о противодействии неправомерному использованию инсайдерской информации и манипулированию рынком</w:t>
      </w:r>
      <w:r w:rsidRPr="002F7C4C">
        <w:rPr>
          <w:rFonts w:ascii="Times New Roman" w:hAnsi="Times New Roman"/>
          <w:color w:val="000000"/>
          <w:sz w:val="24"/>
          <w:szCs w:val="24"/>
        </w:rPr>
        <w:t>;</w:t>
      </w:r>
    </w:p>
    <w:p w14:paraId="12144953" w14:textId="77777777" w:rsidR="00D33150" w:rsidRPr="002F7C4C" w:rsidRDefault="00D33150" w:rsidP="00D33150">
      <w:pPr>
        <w:pStyle w:val="a9"/>
        <w:numPr>
          <w:ilvl w:val="0"/>
          <w:numId w:val="12"/>
        </w:numPr>
        <w:autoSpaceDE w:val="0"/>
        <w:autoSpaceDN w:val="0"/>
        <w:spacing w:after="0" w:line="240" w:lineRule="auto"/>
        <w:jc w:val="both"/>
        <w:rPr>
          <w:rFonts w:ascii="Times New Roman" w:hAnsi="Times New Roman"/>
          <w:color w:val="000000"/>
          <w:sz w:val="24"/>
          <w:szCs w:val="24"/>
        </w:rPr>
      </w:pPr>
      <w:r w:rsidRPr="002F7C4C">
        <w:rPr>
          <w:rFonts w:ascii="Times New Roman" w:hAnsi="Times New Roman"/>
          <w:sz w:val="24"/>
          <w:szCs w:val="24"/>
        </w:rPr>
        <w:t>принятие своевременных и эффективных решений, направленных на устранение выявленных недостатков и нарушений в деятельности НКЦ</w:t>
      </w:r>
      <w:r w:rsidRPr="002F7C4C">
        <w:rPr>
          <w:rFonts w:ascii="Times New Roman" w:hAnsi="Times New Roman"/>
          <w:color w:val="000000"/>
          <w:sz w:val="24"/>
          <w:szCs w:val="24"/>
        </w:rPr>
        <w:t>;</w:t>
      </w:r>
    </w:p>
    <w:p w14:paraId="2F4DA63B" w14:textId="77777777" w:rsidR="00D33150" w:rsidRPr="002F7C4C" w:rsidRDefault="00D33150" w:rsidP="00D33150">
      <w:pPr>
        <w:pStyle w:val="a9"/>
        <w:numPr>
          <w:ilvl w:val="0"/>
          <w:numId w:val="12"/>
        </w:numPr>
        <w:autoSpaceDE w:val="0"/>
        <w:autoSpaceDN w:val="0"/>
        <w:spacing w:after="0" w:line="240" w:lineRule="auto"/>
        <w:jc w:val="both"/>
        <w:rPr>
          <w:rFonts w:ascii="Times New Roman" w:hAnsi="Times New Roman"/>
          <w:color w:val="000000"/>
          <w:sz w:val="24"/>
          <w:szCs w:val="24"/>
        </w:rPr>
      </w:pPr>
      <w:r w:rsidRPr="002F7C4C">
        <w:rPr>
          <w:rFonts w:ascii="Times New Roman" w:hAnsi="Times New Roman"/>
          <w:color w:val="000000"/>
          <w:sz w:val="24"/>
          <w:szCs w:val="24"/>
        </w:rPr>
        <w:t>предотвращение и управление конфликтом интересов, с учетом специфики деятельности НКЦ;</w:t>
      </w:r>
    </w:p>
    <w:p w14:paraId="50EEFE4C" w14:textId="77777777" w:rsidR="00D33150" w:rsidRPr="002F7C4C" w:rsidRDefault="00D33150" w:rsidP="00D33150">
      <w:pPr>
        <w:pStyle w:val="a9"/>
        <w:numPr>
          <w:ilvl w:val="0"/>
          <w:numId w:val="12"/>
        </w:numPr>
        <w:autoSpaceDE w:val="0"/>
        <w:autoSpaceDN w:val="0"/>
        <w:spacing w:after="0" w:line="240" w:lineRule="auto"/>
        <w:jc w:val="both"/>
        <w:rPr>
          <w:rFonts w:ascii="Times New Roman" w:hAnsi="Times New Roman"/>
          <w:color w:val="000000"/>
          <w:sz w:val="24"/>
          <w:szCs w:val="24"/>
        </w:rPr>
      </w:pPr>
      <w:r w:rsidRPr="002F7C4C">
        <w:rPr>
          <w:rFonts w:ascii="Times New Roman" w:hAnsi="Times New Roman"/>
          <w:color w:val="000000"/>
          <w:sz w:val="24"/>
          <w:szCs w:val="24"/>
        </w:rPr>
        <w:t>использование лучших комплаенс-практик, стандартов и норм профессиональной этики;</w:t>
      </w:r>
    </w:p>
    <w:p w14:paraId="7B9E93C8" w14:textId="77777777" w:rsidR="00D33150" w:rsidRPr="0049657C" w:rsidRDefault="00D33150" w:rsidP="00D33150">
      <w:pPr>
        <w:pStyle w:val="a9"/>
        <w:numPr>
          <w:ilvl w:val="0"/>
          <w:numId w:val="12"/>
        </w:numPr>
        <w:autoSpaceDE w:val="0"/>
        <w:autoSpaceDN w:val="0"/>
        <w:spacing w:after="0" w:line="240" w:lineRule="auto"/>
        <w:jc w:val="both"/>
        <w:rPr>
          <w:rFonts w:ascii="Times New Roman" w:hAnsi="Times New Roman"/>
          <w:color w:val="000000"/>
          <w:sz w:val="24"/>
          <w:szCs w:val="24"/>
        </w:rPr>
      </w:pPr>
      <w:r w:rsidRPr="002F7C4C">
        <w:rPr>
          <w:rFonts w:ascii="Times New Roman" w:hAnsi="Times New Roman"/>
          <w:sz w:val="24"/>
          <w:szCs w:val="24"/>
        </w:rPr>
        <w:t xml:space="preserve">методическая поддержка работников </w:t>
      </w:r>
      <w:r>
        <w:rPr>
          <w:rFonts w:ascii="Times New Roman" w:hAnsi="Times New Roman"/>
          <w:sz w:val="24"/>
          <w:szCs w:val="24"/>
        </w:rPr>
        <w:t>НКЦ</w:t>
      </w:r>
      <w:r w:rsidRPr="002F7C4C">
        <w:rPr>
          <w:rFonts w:ascii="Times New Roman" w:hAnsi="Times New Roman"/>
          <w:sz w:val="24"/>
          <w:szCs w:val="24"/>
        </w:rPr>
        <w:t xml:space="preserve"> по определению зон возможного возникновения регуляторного риска, исходя из задач и функций, возложенных на структурное подразделение, в рамках своей компетенции</w:t>
      </w:r>
      <w:r w:rsidRPr="002F7C4C">
        <w:rPr>
          <w:rFonts w:ascii="Times New Roman" w:hAnsi="Times New Roman"/>
          <w:color w:val="000000"/>
          <w:sz w:val="24"/>
          <w:szCs w:val="24"/>
        </w:rPr>
        <w:t>.</w:t>
      </w:r>
    </w:p>
    <w:p w14:paraId="0D984842" w14:textId="4752F2A6" w:rsidR="00D33150" w:rsidRDefault="00653954" w:rsidP="00653954">
      <w:pPr>
        <w:spacing w:before="120"/>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D33150" w:rsidRPr="00D7519F">
        <w:rPr>
          <w:rFonts w:ascii="Times New Roman" w:hAnsi="Times New Roman"/>
          <w:color w:val="000000"/>
          <w:sz w:val="24"/>
          <w:szCs w:val="24"/>
        </w:rPr>
        <w:t>Отчетность о событиях регуляторного риска предоставляется органам управления НКЦ в соответствии с Положением об организации управления регуляторным риском (комплаенс-риск</w:t>
      </w:r>
      <w:r w:rsidR="00D33150">
        <w:rPr>
          <w:rFonts w:ascii="Times New Roman" w:hAnsi="Times New Roman"/>
          <w:color w:val="000000"/>
          <w:sz w:val="24"/>
          <w:szCs w:val="24"/>
        </w:rPr>
        <w:t>ом).</w:t>
      </w:r>
    </w:p>
    <w:p w14:paraId="2618D555" w14:textId="77777777" w:rsidR="00D33150" w:rsidRPr="00D7519F" w:rsidRDefault="00D33150" w:rsidP="00D33150">
      <w:pPr>
        <w:ind w:firstLine="709"/>
        <w:contextualSpacing/>
        <w:jc w:val="both"/>
        <w:rPr>
          <w:rFonts w:ascii="Times New Roman" w:hAnsi="Times New Roman"/>
          <w:color w:val="000000"/>
          <w:sz w:val="24"/>
          <w:szCs w:val="24"/>
        </w:rPr>
      </w:pPr>
    </w:p>
    <w:p w14:paraId="21BCF10D" w14:textId="77777777" w:rsidR="00D33150" w:rsidRPr="00C11834" w:rsidRDefault="00D33150" w:rsidP="003221B6">
      <w:pPr>
        <w:pStyle w:val="3"/>
        <w:jc w:val="center"/>
        <w:rPr>
          <w:rFonts w:ascii="Times New Roman" w:eastAsia="Calibri" w:hAnsi="Times New Roman" w:cs="Times New Roman"/>
          <w:b/>
          <w:i/>
          <w:color w:val="auto"/>
        </w:rPr>
      </w:pPr>
      <w:bookmarkStart w:id="28" w:name="_Toc510776676"/>
      <w:r w:rsidRPr="00C11834">
        <w:rPr>
          <w:rFonts w:ascii="Times New Roman" w:eastAsia="Calibri" w:hAnsi="Times New Roman" w:cs="Times New Roman"/>
          <w:b/>
          <w:i/>
          <w:color w:val="auto"/>
        </w:rPr>
        <w:t>Управление риском потери деловой репутации</w:t>
      </w:r>
      <w:bookmarkEnd w:id="28"/>
    </w:p>
    <w:p w14:paraId="6C2222CB" w14:textId="77777777" w:rsidR="001860BA" w:rsidRDefault="00653954" w:rsidP="00653954">
      <w:pPr>
        <w:contextualSpacing/>
        <w:jc w:val="both"/>
        <w:rPr>
          <w:rFonts w:ascii="Times New Roman" w:hAnsi="Times New Roman"/>
          <w:color w:val="000000"/>
          <w:sz w:val="24"/>
          <w:szCs w:val="24"/>
        </w:rPr>
      </w:pPr>
      <w:r>
        <w:rPr>
          <w:rFonts w:ascii="Times New Roman" w:hAnsi="Times New Roman"/>
          <w:color w:val="000000"/>
          <w:sz w:val="24"/>
          <w:szCs w:val="24"/>
        </w:rPr>
        <w:t xml:space="preserve">     </w:t>
      </w:r>
    </w:p>
    <w:p w14:paraId="68784B06" w14:textId="6235FED1" w:rsidR="00D33150" w:rsidRPr="00D7519F" w:rsidRDefault="001860BA" w:rsidP="00653954">
      <w:pPr>
        <w:contextualSpacing/>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00D33150">
        <w:rPr>
          <w:rFonts w:ascii="Times New Roman" w:hAnsi="Times New Roman"/>
          <w:color w:val="000000"/>
          <w:sz w:val="24"/>
          <w:szCs w:val="24"/>
        </w:rPr>
        <w:t>В 2017</w:t>
      </w:r>
      <w:r w:rsidR="00D33150" w:rsidRPr="00D7519F">
        <w:rPr>
          <w:rFonts w:ascii="Times New Roman" w:hAnsi="Times New Roman"/>
          <w:color w:val="000000"/>
          <w:sz w:val="24"/>
          <w:szCs w:val="24"/>
        </w:rPr>
        <w:t xml:space="preserve"> году Банк в работе по управлению риском потери деловой репутации (далее - РПДР) решал следующие основные задачи: </w:t>
      </w:r>
    </w:p>
    <w:p w14:paraId="69E31412" w14:textId="77777777" w:rsidR="00D33150" w:rsidRPr="005938DE" w:rsidRDefault="00D33150" w:rsidP="00D33150">
      <w:pPr>
        <w:pStyle w:val="a9"/>
        <w:numPr>
          <w:ilvl w:val="0"/>
          <w:numId w:val="15"/>
        </w:numPr>
        <w:shd w:val="clear" w:color="auto" w:fill="FFFFFF"/>
        <w:spacing w:before="100" w:beforeAutospacing="1" w:after="202" w:line="240" w:lineRule="auto"/>
        <w:jc w:val="both"/>
        <w:rPr>
          <w:rFonts w:ascii="Times New Roman" w:eastAsia="Times New Roman" w:hAnsi="Times New Roman"/>
          <w:color w:val="000000"/>
          <w:sz w:val="24"/>
          <w:szCs w:val="24"/>
          <w:lang w:eastAsia="ru-RU"/>
        </w:rPr>
      </w:pPr>
      <w:r w:rsidRPr="005938DE">
        <w:rPr>
          <w:rFonts w:ascii="Times New Roman" w:eastAsia="Times New Roman" w:hAnsi="Times New Roman"/>
          <w:color w:val="000000"/>
          <w:sz w:val="24"/>
          <w:szCs w:val="24"/>
          <w:lang w:eastAsia="ru-RU"/>
        </w:rPr>
        <w:t>Осуществление мониторинга регистрируемых событий/инцидентов на всех направлениях деятельности Банка с целью определения их связи с событиями РПДР, анализа и оценки выявленных событий данного вида риска, отслеживания их влияния на уровень РПДР по специально созданной шкале для принятия, в случае необходимости, мер по предотвращению/снижению возможного ущерба для Банка.</w:t>
      </w:r>
    </w:p>
    <w:p w14:paraId="4785F026" w14:textId="77777777" w:rsidR="00D33150" w:rsidRPr="00A13124" w:rsidRDefault="00D33150" w:rsidP="00D33150">
      <w:pPr>
        <w:pStyle w:val="a9"/>
        <w:numPr>
          <w:ilvl w:val="0"/>
          <w:numId w:val="15"/>
        </w:numPr>
        <w:jc w:val="both"/>
        <w:rPr>
          <w:rFonts w:ascii="Times New Roman" w:eastAsia="Times New Roman" w:hAnsi="Times New Roman"/>
          <w:sz w:val="24"/>
          <w:szCs w:val="24"/>
          <w:lang w:eastAsia="ru-RU"/>
        </w:rPr>
      </w:pPr>
      <w:r w:rsidRPr="00A13124">
        <w:rPr>
          <w:rFonts w:ascii="Times New Roman" w:eastAsia="Times New Roman" w:hAnsi="Times New Roman"/>
          <w:sz w:val="24"/>
          <w:szCs w:val="24"/>
          <w:lang w:eastAsia="ru-RU"/>
        </w:rPr>
        <w:t>Введен</w:t>
      </w:r>
      <w:r>
        <w:rPr>
          <w:rFonts w:ascii="Times New Roman" w:eastAsia="Times New Roman" w:hAnsi="Times New Roman"/>
          <w:sz w:val="24"/>
          <w:szCs w:val="24"/>
          <w:lang w:eastAsia="ru-RU"/>
        </w:rPr>
        <w:t>ие</w:t>
      </w:r>
      <w:r w:rsidRPr="00A13124">
        <w:rPr>
          <w:rFonts w:ascii="Times New Roman" w:eastAsia="Times New Roman" w:hAnsi="Times New Roman"/>
          <w:sz w:val="24"/>
          <w:szCs w:val="24"/>
          <w:lang w:eastAsia="ru-RU"/>
        </w:rPr>
        <w:t xml:space="preserve"> в эксплуатацию автоматизированн</w:t>
      </w:r>
      <w:r>
        <w:rPr>
          <w:rFonts w:ascii="Times New Roman" w:eastAsia="Times New Roman" w:hAnsi="Times New Roman"/>
          <w:sz w:val="24"/>
          <w:szCs w:val="24"/>
          <w:lang w:eastAsia="ru-RU"/>
        </w:rPr>
        <w:t>ой</w:t>
      </w:r>
      <w:r w:rsidRPr="00A13124">
        <w:rPr>
          <w:rFonts w:ascii="Times New Roman" w:eastAsia="Times New Roman" w:hAnsi="Times New Roman"/>
          <w:sz w:val="24"/>
          <w:szCs w:val="24"/>
          <w:lang w:eastAsia="ru-RU"/>
        </w:rPr>
        <w:t xml:space="preserve"> систем</w:t>
      </w:r>
      <w:r>
        <w:rPr>
          <w:rFonts w:ascii="Times New Roman" w:eastAsia="Times New Roman" w:hAnsi="Times New Roman"/>
          <w:sz w:val="24"/>
          <w:szCs w:val="24"/>
          <w:lang w:eastAsia="ru-RU"/>
        </w:rPr>
        <w:t>ы</w:t>
      </w:r>
      <w:r w:rsidRPr="00A13124">
        <w:rPr>
          <w:rFonts w:ascii="Times New Roman" w:eastAsia="Times New Roman" w:hAnsi="Times New Roman"/>
          <w:sz w:val="24"/>
          <w:szCs w:val="24"/>
          <w:lang w:eastAsia="ru-RU"/>
        </w:rPr>
        <w:t xml:space="preserve"> управления риском потери деловой репутации (АСУ РПДР), которая позволяет в режиме реального времени осуществлять мониторинг, оценку и анализ событий, происходящих на различных направлениях деятельности организации и их связи с событиями РПДР с цель</w:t>
      </w:r>
      <w:r>
        <w:rPr>
          <w:rFonts w:ascii="Times New Roman" w:eastAsia="Times New Roman" w:hAnsi="Times New Roman"/>
          <w:sz w:val="24"/>
          <w:szCs w:val="24"/>
          <w:lang w:eastAsia="ru-RU"/>
        </w:rPr>
        <w:t>ю</w:t>
      </w:r>
      <w:r w:rsidRPr="00A13124">
        <w:rPr>
          <w:rFonts w:ascii="Times New Roman" w:eastAsia="Times New Roman" w:hAnsi="Times New Roman"/>
          <w:sz w:val="24"/>
          <w:szCs w:val="24"/>
          <w:lang w:eastAsia="ru-RU"/>
        </w:rPr>
        <w:t xml:space="preserve"> контроля динамики изменения уровня данного вида рисков.</w:t>
      </w:r>
    </w:p>
    <w:p w14:paraId="785AB413" w14:textId="7737073B" w:rsidR="00D33150" w:rsidRDefault="00653954" w:rsidP="00653954">
      <w:pPr>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D33150" w:rsidRPr="00D7519F">
        <w:rPr>
          <w:rFonts w:ascii="Times New Roman" w:hAnsi="Times New Roman"/>
          <w:color w:val="000000"/>
          <w:sz w:val="24"/>
          <w:szCs w:val="24"/>
        </w:rPr>
        <w:t>Как показывает анализ данных, характеризующих результаты управление РПДР</w:t>
      </w:r>
      <w:r w:rsidR="00D33150">
        <w:rPr>
          <w:rFonts w:ascii="Times New Roman" w:hAnsi="Times New Roman"/>
          <w:color w:val="000000"/>
          <w:sz w:val="24"/>
          <w:szCs w:val="24"/>
        </w:rPr>
        <w:t>,</w:t>
      </w:r>
      <w:r w:rsidR="00D33150" w:rsidRPr="00D7519F">
        <w:rPr>
          <w:rFonts w:ascii="Times New Roman" w:hAnsi="Times New Roman"/>
          <w:color w:val="000000"/>
          <w:sz w:val="24"/>
          <w:szCs w:val="24"/>
        </w:rPr>
        <w:t xml:space="preserve"> в отчетный период уровень данного вида риска </w:t>
      </w:r>
      <w:r w:rsidR="00D33150">
        <w:rPr>
          <w:rFonts w:ascii="Times New Roman" w:hAnsi="Times New Roman"/>
          <w:color w:val="000000"/>
          <w:sz w:val="24"/>
          <w:szCs w:val="24"/>
        </w:rPr>
        <w:t>не превышал</w:t>
      </w:r>
      <w:r w:rsidR="00D33150" w:rsidRPr="00D7519F">
        <w:rPr>
          <w:rFonts w:ascii="Times New Roman" w:hAnsi="Times New Roman"/>
          <w:color w:val="000000"/>
          <w:sz w:val="24"/>
          <w:szCs w:val="24"/>
        </w:rPr>
        <w:t xml:space="preserve"> 3</w:t>
      </w:r>
      <w:r w:rsidR="00D33150">
        <w:rPr>
          <w:rFonts w:ascii="Times New Roman" w:hAnsi="Times New Roman"/>
          <w:color w:val="000000"/>
          <w:sz w:val="24"/>
          <w:szCs w:val="24"/>
        </w:rPr>
        <w:t>35 баллов по шкале измерения, при установленном уровне риск-аппетита до 500 баллов. Ежеквартальная динамика пиковых значений уровня РПДР представлена ниже:</w:t>
      </w:r>
    </w:p>
    <w:p w14:paraId="4ABB27AD" w14:textId="77777777" w:rsidR="00D33150" w:rsidRDefault="00D33150" w:rsidP="00D33150">
      <w:pPr>
        <w:ind w:firstLine="709"/>
        <w:contextualSpacing/>
        <w:jc w:val="both"/>
        <w:rPr>
          <w:rFonts w:ascii="Times New Roman" w:hAnsi="Times New Roman"/>
          <w:color w:val="000000"/>
          <w:sz w:val="24"/>
          <w:szCs w:val="24"/>
        </w:rPr>
      </w:pPr>
      <w:r w:rsidRPr="00D7519F">
        <w:rPr>
          <w:rFonts w:ascii="Times New Roman" w:hAnsi="Times New Roman"/>
          <w:color w:val="000000"/>
          <w:sz w:val="24"/>
          <w:szCs w:val="24"/>
        </w:rPr>
        <w:t>I</w:t>
      </w:r>
      <w:r>
        <w:rPr>
          <w:rFonts w:ascii="Times New Roman" w:hAnsi="Times New Roman"/>
          <w:color w:val="000000"/>
          <w:sz w:val="24"/>
          <w:szCs w:val="24"/>
        </w:rPr>
        <w:t xml:space="preserve"> квартал – 120 баллов,</w:t>
      </w:r>
    </w:p>
    <w:p w14:paraId="08EDEB8C" w14:textId="77777777" w:rsidR="00D33150" w:rsidRDefault="00D33150" w:rsidP="00D33150">
      <w:pPr>
        <w:ind w:firstLine="709"/>
        <w:contextualSpacing/>
        <w:jc w:val="both"/>
        <w:rPr>
          <w:rFonts w:ascii="Times New Roman" w:hAnsi="Times New Roman"/>
          <w:color w:val="000000"/>
          <w:sz w:val="24"/>
          <w:szCs w:val="24"/>
        </w:rPr>
      </w:pPr>
      <w:r w:rsidRPr="00D7519F">
        <w:rPr>
          <w:rFonts w:ascii="Times New Roman" w:hAnsi="Times New Roman"/>
          <w:color w:val="000000"/>
          <w:sz w:val="24"/>
          <w:szCs w:val="24"/>
        </w:rPr>
        <w:t>II квартал</w:t>
      </w:r>
      <w:r>
        <w:rPr>
          <w:rFonts w:ascii="Times New Roman" w:hAnsi="Times New Roman"/>
          <w:color w:val="000000"/>
          <w:sz w:val="24"/>
          <w:szCs w:val="24"/>
        </w:rPr>
        <w:t xml:space="preserve"> – 165 баллов,</w:t>
      </w:r>
    </w:p>
    <w:p w14:paraId="2A720937" w14:textId="77777777" w:rsidR="00D33150" w:rsidRDefault="00D33150" w:rsidP="00D33150">
      <w:pPr>
        <w:ind w:firstLine="709"/>
        <w:contextualSpacing/>
        <w:jc w:val="both"/>
        <w:rPr>
          <w:rFonts w:ascii="Times New Roman" w:hAnsi="Times New Roman"/>
          <w:color w:val="000000"/>
          <w:sz w:val="24"/>
          <w:szCs w:val="24"/>
        </w:rPr>
      </w:pPr>
      <w:r w:rsidRPr="00D7519F">
        <w:rPr>
          <w:rFonts w:ascii="Times New Roman" w:hAnsi="Times New Roman"/>
          <w:color w:val="000000"/>
          <w:sz w:val="24"/>
          <w:szCs w:val="24"/>
        </w:rPr>
        <w:t>III</w:t>
      </w:r>
      <w:r>
        <w:rPr>
          <w:rFonts w:ascii="Times New Roman" w:hAnsi="Times New Roman"/>
          <w:color w:val="000000"/>
          <w:sz w:val="24"/>
          <w:szCs w:val="24"/>
        </w:rPr>
        <w:t xml:space="preserve"> квартал – 100 баллов,</w:t>
      </w:r>
    </w:p>
    <w:p w14:paraId="73D85506" w14:textId="77777777" w:rsidR="00D33150" w:rsidRPr="00D7519F" w:rsidRDefault="00D33150" w:rsidP="00D33150">
      <w:pPr>
        <w:ind w:firstLine="709"/>
        <w:contextualSpacing/>
        <w:jc w:val="both"/>
        <w:rPr>
          <w:rFonts w:ascii="Times New Roman" w:hAnsi="Times New Roman"/>
          <w:color w:val="000000"/>
          <w:sz w:val="24"/>
          <w:szCs w:val="24"/>
        </w:rPr>
      </w:pPr>
      <w:r w:rsidRPr="00D7519F">
        <w:rPr>
          <w:rFonts w:ascii="Times New Roman" w:hAnsi="Times New Roman"/>
          <w:color w:val="000000"/>
          <w:sz w:val="24"/>
          <w:szCs w:val="24"/>
        </w:rPr>
        <w:t>IV</w:t>
      </w:r>
      <w:r>
        <w:rPr>
          <w:rFonts w:ascii="Times New Roman" w:hAnsi="Times New Roman"/>
          <w:color w:val="000000"/>
          <w:sz w:val="24"/>
          <w:szCs w:val="24"/>
        </w:rPr>
        <w:t xml:space="preserve"> квартал – 335 баллов.</w:t>
      </w:r>
    </w:p>
    <w:p w14:paraId="4D42C369" w14:textId="137B40D7" w:rsidR="00D33150" w:rsidRPr="00D7519F" w:rsidRDefault="00653954" w:rsidP="00653954">
      <w:pPr>
        <w:spacing w:before="120"/>
        <w:jc w:val="both"/>
        <w:rPr>
          <w:rFonts w:ascii="Times New Roman" w:hAnsi="Times New Roman"/>
          <w:color w:val="000000"/>
          <w:sz w:val="24"/>
          <w:szCs w:val="24"/>
        </w:rPr>
      </w:pPr>
      <w:r>
        <w:rPr>
          <w:rFonts w:ascii="Times New Roman" w:hAnsi="Times New Roman"/>
          <w:color w:val="000000"/>
          <w:sz w:val="24"/>
          <w:szCs w:val="24"/>
        </w:rPr>
        <w:t xml:space="preserve">     </w:t>
      </w:r>
      <w:r w:rsidR="00D33150" w:rsidRPr="00D7519F">
        <w:rPr>
          <w:rFonts w:ascii="Times New Roman" w:hAnsi="Times New Roman"/>
          <w:color w:val="000000"/>
          <w:sz w:val="24"/>
          <w:szCs w:val="24"/>
        </w:rPr>
        <w:t>Зафиксированные события РПДР по своей категоризации (согласно Рубрикатору) относились к группам внутренних и внешних факторов. События из группы внутренних факторов в основном являлись следствием ошибочных действий или несвоевременности при перечислении денежных средств НКЦ, рассылки некорректных отчетов участникам клиринга по итогам клиринга, некорректного определение требований и обязательств в любом из активов, приостановки сервиса вывода/зачисления средств. Они не оказывали в отчетный период влияния на кривую графика, определявшую уровень РПДР, так как не достигли масштаба и порогов чувствительности, установленных Рубрикатором.</w:t>
      </w:r>
    </w:p>
    <w:p w14:paraId="7FAF1377" w14:textId="77777777" w:rsidR="00653954" w:rsidRDefault="00653954" w:rsidP="00653954">
      <w:pPr>
        <w:spacing w:before="120"/>
        <w:contextualSpacing/>
        <w:jc w:val="both"/>
        <w:rPr>
          <w:rFonts w:ascii="Times New Roman" w:hAnsi="Times New Roman"/>
          <w:color w:val="000000"/>
          <w:sz w:val="24"/>
          <w:szCs w:val="24"/>
        </w:rPr>
      </w:pPr>
    </w:p>
    <w:p w14:paraId="154F7348" w14:textId="7294573C" w:rsidR="00D33150" w:rsidRPr="00D7519F" w:rsidRDefault="00653954" w:rsidP="00653954">
      <w:pPr>
        <w:spacing w:before="120"/>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D33150" w:rsidRPr="001E6F67">
        <w:rPr>
          <w:rFonts w:ascii="Times New Roman" w:hAnsi="Times New Roman"/>
          <w:color w:val="000000"/>
          <w:sz w:val="24"/>
          <w:szCs w:val="24"/>
        </w:rPr>
        <w:t>В то же время события из группы внешних факторов достигали тех значений масштаба и порога чувствительности, которые, согласно Рубрикатору, оказывали влияние на уровень РПДР.  Эти события в подавляющем своем большинстве относились к фактору появления негативной информации во внешней среде – негативные публикации, гла</w:t>
      </w:r>
      <w:r w:rsidR="00D33150">
        <w:rPr>
          <w:rFonts w:ascii="Times New Roman" w:hAnsi="Times New Roman"/>
          <w:color w:val="000000"/>
          <w:sz w:val="24"/>
          <w:szCs w:val="24"/>
        </w:rPr>
        <w:t>вным образом, о ПАО Московская Б</w:t>
      </w:r>
      <w:r w:rsidR="00D33150" w:rsidRPr="001E6F67">
        <w:rPr>
          <w:rFonts w:ascii="Times New Roman" w:hAnsi="Times New Roman"/>
          <w:color w:val="000000"/>
          <w:sz w:val="24"/>
          <w:szCs w:val="24"/>
        </w:rPr>
        <w:t>иржа и в единичных случая</w:t>
      </w:r>
      <w:r w:rsidR="00D33150">
        <w:rPr>
          <w:rFonts w:ascii="Times New Roman" w:hAnsi="Times New Roman"/>
          <w:color w:val="000000"/>
          <w:sz w:val="24"/>
          <w:szCs w:val="24"/>
        </w:rPr>
        <w:t>х</w:t>
      </w:r>
      <w:r w:rsidR="00D33150" w:rsidRPr="001E6F67">
        <w:rPr>
          <w:rFonts w:ascii="Times New Roman" w:hAnsi="Times New Roman"/>
          <w:color w:val="000000"/>
          <w:sz w:val="24"/>
          <w:szCs w:val="24"/>
        </w:rPr>
        <w:t xml:space="preserve"> – о </w:t>
      </w:r>
      <w:r w:rsidR="00D33150">
        <w:rPr>
          <w:rFonts w:ascii="Times New Roman" w:hAnsi="Times New Roman"/>
          <w:color w:val="000000"/>
          <w:sz w:val="24"/>
          <w:szCs w:val="24"/>
        </w:rPr>
        <w:t>НКЦ</w:t>
      </w:r>
      <w:r w:rsidR="00D33150" w:rsidRPr="001E6F67">
        <w:rPr>
          <w:rFonts w:ascii="Times New Roman" w:hAnsi="Times New Roman"/>
          <w:color w:val="000000"/>
          <w:sz w:val="24"/>
          <w:szCs w:val="24"/>
        </w:rPr>
        <w:t xml:space="preserve">. Но и они, как отмечено выше, не были критичны с точки зрения поддержания уровня РПДР в установленных пределах </w:t>
      </w:r>
      <w:r w:rsidR="00D33150">
        <w:rPr>
          <w:rFonts w:ascii="Times New Roman" w:hAnsi="Times New Roman"/>
          <w:color w:val="000000"/>
          <w:sz w:val="24"/>
          <w:szCs w:val="24"/>
        </w:rPr>
        <w:t>установленного риск-аппетита</w:t>
      </w:r>
      <w:r w:rsidR="00D33150" w:rsidRPr="001E6F67">
        <w:rPr>
          <w:rFonts w:ascii="Times New Roman" w:hAnsi="Times New Roman"/>
          <w:color w:val="000000"/>
          <w:sz w:val="24"/>
          <w:szCs w:val="24"/>
        </w:rPr>
        <w:t xml:space="preserve"> и не </w:t>
      </w:r>
      <w:r w:rsidR="00D33150" w:rsidRPr="00D7519F">
        <w:rPr>
          <w:rFonts w:ascii="Times New Roman" w:hAnsi="Times New Roman"/>
          <w:color w:val="000000"/>
          <w:sz w:val="24"/>
          <w:szCs w:val="24"/>
        </w:rPr>
        <w:t>требовали оперативного реагирования для предотвращения возможного ущерба</w:t>
      </w:r>
      <w:r w:rsidR="00D33150" w:rsidRPr="001E6F67">
        <w:rPr>
          <w:rFonts w:ascii="Times New Roman" w:hAnsi="Times New Roman"/>
          <w:color w:val="000000"/>
          <w:sz w:val="24"/>
          <w:szCs w:val="24"/>
        </w:rPr>
        <w:t>.</w:t>
      </w:r>
    </w:p>
    <w:p w14:paraId="2406465B" w14:textId="66EF1ADC" w:rsidR="00D33150" w:rsidRPr="001E6F67" w:rsidRDefault="00653954" w:rsidP="00653954">
      <w:pPr>
        <w:spacing w:before="120"/>
        <w:jc w:val="both"/>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     </w:t>
      </w:r>
      <w:r w:rsidR="00D33150" w:rsidRPr="00D7519F">
        <w:rPr>
          <w:rFonts w:ascii="Times New Roman" w:hAnsi="Times New Roman"/>
          <w:color w:val="000000"/>
          <w:sz w:val="24"/>
          <w:szCs w:val="24"/>
        </w:rPr>
        <w:t xml:space="preserve">В отчетный период в целях своевременного реагирования на репутационные угрозы, возникающие под воздействием негативных проявлений во внешней среде, осуществлялся постоянный мониторинг информационного поля российских СМИ по объектам исследования с использованием информационно-аналитической системы «Медиалогия». Для определения общего состояния информационного пространства по объектам мониторинга использовался МедиаИндекс «Медиалогии» - </w:t>
      </w:r>
      <w:r w:rsidR="00D33150" w:rsidRPr="001E6F67">
        <w:rPr>
          <w:rFonts w:ascii="Times New Roman" w:hAnsi="Times New Roman"/>
          <w:color w:val="000000"/>
          <w:sz w:val="24"/>
          <w:szCs w:val="24"/>
        </w:rPr>
        <w:t>показатель оценки присутствия объектов в СМИ, учитывающий влиятельность источников, размер и место выхода сообщений/пуб</w:t>
      </w:r>
      <w:r w:rsidR="00D33150" w:rsidRPr="001E6F67">
        <w:rPr>
          <w:rFonts w:ascii="Times New Roman" w:hAnsi="Times New Roman"/>
          <w:color w:val="000000"/>
          <w:sz w:val="24"/>
          <w:szCs w:val="24"/>
        </w:rPr>
        <w:lastRenderedPageBreak/>
        <w:t>ликаций, а также позитивный, негативный или нейтральный хар</w:t>
      </w:r>
      <w:r w:rsidR="00D33150">
        <w:rPr>
          <w:rFonts w:ascii="Times New Roman" w:hAnsi="Times New Roman"/>
          <w:color w:val="000000"/>
          <w:sz w:val="24"/>
          <w:szCs w:val="24"/>
        </w:rPr>
        <w:t>актер упоминания в них объектов.</w:t>
      </w:r>
      <w:r w:rsidR="00D33150" w:rsidRPr="001E6F67">
        <w:rPr>
          <w:rFonts w:ascii="Times New Roman" w:hAnsi="Times New Roman"/>
          <w:color w:val="000000"/>
          <w:sz w:val="24"/>
          <w:szCs w:val="24"/>
        </w:rPr>
        <w:t xml:space="preserve"> Поквартальная динамика изменения этого индекса представлена на диаграмме.</w:t>
      </w:r>
    </w:p>
    <w:p w14:paraId="1FC5E98D" w14:textId="77777777" w:rsidR="00D33150" w:rsidRDefault="00D33150" w:rsidP="00D33150">
      <w:pPr>
        <w:rPr>
          <w:rFonts w:ascii="Times New Roman" w:hAnsi="Times New Roman"/>
          <w:b/>
          <w:bCs/>
          <w:color w:val="000000"/>
          <w:sz w:val="20"/>
          <w:szCs w:val="20"/>
        </w:rPr>
      </w:pPr>
    </w:p>
    <w:p w14:paraId="069D8D8F" w14:textId="77777777" w:rsidR="00D33150" w:rsidRPr="009E5B0D" w:rsidRDefault="00D33150" w:rsidP="00D33150">
      <w:pPr>
        <w:jc w:val="center"/>
      </w:pPr>
      <w:r w:rsidRPr="003E125F">
        <w:rPr>
          <w:rFonts w:ascii="Times New Roman" w:hAnsi="Times New Roman"/>
          <w:b/>
          <w:bCs/>
          <w:color w:val="000000"/>
          <w:sz w:val="20"/>
          <w:szCs w:val="20"/>
        </w:rPr>
        <w:t>ПОКВАРТАЛЬНАЯ ДИНАМИКА МЕДИАИНДЕКСА</w:t>
      </w:r>
      <w:r w:rsidRPr="001A20F6">
        <w:rPr>
          <w:noProof/>
          <w:lang w:eastAsia="ru-RU"/>
        </w:rPr>
        <w:drawing>
          <wp:inline distT="0" distB="0" distL="0" distR="0" wp14:anchorId="498D81C7" wp14:editId="54B89E8F">
            <wp:extent cx="5067300" cy="2809875"/>
            <wp:effectExtent l="0" t="0" r="0" b="0"/>
            <wp:docPr id="142" name="Диаграмма 1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54C576D" w14:textId="77777777" w:rsidR="00D33150" w:rsidRPr="00A468A8" w:rsidRDefault="00D33150" w:rsidP="00D33150">
      <w:pPr>
        <w:pStyle w:val="ab"/>
        <w:shd w:val="clear" w:color="auto" w:fill="FFFFFF"/>
        <w:spacing w:after="0" w:afterAutospacing="0"/>
        <w:ind w:right="142"/>
        <w:rPr>
          <w:i/>
          <w:color w:val="000000"/>
          <w:sz w:val="20"/>
          <w:szCs w:val="20"/>
        </w:rPr>
      </w:pPr>
      <w:r w:rsidRPr="00A468A8">
        <w:rPr>
          <w:i/>
          <w:color w:val="000000"/>
          <w:sz w:val="20"/>
          <w:szCs w:val="20"/>
        </w:rPr>
        <w:t>Примечание:</w:t>
      </w:r>
    </w:p>
    <w:p w14:paraId="3CC2DE71" w14:textId="77777777" w:rsidR="00D33150" w:rsidRPr="00D110B6" w:rsidRDefault="00D33150" w:rsidP="00D33150">
      <w:pPr>
        <w:pStyle w:val="ab"/>
        <w:shd w:val="clear" w:color="auto" w:fill="FFFFFF"/>
        <w:spacing w:before="0" w:beforeAutospacing="0" w:after="0" w:afterAutospacing="0"/>
        <w:ind w:right="142"/>
        <w:rPr>
          <w:color w:val="000000"/>
          <w:sz w:val="20"/>
          <w:szCs w:val="20"/>
        </w:rPr>
      </w:pPr>
      <w:r>
        <w:rPr>
          <w:color w:val="000000"/>
          <w:sz w:val="20"/>
          <w:szCs w:val="20"/>
        </w:rPr>
        <w:t>Оранжевым</w:t>
      </w:r>
      <w:r w:rsidRPr="00D04254">
        <w:rPr>
          <w:color w:val="000000"/>
          <w:sz w:val="20"/>
          <w:szCs w:val="20"/>
        </w:rPr>
        <w:t xml:space="preserve"> цветом на </w:t>
      </w:r>
      <w:r>
        <w:rPr>
          <w:color w:val="000000"/>
          <w:sz w:val="20"/>
          <w:szCs w:val="20"/>
        </w:rPr>
        <w:t>диаграмме</w:t>
      </w:r>
      <w:r w:rsidRPr="00D04254">
        <w:rPr>
          <w:color w:val="000000"/>
          <w:sz w:val="20"/>
          <w:szCs w:val="20"/>
        </w:rPr>
        <w:t xml:space="preserve"> отмечен период, в котором был зафиксирован максимальный уровень МедиаИндекса – </w:t>
      </w:r>
      <w:r>
        <w:rPr>
          <w:color w:val="000000"/>
          <w:sz w:val="20"/>
          <w:szCs w:val="20"/>
          <w:lang w:val="en-US"/>
        </w:rPr>
        <w:t>IV</w:t>
      </w:r>
      <w:r w:rsidRPr="009762E3">
        <w:rPr>
          <w:color w:val="000000"/>
          <w:sz w:val="20"/>
          <w:szCs w:val="20"/>
        </w:rPr>
        <w:t xml:space="preserve"> </w:t>
      </w:r>
      <w:r w:rsidRPr="00F71B6D">
        <w:rPr>
          <w:color w:val="000000"/>
          <w:sz w:val="20"/>
          <w:szCs w:val="20"/>
        </w:rPr>
        <w:t xml:space="preserve"> </w:t>
      </w:r>
      <w:r>
        <w:rPr>
          <w:color w:val="000000"/>
          <w:sz w:val="20"/>
          <w:szCs w:val="20"/>
        </w:rPr>
        <w:t>квартал 2017</w:t>
      </w:r>
      <w:r w:rsidRPr="00D04254">
        <w:rPr>
          <w:color w:val="000000"/>
          <w:sz w:val="20"/>
          <w:szCs w:val="20"/>
        </w:rPr>
        <w:t xml:space="preserve"> года.</w:t>
      </w:r>
    </w:p>
    <w:p w14:paraId="15FB6ED5" w14:textId="1E82F5BA" w:rsidR="00AD694A" w:rsidRDefault="00653954" w:rsidP="00722C56">
      <w:pPr>
        <w:spacing w:before="120"/>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D33150" w:rsidRPr="001E6F67">
        <w:rPr>
          <w:rFonts w:ascii="Times New Roman" w:hAnsi="Times New Roman"/>
          <w:color w:val="000000"/>
          <w:sz w:val="24"/>
          <w:szCs w:val="24"/>
        </w:rPr>
        <w:t>В 201</w:t>
      </w:r>
      <w:r w:rsidR="00D33150">
        <w:rPr>
          <w:rFonts w:ascii="Times New Roman" w:hAnsi="Times New Roman"/>
          <w:color w:val="000000"/>
          <w:sz w:val="24"/>
          <w:szCs w:val="24"/>
        </w:rPr>
        <w:t>7</w:t>
      </w:r>
      <w:r w:rsidR="00D33150" w:rsidRPr="001E6F67">
        <w:rPr>
          <w:rFonts w:ascii="Times New Roman" w:hAnsi="Times New Roman"/>
          <w:color w:val="000000"/>
          <w:sz w:val="24"/>
          <w:szCs w:val="24"/>
        </w:rPr>
        <w:t xml:space="preserve"> году НКЦ ежеквартально отчитывался перед ДФС Банка России о результатах управления РПДР. По рекомендации Службы внутреннего аудита, в целях повышения контроля со стороны коллегиальных исполнительных органов НКЦ за управлением РПДР с </w:t>
      </w:r>
      <w:r w:rsidR="00D33150" w:rsidRPr="005938DE">
        <w:rPr>
          <w:rFonts w:ascii="Times New Roman" w:hAnsi="Times New Roman"/>
          <w:color w:val="000000"/>
          <w:sz w:val="24"/>
          <w:szCs w:val="24"/>
        </w:rPr>
        <w:t>IV</w:t>
      </w:r>
      <w:r w:rsidR="00D33150" w:rsidRPr="001E6F67">
        <w:rPr>
          <w:rFonts w:ascii="Times New Roman" w:hAnsi="Times New Roman"/>
          <w:color w:val="000000"/>
          <w:sz w:val="24"/>
          <w:szCs w:val="24"/>
        </w:rPr>
        <w:t xml:space="preserve"> квартала 2016 года введено ежеквартальное заслушивание отчетов Ответственного сотрудника за управление данным видом риска на заседаниях Правления Банка.</w:t>
      </w:r>
    </w:p>
    <w:p w14:paraId="21199B04" w14:textId="77777777" w:rsidR="003221B6" w:rsidRPr="00722C56" w:rsidRDefault="003221B6" w:rsidP="00722C56">
      <w:pPr>
        <w:spacing w:before="120"/>
        <w:contextualSpacing/>
        <w:jc w:val="both"/>
        <w:rPr>
          <w:rFonts w:ascii="Times New Roman" w:hAnsi="Times New Roman"/>
          <w:color w:val="000000"/>
          <w:sz w:val="24"/>
          <w:szCs w:val="24"/>
        </w:rPr>
      </w:pPr>
    </w:p>
    <w:p w14:paraId="173A9F9F" w14:textId="77777777" w:rsidR="00D33150" w:rsidRDefault="00D33150" w:rsidP="003221B6">
      <w:pPr>
        <w:pStyle w:val="3"/>
        <w:jc w:val="center"/>
        <w:rPr>
          <w:rFonts w:ascii="Times New Roman" w:eastAsia="Calibri" w:hAnsi="Times New Roman" w:cs="Times New Roman"/>
          <w:b/>
          <w:i/>
          <w:color w:val="auto"/>
        </w:rPr>
      </w:pPr>
      <w:bookmarkStart w:id="29" w:name="_Toc510776677"/>
      <w:r>
        <w:rPr>
          <w:rFonts w:ascii="Times New Roman" w:eastAsia="Calibri" w:hAnsi="Times New Roman" w:cs="Times New Roman"/>
          <w:b/>
          <w:i/>
          <w:color w:val="auto"/>
        </w:rPr>
        <w:t>Управление кастодиальным риском</w:t>
      </w:r>
      <w:bookmarkEnd w:id="29"/>
    </w:p>
    <w:p w14:paraId="69D78D23" w14:textId="77777777" w:rsidR="00AD694A" w:rsidRDefault="00653954" w:rsidP="00653954">
      <w:pPr>
        <w:contextualSpacing/>
        <w:jc w:val="both"/>
        <w:rPr>
          <w:rFonts w:ascii="Times New Roman" w:hAnsi="Times New Roman"/>
          <w:color w:val="000000"/>
          <w:sz w:val="24"/>
          <w:szCs w:val="24"/>
        </w:rPr>
      </w:pPr>
      <w:r>
        <w:rPr>
          <w:rFonts w:ascii="Times New Roman" w:hAnsi="Times New Roman"/>
          <w:color w:val="000000"/>
          <w:sz w:val="24"/>
          <w:szCs w:val="24"/>
        </w:rPr>
        <w:t xml:space="preserve">     </w:t>
      </w:r>
    </w:p>
    <w:p w14:paraId="3F0A55ED" w14:textId="110E8117" w:rsidR="00D33150" w:rsidRPr="005938DE" w:rsidRDefault="00AD694A" w:rsidP="00653954">
      <w:pPr>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D33150" w:rsidRPr="005938DE">
        <w:rPr>
          <w:rFonts w:ascii="Times New Roman" w:hAnsi="Times New Roman"/>
          <w:color w:val="000000"/>
          <w:sz w:val="24"/>
          <w:szCs w:val="24"/>
        </w:rPr>
        <w:t>НКЦ при осуществлении платежей и расчетов использует услуги банков-контрагентов, депозитариев и рас</w:t>
      </w:r>
      <w:r w:rsidR="00D33150">
        <w:rPr>
          <w:rFonts w:ascii="Times New Roman" w:hAnsi="Times New Roman"/>
          <w:color w:val="000000"/>
          <w:sz w:val="24"/>
          <w:szCs w:val="24"/>
        </w:rPr>
        <w:t xml:space="preserve">четных организаций (в т.ч. НКО </w:t>
      </w:r>
      <w:r w:rsidR="00D33150" w:rsidRPr="005938DE">
        <w:rPr>
          <w:rFonts w:ascii="Times New Roman" w:hAnsi="Times New Roman"/>
          <w:color w:val="000000"/>
          <w:sz w:val="24"/>
          <w:szCs w:val="24"/>
        </w:rPr>
        <w:t>АО НРД). Инфраструктура коммерческих банков и сторонних депозитариев используется в тех случаях, когда не может быть использована инф</w:t>
      </w:r>
      <w:r w:rsidR="00D33150">
        <w:rPr>
          <w:rFonts w:ascii="Times New Roman" w:hAnsi="Times New Roman"/>
          <w:color w:val="000000"/>
          <w:sz w:val="24"/>
          <w:szCs w:val="24"/>
        </w:rPr>
        <w:t xml:space="preserve">раструктура Банка России и НКО </w:t>
      </w:r>
      <w:r w:rsidR="00D33150" w:rsidRPr="005938DE">
        <w:rPr>
          <w:rFonts w:ascii="Times New Roman" w:hAnsi="Times New Roman"/>
          <w:color w:val="000000"/>
          <w:sz w:val="24"/>
          <w:szCs w:val="24"/>
        </w:rPr>
        <w:t>АО НРД. Оценка качества контрагентов осуществляется в рамках управления кредитным риском НКЦ.</w:t>
      </w:r>
    </w:p>
    <w:p w14:paraId="59ED50D4" w14:textId="77777777" w:rsidR="00653954" w:rsidRDefault="00653954" w:rsidP="00653954">
      <w:pPr>
        <w:contextualSpacing/>
        <w:jc w:val="both"/>
        <w:rPr>
          <w:rFonts w:ascii="Times New Roman" w:hAnsi="Times New Roman"/>
          <w:color w:val="000000"/>
          <w:sz w:val="24"/>
          <w:szCs w:val="24"/>
        </w:rPr>
      </w:pPr>
    </w:p>
    <w:p w14:paraId="0A8F43A9" w14:textId="452445C0" w:rsidR="00D33150" w:rsidRPr="005938DE" w:rsidRDefault="00653954" w:rsidP="00653954">
      <w:pPr>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D33150" w:rsidRPr="005938DE">
        <w:rPr>
          <w:rFonts w:ascii="Times New Roman" w:hAnsi="Times New Roman"/>
          <w:color w:val="000000"/>
          <w:sz w:val="24"/>
          <w:szCs w:val="24"/>
        </w:rPr>
        <w:t>Для снижения кастодиального риска НКЦ проводит оценку качества депозитариев в соответствии с требованиями Положения о порядке формирования резервов на возможные потери Банка «Национальный Клиринговый Центр» (Акционерное общество).</w:t>
      </w:r>
    </w:p>
    <w:p w14:paraId="352366B6" w14:textId="77777777" w:rsidR="00D33150" w:rsidRPr="005938DE" w:rsidRDefault="00D33150" w:rsidP="00AD694A">
      <w:pPr>
        <w:spacing w:before="120"/>
        <w:ind w:firstLine="709"/>
        <w:jc w:val="both"/>
        <w:rPr>
          <w:rFonts w:ascii="Times New Roman" w:hAnsi="Times New Roman"/>
          <w:color w:val="000000"/>
          <w:sz w:val="24"/>
          <w:szCs w:val="24"/>
        </w:rPr>
      </w:pPr>
      <w:r w:rsidRPr="005938DE">
        <w:rPr>
          <w:rFonts w:ascii="Times New Roman" w:hAnsi="Times New Roman"/>
          <w:color w:val="000000"/>
          <w:sz w:val="24"/>
          <w:szCs w:val="24"/>
        </w:rPr>
        <w:t>Также в рамках управления кастодиальным риском НКЦ:</w:t>
      </w:r>
    </w:p>
    <w:p w14:paraId="2A28366D" w14:textId="77777777" w:rsidR="00D33150" w:rsidRDefault="00D33150" w:rsidP="00AD694A">
      <w:pPr>
        <w:pStyle w:val="-11"/>
        <w:numPr>
          <w:ilvl w:val="0"/>
          <w:numId w:val="13"/>
        </w:numPr>
        <w:spacing w:line="240" w:lineRule="auto"/>
        <w:jc w:val="both"/>
        <w:rPr>
          <w:rFonts w:ascii="Times New Roman" w:hAnsi="Times New Roman"/>
          <w:sz w:val="24"/>
          <w:szCs w:val="24"/>
        </w:rPr>
      </w:pPr>
      <w:r>
        <w:rPr>
          <w:rFonts w:ascii="Times New Roman" w:hAnsi="Times New Roman"/>
          <w:sz w:val="24"/>
          <w:szCs w:val="24"/>
        </w:rPr>
        <w:t xml:space="preserve">осуществляет </w:t>
      </w:r>
      <w:r w:rsidRPr="00384278">
        <w:rPr>
          <w:rFonts w:ascii="Times New Roman" w:hAnsi="Times New Roman"/>
          <w:sz w:val="24"/>
          <w:szCs w:val="24"/>
        </w:rPr>
        <w:t xml:space="preserve">аккредитацию </w:t>
      </w:r>
      <w:r>
        <w:rPr>
          <w:rFonts w:ascii="Times New Roman" w:hAnsi="Times New Roman"/>
          <w:sz w:val="24"/>
          <w:szCs w:val="24"/>
        </w:rPr>
        <w:t>элеваторов в соответствии с Правилами аккредитации элеваторов при осуществлении функций оператора товарных поставок;</w:t>
      </w:r>
    </w:p>
    <w:p w14:paraId="63BCB30F" w14:textId="77777777" w:rsidR="00D33150" w:rsidRDefault="00D33150" w:rsidP="00AD694A">
      <w:pPr>
        <w:pStyle w:val="-11"/>
        <w:numPr>
          <w:ilvl w:val="0"/>
          <w:numId w:val="13"/>
        </w:numPr>
        <w:spacing w:line="240" w:lineRule="auto"/>
        <w:jc w:val="both"/>
        <w:rPr>
          <w:rFonts w:ascii="Times New Roman" w:hAnsi="Times New Roman"/>
          <w:sz w:val="24"/>
          <w:szCs w:val="24"/>
        </w:rPr>
      </w:pPr>
      <w:r>
        <w:rPr>
          <w:rFonts w:ascii="Times New Roman" w:hAnsi="Times New Roman"/>
          <w:sz w:val="24"/>
          <w:szCs w:val="24"/>
        </w:rPr>
        <w:t xml:space="preserve">осуществляет аккредитацию </w:t>
      </w:r>
      <w:r w:rsidRPr="00384278">
        <w:rPr>
          <w:rFonts w:ascii="Times New Roman" w:hAnsi="Times New Roman"/>
          <w:sz w:val="24"/>
          <w:szCs w:val="24"/>
        </w:rPr>
        <w:t>товарных складов в соответствии с Правилами аккредитации складов, осуществляющих хранение сахара, при осуществлении функций Оператора товарных поставок</w:t>
      </w:r>
      <w:r>
        <w:rPr>
          <w:rFonts w:ascii="Times New Roman" w:hAnsi="Times New Roman"/>
          <w:sz w:val="24"/>
          <w:szCs w:val="24"/>
        </w:rPr>
        <w:t>;</w:t>
      </w:r>
    </w:p>
    <w:p w14:paraId="592E40E1" w14:textId="77777777" w:rsidR="00D33150" w:rsidRPr="00665591" w:rsidRDefault="00D33150" w:rsidP="00AD694A">
      <w:pPr>
        <w:pStyle w:val="-11"/>
        <w:numPr>
          <w:ilvl w:val="0"/>
          <w:numId w:val="13"/>
        </w:numPr>
        <w:spacing w:line="240" w:lineRule="auto"/>
        <w:jc w:val="both"/>
        <w:rPr>
          <w:rFonts w:ascii="Times New Roman" w:hAnsi="Times New Roman"/>
          <w:sz w:val="24"/>
          <w:szCs w:val="24"/>
        </w:rPr>
      </w:pPr>
      <w:r>
        <w:rPr>
          <w:rFonts w:ascii="Times New Roman" w:hAnsi="Times New Roman"/>
          <w:sz w:val="24"/>
          <w:szCs w:val="24"/>
        </w:rPr>
        <w:lastRenderedPageBreak/>
        <w:t>осуществляет</w:t>
      </w:r>
      <w:r w:rsidRPr="00665591">
        <w:rPr>
          <w:rFonts w:ascii="Times New Roman" w:hAnsi="Times New Roman"/>
          <w:sz w:val="24"/>
          <w:szCs w:val="24"/>
        </w:rPr>
        <w:t xml:space="preserve"> контроль фактического местонахождения активов, принадлежащих центральному контрагенту и (или) переданных участниками клиринга центральному контрагенту в качестве обеспечения исполнения обязательств;</w:t>
      </w:r>
    </w:p>
    <w:p w14:paraId="5E7BF04C" w14:textId="77777777" w:rsidR="00D33150" w:rsidRDefault="00D33150" w:rsidP="00AD694A">
      <w:pPr>
        <w:pStyle w:val="-11"/>
        <w:numPr>
          <w:ilvl w:val="0"/>
          <w:numId w:val="13"/>
        </w:numPr>
        <w:spacing w:line="240" w:lineRule="auto"/>
        <w:jc w:val="both"/>
        <w:rPr>
          <w:rFonts w:ascii="Times New Roman" w:hAnsi="Times New Roman"/>
          <w:sz w:val="24"/>
          <w:szCs w:val="24"/>
        </w:rPr>
      </w:pPr>
      <w:r w:rsidRPr="00665591">
        <w:rPr>
          <w:rFonts w:ascii="Times New Roman" w:hAnsi="Times New Roman"/>
          <w:sz w:val="24"/>
          <w:szCs w:val="24"/>
        </w:rPr>
        <w:t>оценива</w:t>
      </w:r>
      <w:r>
        <w:rPr>
          <w:rFonts w:ascii="Times New Roman" w:hAnsi="Times New Roman"/>
          <w:sz w:val="24"/>
          <w:szCs w:val="24"/>
        </w:rPr>
        <w:t>е</w:t>
      </w:r>
      <w:r w:rsidRPr="00665591">
        <w:rPr>
          <w:rFonts w:ascii="Times New Roman" w:hAnsi="Times New Roman"/>
          <w:sz w:val="24"/>
          <w:szCs w:val="24"/>
        </w:rPr>
        <w:t>т возможность своевременного востребования активов, принадлежащих центральному контрагенту и (или) переданных участниками клиринга центральному контрагенту в качестве обеспечения исполнения обязательств</w:t>
      </w:r>
      <w:r>
        <w:rPr>
          <w:rFonts w:ascii="Times New Roman" w:hAnsi="Times New Roman"/>
          <w:sz w:val="24"/>
          <w:szCs w:val="24"/>
        </w:rPr>
        <w:t>;</w:t>
      </w:r>
    </w:p>
    <w:p w14:paraId="53BE776A" w14:textId="77777777" w:rsidR="00D33150" w:rsidRPr="00D7519F" w:rsidRDefault="00D33150" w:rsidP="00AD694A">
      <w:pPr>
        <w:pStyle w:val="-11"/>
        <w:numPr>
          <w:ilvl w:val="0"/>
          <w:numId w:val="13"/>
        </w:numPr>
        <w:spacing w:line="240" w:lineRule="auto"/>
        <w:jc w:val="both"/>
        <w:rPr>
          <w:rFonts w:ascii="Times New Roman" w:hAnsi="Times New Roman"/>
          <w:sz w:val="24"/>
          <w:szCs w:val="24"/>
        </w:rPr>
      </w:pPr>
      <w:r w:rsidRPr="00D7519F">
        <w:rPr>
          <w:rFonts w:ascii="Times New Roman" w:hAnsi="Times New Roman"/>
          <w:sz w:val="24"/>
          <w:szCs w:val="24"/>
        </w:rPr>
        <w:t>обеспечивает возможность создания резервов и (или) страхования активов, принадлежащих центральному контрагенту и (или) переданных участниками клиринга центральному контрагенту в качестве обеспечения исполнения обязательств, для покрытия потенциальных убытков, возникающих в случае несостоятельности кастодиана.</w:t>
      </w:r>
    </w:p>
    <w:p w14:paraId="4CF7F540" w14:textId="77777777" w:rsidR="00D33150" w:rsidRDefault="00D33150" w:rsidP="003221B6">
      <w:pPr>
        <w:pStyle w:val="3"/>
        <w:jc w:val="center"/>
        <w:rPr>
          <w:rFonts w:ascii="Times New Roman" w:eastAsia="Calibri" w:hAnsi="Times New Roman" w:cs="Times New Roman"/>
          <w:b/>
          <w:i/>
          <w:color w:val="auto"/>
        </w:rPr>
      </w:pPr>
      <w:bookmarkStart w:id="30" w:name="_Toc510776678"/>
      <w:r>
        <w:rPr>
          <w:rFonts w:ascii="Times New Roman" w:eastAsia="Calibri" w:hAnsi="Times New Roman" w:cs="Times New Roman"/>
          <w:b/>
          <w:i/>
          <w:color w:val="auto"/>
        </w:rPr>
        <w:t>Управление коммерческим риском</w:t>
      </w:r>
      <w:bookmarkEnd w:id="30"/>
    </w:p>
    <w:p w14:paraId="5F8866A0" w14:textId="1CC8A06F" w:rsidR="00D33150" w:rsidRPr="008D0BC1" w:rsidRDefault="00653954" w:rsidP="00653954">
      <w:pPr>
        <w:spacing w:before="120"/>
        <w:jc w:val="both"/>
        <w:rPr>
          <w:rFonts w:ascii="Times New Roman" w:hAnsi="Times New Roman"/>
          <w:color w:val="000000"/>
          <w:sz w:val="24"/>
          <w:szCs w:val="24"/>
        </w:rPr>
      </w:pPr>
      <w:r>
        <w:rPr>
          <w:rFonts w:ascii="Times New Roman" w:hAnsi="Times New Roman"/>
          <w:color w:val="000000"/>
          <w:sz w:val="24"/>
          <w:szCs w:val="24"/>
        </w:rPr>
        <w:t xml:space="preserve">     </w:t>
      </w:r>
      <w:r w:rsidR="00D33150" w:rsidRPr="008D0BC1">
        <w:rPr>
          <w:rFonts w:ascii="Times New Roman" w:hAnsi="Times New Roman"/>
          <w:color w:val="000000"/>
          <w:sz w:val="24"/>
          <w:szCs w:val="24"/>
        </w:rPr>
        <w:t xml:space="preserve">Под коммерческим риском понимается любое потенциальное ухудшение финансового положения </w:t>
      </w:r>
      <w:r w:rsidR="00D33150">
        <w:rPr>
          <w:rFonts w:ascii="Times New Roman" w:hAnsi="Times New Roman"/>
          <w:color w:val="000000"/>
          <w:sz w:val="24"/>
          <w:szCs w:val="24"/>
        </w:rPr>
        <w:t>НКЦ</w:t>
      </w:r>
      <w:r w:rsidR="00D33150" w:rsidRPr="008D0BC1">
        <w:rPr>
          <w:rFonts w:ascii="Times New Roman" w:hAnsi="Times New Roman"/>
          <w:color w:val="000000"/>
          <w:sz w:val="24"/>
          <w:szCs w:val="24"/>
        </w:rPr>
        <w:t xml:space="preserve"> (как коммерческой организации) вследствие превышения расходов над доходами, в случае если они приводят к потерям, не связанным с реализацией кредитного или кастодиального риска.</w:t>
      </w:r>
    </w:p>
    <w:p w14:paraId="0ED5E1D1" w14:textId="77777777" w:rsidR="00D33150" w:rsidRPr="00D80EBC" w:rsidRDefault="00D33150" w:rsidP="00D33150">
      <w:pPr>
        <w:spacing w:before="120"/>
        <w:ind w:firstLine="709"/>
        <w:jc w:val="both"/>
        <w:rPr>
          <w:rFonts w:ascii="Times New Roman" w:hAnsi="Times New Roman"/>
          <w:i/>
          <w:color w:val="000000"/>
          <w:sz w:val="24"/>
          <w:szCs w:val="24"/>
        </w:rPr>
      </w:pPr>
      <w:r w:rsidRPr="00D80EBC">
        <w:rPr>
          <w:rFonts w:ascii="Times New Roman" w:hAnsi="Times New Roman"/>
          <w:i/>
          <w:color w:val="000000"/>
          <w:sz w:val="24"/>
          <w:szCs w:val="24"/>
        </w:rPr>
        <w:t>С целью управления коммерческим риском НКЦ осуществляет следующие меры:</w:t>
      </w:r>
    </w:p>
    <w:p w14:paraId="3E44D2A9" w14:textId="77777777" w:rsidR="00D33150" w:rsidRPr="00640D4D" w:rsidRDefault="00D33150" w:rsidP="00AD694A">
      <w:pPr>
        <w:pStyle w:val="-11"/>
        <w:numPr>
          <w:ilvl w:val="0"/>
          <w:numId w:val="13"/>
        </w:numPr>
        <w:spacing w:line="240" w:lineRule="auto"/>
        <w:jc w:val="both"/>
        <w:rPr>
          <w:rFonts w:ascii="Times New Roman" w:hAnsi="Times New Roman"/>
          <w:sz w:val="24"/>
          <w:szCs w:val="24"/>
        </w:rPr>
      </w:pPr>
      <w:r w:rsidRPr="00640D4D">
        <w:rPr>
          <w:rFonts w:ascii="Times New Roman" w:hAnsi="Times New Roman"/>
          <w:sz w:val="24"/>
          <w:szCs w:val="24"/>
        </w:rPr>
        <w:t>разрабатывает планы действий по восстановлению/упорядоченному сокращению объемов деятельности на случай реализации общего делового риска и риска потери деловой репутации;</w:t>
      </w:r>
    </w:p>
    <w:p w14:paraId="71527F06" w14:textId="77777777" w:rsidR="00D33150" w:rsidRPr="005938DE" w:rsidRDefault="00D33150" w:rsidP="00AD694A">
      <w:pPr>
        <w:pStyle w:val="-11"/>
        <w:numPr>
          <w:ilvl w:val="0"/>
          <w:numId w:val="13"/>
        </w:numPr>
        <w:spacing w:line="240" w:lineRule="auto"/>
        <w:jc w:val="both"/>
        <w:rPr>
          <w:rFonts w:ascii="Times New Roman" w:hAnsi="Times New Roman"/>
          <w:sz w:val="24"/>
          <w:szCs w:val="24"/>
        </w:rPr>
      </w:pPr>
      <w:r w:rsidRPr="00640D4D">
        <w:rPr>
          <w:rFonts w:ascii="Times New Roman" w:hAnsi="Times New Roman"/>
          <w:sz w:val="24"/>
          <w:szCs w:val="24"/>
        </w:rPr>
        <w:t>обеспечивает проведение анализа доходов и расходов при введении новых инструментов и продуктов.</w:t>
      </w:r>
    </w:p>
    <w:p w14:paraId="04DFFD06" w14:textId="77777777" w:rsidR="00D33150" w:rsidRPr="00C11834" w:rsidRDefault="00D33150" w:rsidP="003221B6">
      <w:pPr>
        <w:pStyle w:val="3"/>
        <w:jc w:val="center"/>
        <w:rPr>
          <w:rFonts w:ascii="Times New Roman" w:eastAsia="Calibri" w:hAnsi="Times New Roman" w:cs="Times New Roman"/>
          <w:b/>
          <w:i/>
          <w:color w:val="auto"/>
        </w:rPr>
      </w:pPr>
      <w:bookmarkStart w:id="31" w:name="_Toc510776679"/>
      <w:r w:rsidRPr="00C11834">
        <w:rPr>
          <w:rFonts w:ascii="Times New Roman" w:eastAsia="Calibri" w:hAnsi="Times New Roman" w:cs="Times New Roman"/>
          <w:b/>
          <w:i/>
          <w:color w:val="auto"/>
        </w:rPr>
        <w:t>Управление системным риском</w:t>
      </w:r>
      <w:bookmarkEnd w:id="31"/>
    </w:p>
    <w:p w14:paraId="1FFA7BC4" w14:textId="521E0E3E" w:rsidR="00D33150" w:rsidRPr="008660E9" w:rsidRDefault="00653954" w:rsidP="00AD694A">
      <w:pPr>
        <w:spacing w:before="1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D33150" w:rsidRPr="008660E9">
        <w:rPr>
          <w:rFonts w:ascii="Times New Roman" w:eastAsia="Times New Roman" w:hAnsi="Times New Roman"/>
          <w:color w:val="000000"/>
          <w:sz w:val="24"/>
          <w:szCs w:val="24"/>
          <w:lang w:eastAsia="ru-RU"/>
        </w:rPr>
        <w:t>Источником системного риска для НКЦ может являться одновременное неисполнение несколькими участниками клиринга или кон</w:t>
      </w:r>
      <w:r w:rsidR="00D33150">
        <w:rPr>
          <w:rFonts w:ascii="Times New Roman" w:eastAsia="Times New Roman" w:hAnsi="Times New Roman"/>
          <w:color w:val="000000"/>
          <w:sz w:val="24"/>
          <w:szCs w:val="24"/>
          <w:lang w:eastAsia="ru-RU"/>
        </w:rPr>
        <w:t>т</w:t>
      </w:r>
      <w:r w:rsidR="00D33150" w:rsidRPr="008660E9">
        <w:rPr>
          <w:rFonts w:ascii="Times New Roman" w:eastAsia="Times New Roman" w:hAnsi="Times New Roman"/>
          <w:color w:val="000000"/>
          <w:sz w:val="24"/>
          <w:szCs w:val="24"/>
          <w:lang w:eastAsia="ru-RU"/>
        </w:rPr>
        <w:t>рагентами НКЦ своих обязательств, влекущее за собой неспособность других контрагентов выполнить свои обязательства перед НКЦ в срок надлежащим образом.</w:t>
      </w:r>
    </w:p>
    <w:p w14:paraId="676AC499" w14:textId="11341BD0" w:rsidR="00D33150" w:rsidRPr="008660E9" w:rsidRDefault="00653954" w:rsidP="00AD694A">
      <w:pPr>
        <w:spacing w:before="1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D33150" w:rsidRPr="008660E9">
        <w:rPr>
          <w:rFonts w:ascii="Times New Roman" w:eastAsia="Times New Roman" w:hAnsi="Times New Roman"/>
          <w:color w:val="000000"/>
          <w:sz w:val="24"/>
          <w:szCs w:val="24"/>
          <w:lang w:eastAsia="ru-RU"/>
        </w:rPr>
        <w:t xml:space="preserve">Также, в силу системной значимости НКЦ как инфраструктуры финансового рынка, источником системного риска может являться </w:t>
      </w:r>
      <w:r w:rsidR="00D80EBC">
        <w:rPr>
          <w:rFonts w:ascii="Times New Roman" w:eastAsia="Times New Roman" w:hAnsi="Times New Roman"/>
          <w:color w:val="000000"/>
          <w:sz w:val="24"/>
          <w:szCs w:val="24"/>
          <w:lang w:eastAsia="ru-RU"/>
        </w:rPr>
        <w:t>и</w:t>
      </w:r>
      <w:r w:rsidR="00D33150" w:rsidRPr="008660E9">
        <w:rPr>
          <w:rFonts w:ascii="Times New Roman" w:eastAsia="Times New Roman" w:hAnsi="Times New Roman"/>
          <w:color w:val="000000"/>
          <w:sz w:val="24"/>
          <w:szCs w:val="24"/>
          <w:lang w:eastAsia="ru-RU"/>
        </w:rPr>
        <w:t xml:space="preserve"> взаимосвязанность НКЦ с другими организациями финансового рынка.</w:t>
      </w:r>
    </w:p>
    <w:p w14:paraId="06051CD8" w14:textId="552DE19C" w:rsidR="00D33150" w:rsidRPr="008660E9" w:rsidRDefault="00653954" w:rsidP="00AD694A">
      <w:pPr>
        <w:spacing w:before="1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D33150" w:rsidRPr="008660E9">
        <w:rPr>
          <w:rFonts w:ascii="Times New Roman" w:eastAsia="Times New Roman" w:hAnsi="Times New Roman"/>
          <w:color w:val="000000"/>
          <w:sz w:val="24"/>
          <w:szCs w:val="24"/>
          <w:lang w:eastAsia="ru-RU"/>
        </w:rPr>
        <w:t>Эффективное управление собственными рисками (кредитный, рыночный, операционный, кастодиальный, риск ликвидности и другие) позволяет НКЦ поддерживать стабильность на обслуживаемых сегментах финансового рынка, что способствует снижению системного риска.</w:t>
      </w:r>
    </w:p>
    <w:p w14:paraId="0D30363B" w14:textId="77777777" w:rsidR="00D33150" w:rsidRPr="00D80EBC" w:rsidRDefault="00D33150" w:rsidP="00D33150">
      <w:pPr>
        <w:spacing w:before="120"/>
        <w:ind w:firstLine="567"/>
        <w:jc w:val="both"/>
        <w:rPr>
          <w:rFonts w:ascii="Times New Roman" w:eastAsia="Times New Roman" w:hAnsi="Times New Roman"/>
          <w:i/>
          <w:color w:val="000000"/>
          <w:sz w:val="24"/>
          <w:szCs w:val="24"/>
          <w:lang w:eastAsia="ru-RU"/>
        </w:rPr>
      </w:pPr>
      <w:r w:rsidRPr="00D80EBC">
        <w:rPr>
          <w:rFonts w:ascii="Times New Roman" w:eastAsia="Times New Roman" w:hAnsi="Times New Roman"/>
          <w:i/>
          <w:color w:val="000000"/>
          <w:sz w:val="24"/>
          <w:szCs w:val="24"/>
          <w:lang w:eastAsia="ru-RU"/>
        </w:rPr>
        <w:t>В целях снижения системного риска НКЦ также:</w:t>
      </w:r>
    </w:p>
    <w:p w14:paraId="0D9D2BE9" w14:textId="77777777" w:rsidR="00D33150" w:rsidRDefault="00D33150" w:rsidP="00AD694A">
      <w:pPr>
        <w:pStyle w:val="-11"/>
        <w:numPr>
          <w:ilvl w:val="0"/>
          <w:numId w:val="17"/>
        </w:numPr>
        <w:spacing w:line="240" w:lineRule="auto"/>
        <w:jc w:val="both"/>
        <w:rPr>
          <w:rFonts w:ascii="Times New Roman" w:hAnsi="Times New Roman"/>
          <w:sz w:val="24"/>
          <w:szCs w:val="24"/>
        </w:rPr>
      </w:pPr>
      <w:r>
        <w:rPr>
          <w:rFonts w:ascii="Times New Roman" w:hAnsi="Times New Roman"/>
          <w:sz w:val="24"/>
          <w:szCs w:val="24"/>
        </w:rPr>
        <w:t>осуществляет мониторинг системного риска посредством контроля за уровнем остальных рисков, присущих деятельности НКЦ;</w:t>
      </w:r>
    </w:p>
    <w:p w14:paraId="61AA3F24" w14:textId="77777777" w:rsidR="00D33150" w:rsidRPr="002C2B68" w:rsidRDefault="00D33150" w:rsidP="00AD694A">
      <w:pPr>
        <w:pStyle w:val="-11"/>
        <w:numPr>
          <w:ilvl w:val="0"/>
          <w:numId w:val="17"/>
        </w:numPr>
        <w:spacing w:line="240" w:lineRule="auto"/>
        <w:jc w:val="both"/>
        <w:rPr>
          <w:rFonts w:ascii="Times New Roman" w:hAnsi="Times New Roman"/>
          <w:sz w:val="24"/>
          <w:szCs w:val="24"/>
        </w:rPr>
      </w:pPr>
      <w:r w:rsidRPr="002C2B68">
        <w:rPr>
          <w:rFonts w:ascii="Times New Roman" w:hAnsi="Times New Roman"/>
          <w:sz w:val="24"/>
          <w:szCs w:val="24"/>
        </w:rPr>
        <w:t>проводит мониторинг финансовой устойчивости инфраструктурных организаций, с которым установлены договорные отношения и в отношении которых у НКЦ возникает кредитный риск;</w:t>
      </w:r>
    </w:p>
    <w:p w14:paraId="5B453C71" w14:textId="77777777" w:rsidR="00D33150" w:rsidRPr="002C2B68" w:rsidRDefault="00D33150" w:rsidP="00AD694A">
      <w:pPr>
        <w:pStyle w:val="-11"/>
        <w:numPr>
          <w:ilvl w:val="0"/>
          <w:numId w:val="17"/>
        </w:numPr>
        <w:spacing w:line="240" w:lineRule="auto"/>
        <w:jc w:val="both"/>
        <w:rPr>
          <w:rFonts w:ascii="Times New Roman" w:hAnsi="Times New Roman"/>
          <w:sz w:val="24"/>
          <w:szCs w:val="24"/>
        </w:rPr>
      </w:pPr>
      <w:r w:rsidRPr="002C2B68">
        <w:rPr>
          <w:rFonts w:ascii="Times New Roman" w:hAnsi="Times New Roman"/>
          <w:sz w:val="24"/>
          <w:szCs w:val="24"/>
        </w:rPr>
        <w:t>проводит мониторинг совокупных позиций участников клиринга, открытых на всех рынках, на которых НКЦ выступает как центральный контрагент;</w:t>
      </w:r>
    </w:p>
    <w:p w14:paraId="0A2C9844" w14:textId="77777777" w:rsidR="00D33150" w:rsidRPr="002C2B68" w:rsidRDefault="00D33150" w:rsidP="00AD694A">
      <w:pPr>
        <w:pStyle w:val="-11"/>
        <w:numPr>
          <w:ilvl w:val="0"/>
          <w:numId w:val="17"/>
        </w:numPr>
        <w:spacing w:line="240" w:lineRule="auto"/>
        <w:jc w:val="both"/>
        <w:rPr>
          <w:rFonts w:ascii="Times New Roman" w:hAnsi="Times New Roman"/>
          <w:sz w:val="24"/>
          <w:szCs w:val="24"/>
        </w:rPr>
      </w:pPr>
      <w:r w:rsidRPr="002C2B68">
        <w:rPr>
          <w:rFonts w:ascii="Times New Roman" w:hAnsi="Times New Roman"/>
          <w:sz w:val="24"/>
          <w:szCs w:val="24"/>
        </w:rPr>
        <w:lastRenderedPageBreak/>
        <w:t>разрабатывает процедуры передачи позиций клиентов участника клиринга в случае его несостоятельности (банкротства) другому участнику клиринга;</w:t>
      </w:r>
    </w:p>
    <w:p w14:paraId="6BDA1AAE" w14:textId="77777777" w:rsidR="00D33150" w:rsidRDefault="00D33150" w:rsidP="00AD694A">
      <w:pPr>
        <w:pStyle w:val="-11"/>
        <w:numPr>
          <w:ilvl w:val="0"/>
          <w:numId w:val="17"/>
        </w:numPr>
        <w:spacing w:line="240" w:lineRule="auto"/>
        <w:jc w:val="both"/>
        <w:rPr>
          <w:rFonts w:ascii="Times New Roman" w:hAnsi="Times New Roman"/>
          <w:sz w:val="24"/>
          <w:szCs w:val="24"/>
        </w:rPr>
      </w:pPr>
      <w:r w:rsidRPr="002C2B68">
        <w:rPr>
          <w:rFonts w:ascii="Times New Roman" w:hAnsi="Times New Roman"/>
          <w:sz w:val="24"/>
          <w:szCs w:val="24"/>
        </w:rPr>
        <w:t>ограничивает процикличность расчета размера требуемого обеспечения по сделкам участников клиринга</w:t>
      </w:r>
      <w:r>
        <w:rPr>
          <w:rFonts w:ascii="Times New Roman" w:hAnsi="Times New Roman"/>
          <w:sz w:val="24"/>
          <w:szCs w:val="24"/>
        </w:rPr>
        <w:t>;</w:t>
      </w:r>
    </w:p>
    <w:p w14:paraId="293E64F9" w14:textId="77777777" w:rsidR="00D33150" w:rsidRDefault="00D33150" w:rsidP="00AD694A">
      <w:pPr>
        <w:pStyle w:val="-11"/>
        <w:numPr>
          <w:ilvl w:val="0"/>
          <w:numId w:val="17"/>
        </w:numPr>
        <w:spacing w:line="240" w:lineRule="auto"/>
        <w:jc w:val="both"/>
        <w:rPr>
          <w:rFonts w:ascii="Times New Roman" w:hAnsi="Times New Roman"/>
          <w:sz w:val="24"/>
          <w:szCs w:val="24"/>
        </w:rPr>
      </w:pPr>
      <w:r>
        <w:rPr>
          <w:rFonts w:ascii="Times New Roman" w:hAnsi="Times New Roman"/>
          <w:sz w:val="24"/>
          <w:szCs w:val="24"/>
        </w:rPr>
        <w:t xml:space="preserve"> информирует членов Наблюдательного совета НКЦ о возникновении или угрозе реализации системного риска</w:t>
      </w:r>
      <w:r w:rsidRPr="002C2B68">
        <w:rPr>
          <w:rFonts w:ascii="Times New Roman" w:hAnsi="Times New Roman"/>
          <w:sz w:val="24"/>
          <w:szCs w:val="24"/>
        </w:rPr>
        <w:t>.</w:t>
      </w:r>
    </w:p>
    <w:p w14:paraId="6EF504EC" w14:textId="77777777" w:rsidR="00AD694A" w:rsidRPr="003221B6" w:rsidRDefault="00AD694A" w:rsidP="00AD694A">
      <w:pPr>
        <w:pStyle w:val="-11"/>
        <w:spacing w:line="240" w:lineRule="auto"/>
        <w:ind w:left="1429"/>
        <w:jc w:val="both"/>
        <w:rPr>
          <w:rFonts w:ascii="Times New Roman" w:hAnsi="Times New Roman"/>
          <w:sz w:val="28"/>
          <w:szCs w:val="28"/>
        </w:rPr>
      </w:pPr>
    </w:p>
    <w:p w14:paraId="59B45D54" w14:textId="164CA7ED" w:rsidR="00D33150" w:rsidRPr="003221B6" w:rsidRDefault="00722C56" w:rsidP="00722C56">
      <w:pPr>
        <w:pStyle w:val="2"/>
        <w:ind w:left="360"/>
        <w:jc w:val="center"/>
        <w:rPr>
          <w:rFonts w:ascii="Times New Roman" w:eastAsia="Calibri" w:hAnsi="Times New Roman" w:cs="Times New Roman"/>
          <w:b/>
          <w:color w:val="auto"/>
          <w:sz w:val="28"/>
          <w:szCs w:val="28"/>
        </w:rPr>
      </w:pPr>
      <w:bookmarkStart w:id="32" w:name="_Toc510776680"/>
      <w:r w:rsidRPr="003221B6">
        <w:rPr>
          <w:rFonts w:ascii="Times New Roman" w:eastAsia="Calibri" w:hAnsi="Times New Roman" w:cs="Times New Roman"/>
          <w:b/>
          <w:color w:val="auto"/>
          <w:sz w:val="28"/>
          <w:szCs w:val="28"/>
        </w:rPr>
        <w:t>7.</w:t>
      </w:r>
      <w:r w:rsidRPr="00090649">
        <w:rPr>
          <w:rFonts w:ascii="Times New Roman" w:eastAsia="Calibri" w:hAnsi="Times New Roman" w:cs="Times New Roman"/>
          <w:b/>
          <w:color w:val="auto"/>
          <w:sz w:val="28"/>
          <w:szCs w:val="28"/>
        </w:rPr>
        <w:t>4</w:t>
      </w:r>
      <w:r w:rsidR="00D33150" w:rsidRPr="003221B6">
        <w:rPr>
          <w:rFonts w:ascii="Times New Roman" w:eastAsia="Calibri" w:hAnsi="Times New Roman" w:cs="Times New Roman"/>
          <w:b/>
          <w:color w:val="auto"/>
          <w:sz w:val="28"/>
          <w:szCs w:val="28"/>
        </w:rPr>
        <w:t xml:space="preserve"> Стресс-тестирование финансовой устойчивости</w:t>
      </w:r>
      <w:bookmarkEnd w:id="32"/>
    </w:p>
    <w:p w14:paraId="776D342E" w14:textId="75168CD0" w:rsidR="00D33150" w:rsidRPr="003B238F" w:rsidRDefault="00653954" w:rsidP="00653954">
      <w:pPr>
        <w:spacing w:before="1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D33150" w:rsidRPr="003B238F">
        <w:rPr>
          <w:rFonts w:ascii="Times New Roman" w:eastAsia="Times New Roman" w:hAnsi="Times New Roman"/>
          <w:color w:val="000000"/>
          <w:sz w:val="24"/>
          <w:szCs w:val="24"/>
          <w:lang w:eastAsia="ru-RU"/>
        </w:rPr>
        <w:t xml:space="preserve">Стресс-тестирование финансовой устойчивости НКЦ направлено на снижение рисков до приемлемого уровня, </w:t>
      </w:r>
      <w:r w:rsidR="00D33150">
        <w:rPr>
          <w:rFonts w:ascii="Times New Roman" w:eastAsia="Times New Roman" w:hAnsi="Times New Roman"/>
          <w:color w:val="000000"/>
          <w:sz w:val="24"/>
          <w:szCs w:val="24"/>
          <w:lang w:eastAsia="ru-RU"/>
        </w:rPr>
        <w:t>позволяющего</w:t>
      </w:r>
      <w:r w:rsidR="00D33150" w:rsidRPr="003B238F">
        <w:rPr>
          <w:rFonts w:ascii="Times New Roman" w:eastAsia="Times New Roman" w:hAnsi="Times New Roman"/>
          <w:color w:val="000000"/>
          <w:sz w:val="24"/>
          <w:szCs w:val="24"/>
          <w:lang w:eastAsia="ru-RU"/>
        </w:rPr>
        <w:t xml:space="preserve"> поддерж</w:t>
      </w:r>
      <w:r w:rsidR="00D33150">
        <w:rPr>
          <w:rFonts w:ascii="Times New Roman" w:eastAsia="Times New Roman" w:hAnsi="Times New Roman"/>
          <w:color w:val="000000"/>
          <w:sz w:val="24"/>
          <w:szCs w:val="24"/>
          <w:lang w:eastAsia="ru-RU"/>
        </w:rPr>
        <w:t>ивать</w:t>
      </w:r>
      <w:r w:rsidR="00D33150" w:rsidRPr="003B238F">
        <w:rPr>
          <w:rFonts w:ascii="Times New Roman" w:eastAsia="Times New Roman" w:hAnsi="Times New Roman"/>
          <w:color w:val="000000"/>
          <w:sz w:val="24"/>
          <w:szCs w:val="24"/>
          <w:lang w:eastAsia="ru-RU"/>
        </w:rPr>
        <w:t xml:space="preserve"> стабильност</w:t>
      </w:r>
      <w:r w:rsidR="00D33150">
        <w:rPr>
          <w:rFonts w:ascii="Times New Roman" w:eastAsia="Times New Roman" w:hAnsi="Times New Roman"/>
          <w:color w:val="000000"/>
          <w:sz w:val="24"/>
          <w:szCs w:val="24"/>
          <w:lang w:eastAsia="ru-RU"/>
        </w:rPr>
        <w:t>ь</w:t>
      </w:r>
      <w:r w:rsidR="00D33150" w:rsidRPr="003B238F">
        <w:rPr>
          <w:rFonts w:ascii="Times New Roman" w:eastAsia="Times New Roman" w:hAnsi="Times New Roman"/>
          <w:color w:val="000000"/>
          <w:sz w:val="24"/>
          <w:szCs w:val="24"/>
          <w:lang w:eastAsia="ru-RU"/>
        </w:rPr>
        <w:t xml:space="preserve"> на обслуживаемых сегментах финансового рынка, </w:t>
      </w:r>
      <w:r w:rsidR="00D33150">
        <w:rPr>
          <w:rFonts w:ascii="Times New Roman" w:eastAsia="Times New Roman" w:hAnsi="Times New Roman"/>
          <w:color w:val="000000"/>
          <w:sz w:val="24"/>
          <w:szCs w:val="24"/>
          <w:lang w:eastAsia="ru-RU"/>
        </w:rPr>
        <w:t xml:space="preserve">а также </w:t>
      </w:r>
      <w:r w:rsidR="00D33150" w:rsidRPr="003B238F">
        <w:rPr>
          <w:rFonts w:ascii="Times New Roman" w:eastAsia="Times New Roman" w:hAnsi="Times New Roman"/>
          <w:color w:val="000000"/>
          <w:sz w:val="24"/>
          <w:szCs w:val="24"/>
          <w:lang w:eastAsia="ru-RU"/>
        </w:rPr>
        <w:t>предоставл</w:t>
      </w:r>
      <w:r w:rsidR="00D33150">
        <w:rPr>
          <w:rFonts w:ascii="Times New Roman" w:eastAsia="Times New Roman" w:hAnsi="Times New Roman"/>
          <w:color w:val="000000"/>
          <w:sz w:val="24"/>
          <w:szCs w:val="24"/>
          <w:lang w:eastAsia="ru-RU"/>
        </w:rPr>
        <w:t>ять участникам клиринговые услуги</w:t>
      </w:r>
      <w:r w:rsidR="00D33150" w:rsidRPr="003B238F">
        <w:rPr>
          <w:rFonts w:ascii="Times New Roman" w:eastAsia="Times New Roman" w:hAnsi="Times New Roman"/>
          <w:color w:val="000000"/>
          <w:sz w:val="24"/>
          <w:szCs w:val="24"/>
          <w:lang w:eastAsia="ru-RU"/>
        </w:rPr>
        <w:t>.</w:t>
      </w:r>
    </w:p>
    <w:p w14:paraId="3377D2A8" w14:textId="443CBD8E" w:rsidR="00D33150" w:rsidRPr="003B238F" w:rsidRDefault="00653954" w:rsidP="00653954">
      <w:pPr>
        <w:spacing w:before="1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D33150" w:rsidRPr="003B238F">
        <w:rPr>
          <w:rFonts w:ascii="Times New Roman" w:eastAsia="Times New Roman" w:hAnsi="Times New Roman"/>
          <w:color w:val="000000"/>
          <w:sz w:val="24"/>
          <w:szCs w:val="24"/>
          <w:lang w:eastAsia="ru-RU"/>
        </w:rPr>
        <w:t>При проведении стресс-тестирования рисков НКЦ оценке подлежат присущие его деятельности финансовые риски, включая кредитный, рыночный риски и риск ликвидности, а также риски, связанные с совмещением деятельности центрального контрагента с иными видами деятельности.</w:t>
      </w:r>
    </w:p>
    <w:p w14:paraId="16D939F2" w14:textId="2C77A685" w:rsidR="00D33150" w:rsidRPr="003B238F" w:rsidRDefault="00653954" w:rsidP="00653954">
      <w:pPr>
        <w:spacing w:before="1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D33150" w:rsidRPr="003B238F">
        <w:rPr>
          <w:rFonts w:ascii="Times New Roman" w:eastAsia="Times New Roman" w:hAnsi="Times New Roman"/>
          <w:color w:val="000000"/>
          <w:sz w:val="24"/>
          <w:szCs w:val="24"/>
          <w:lang w:eastAsia="ru-RU"/>
        </w:rPr>
        <w:t xml:space="preserve">Риск центрального контрагента определяет величину потерь вследствие неисполнения, несвоевременного либо неполного исполнения недобросовестными участниками клиринга на рынках Московской Биржи своих финансовых обязательств перед ЦК. НКЦ использует модель одновременного урегулирования крупнейших дефолтных нетто-позиций контрагентов. При определении количества используемых дефолтов участников клиринга НКЦ учитывает рекомендации CPMI-IOSCO для центральных контрагентов. </w:t>
      </w:r>
    </w:p>
    <w:p w14:paraId="2690B442" w14:textId="5DB9457A" w:rsidR="00D33150" w:rsidRPr="003B238F" w:rsidRDefault="00653954" w:rsidP="00653954">
      <w:pPr>
        <w:spacing w:before="1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D33150" w:rsidRPr="003B238F">
        <w:rPr>
          <w:rFonts w:ascii="Times New Roman" w:eastAsia="Times New Roman" w:hAnsi="Times New Roman"/>
          <w:color w:val="000000"/>
          <w:sz w:val="24"/>
          <w:szCs w:val="24"/>
          <w:lang w:eastAsia="ru-RU"/>
        </w:rPr>
        <w:t>В связи со сменой статуса НКЦ</w:t>
      </w:r>
      <w:r w:rsidR="00184FEB">
        <w:rPr>
          <w:rFonts w:ascii="Times New Roman" w:eastAsia="Times New Roman" w:hAnsi="Times New Roman"/>
          <w:color w:val="000000"/>
          <w:sz w:val="24"/>
          <w:szCs w:val="24"/>
          <w:lang w:eastAsia="ru-RU"/>
        </w:rPr>
        <w:t xml:space="preserve"> </w:t>
      </w:r>
      <w:r w:rsidR="00D33150" w:rsidRPr="003B238F">
        <w:rPr>
          <w:rFonts w:ascii="Times New Roman" w:eastAsia="Times New Roman" w:hAnsi="Times New Roman"/>
          <w:color w:val="000000"/>
          <w:sz w:val="24"/>
          <w:szCs w:val="24"/>
          <w:lang w:eastAsia="ru-RU"/>
        </w:rPr>
        <w:t>стресс-тестирование проводится в соответствии с Положением Банка России от 30 декабря 2016 г. №</w:t>
      </w:r>
      <w:r w:rsidR="00D33150">
        <w:rPr>
          <w:rFonts w:ascii="Times New Roman" w:eastAsia="Times New Roman" w:hAnsi="Times New Roman"/>
          <w:color w:val="000000"/>
          <w:sz w:val="24"/>
          <w:szCs w:val="24"/>
          <w:lang w:eastAsia="ru-RU"/>
        </w:rPr>
        <w:t xml:space="preserve"> </w:t>
      </w:r>
      <w:r w:rsidR="00D33150" w:rsidRPr="003B238F">
        <w:rPr>
          <w:rFonts w:ascii="Times New Roman" w:eastAsia="Times New Roman" w:hAnsi="Times New Roman"/>
          <w:color w:val="000000"/>
          <w:sz w:val="24"/>
          <w:szCs w:val="24"/>
          <w:lang w:eastAsia="ru-RU"/>
        </w:rPr>
        <w:t xml:space="preserve">576-П </w:t>
      </w:r>
      <w:r w:rsidR="00D33150">
        <w:rPr>
          <w:rFonts w:ascii="Times New Roman" w:eastAsia="Times New Roman" w:hAnsi="Times New Roman"/>
          <w:color w:val="000000"/>
          <w:sz w:val="24"/>
          <w:szCs w:val="24"/>
          <w:lang w:eastAsia="ru-RU"/>
        </w:rPr>
        <w:t>«О</w:t>
      </w:r>
      <w:r w:rsidR="00D33150" w:rsidRPr="003B238F">
        <w:rPr>
          <w:rFonts w:ascii="Times New Roman" w:eastAsia="Times New Roman" w:hAnsi="Times New Roman"/>
          <w:color w:val="000000"/>
          <w:sz w:val="24"/>
          <w:szCs w:val="24"/>
          <w:lang w:eastAsia="ru-RU"/>
        </w:rPr>
        <w:t xml:space="preserve"> требованиях к методикам стресс-тестирования рисков и оценки точности модели центрального контрагента, к стресс-тестированию рисков и оценке точности модели центрального контрагента, порядке и сроках представления информации о результатах стресс-тестирования рисков центрального контрагента участникам клиринга</w:t>
      </w:r>
      <w:r w:rsidR="00D33150">
        <w:rPr>
          <w:rFonts w:ascii="Times New Roman" w:eastAsia="Times New Roman" w:hAnsi="Times New Roman"/>
          <w:color w:val="000000"/>
          <w:sz w:val="24"/>
          <w:szCs w:val="24"/>
          <w:lang w:eastAsia="ru-RU"/>
        </w:rPr>
        <w:t>»</w:t>
      </w:r>
      <w:r w:rsidR="00D33150" w:rsidRPr="003B238F">
        <w:rPr>
          <w:rFonts w:ascii="Times New Roman" w:eastAsia="Times New Roman" w:hAnsi="Times New Roman"/>
          <w:color w:val="000000"/>
          <w:sz w:val="24"/>
          <w:szCs w:val="24"/>
          <w:lang w:eastAsia="ru-RU"/>
        </w:rPr>
        <w:t>.</w:t>
      </w:r>
    </w:p>
    <w:p w14:paraId="18601C6C" w14:textId="763D5B0E" w:rsidR="00D33150" w:rsidRPr="003B238F" w:rsidRDefault="00653954" w:rsidP="00653954">
      <w:pPr>
        <w:spacing w:before="1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D33150" w:rsidRPr="003B238F">
        <w:rPr>
          <w:rFonts w:ascii="Times New Roman" w:eastAsia="Times New Roman" w:hAnsi="Times New Roman"/>
          <w:color w:val="000000"/>
          <w:sz w:val="24"/>
          <w:szCs w:val="24"/>
          <w:lang w:eastAsia="ru-RU"/>
        </w:rPr>
        <w:t>Стресс-тестирование рисков НКЦ включает прямое и обратное стресс-тестирование.</w:t>
      </w:r>
    </w:p>
    <w:p w14:paraId="3A2F29E9" w14:textId="28077130" w:rsidR="00D33150" w:rsidRPr="003B238F" w:rsidRDefault="00653954" w:rsidP="00653954">
      <w:pPr>
        <w:spacing w:before="1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D33150" w:rsidRPr="003B238F">
        <w:rPr>
          <w:rFonts w:ascii="Times New Roman" w:eastAsia="Times New Roman" w:hAnsi="Times New Roman"/>
          <w:color w:val="000000"/>
          <w:sz w:val="24"/>
          <w:szCs w:val="24"/>
          <w:lang w:eastAsia="ru-RU"/>
        </w:rPr>
        <w:t xml:space="preserve">Прямое стресс-тестирование рисков представляет собой анализ достаточности коллективного клирингового обеспечения и выделенного капитала НКЦ (для покрытия потенциальных потерь (не покрытых обеспечением), вызванных неисполнением или ненадлежащим исполнением обязательств двумя крупнейшими по потерям участниками клиринга, а также анализ чувствительности достаточности средств центрального контрагента к возникновению отдельных факторов риска. </w:t>
      </w:r>
      <w:bookmarkStart w:id="33" w:name="P60"/>
      <w:bookmarkEnd w:id="33"/>
      <w:r w:rsidR="00D33150" w:rsidRPr="003B238F">
        <w:rPr>
          <w:rFonts w:ascii="Times New Roman" w:eastAsia="Times New Roman" w:hAnsi="Times New Roman"/>
          <w:color w:val="000000"/>
          <w:sz w:val="24"/>
          <w:szCs w:val="24"/>
          <w:lang w:eastAsia="ru-RU"/>
        </w:rPr>
        <w:t>Обратное стресс-тестирование представляет собой определение гипотетических стресс-сценариев (значений факторов риска), при которых размер средств центрального контрагента, размер ликвидных средств принимают критические (минимально (максимально) допустимые) значения, установленные в методике стресс-тестирования рисков центрального контрагента, с учетом необходимости соблюдения регуляторных требований Банка России.</w:t>
      </w:r>
    </w:p>
    <w:p w14:paraId="3E679ED8" w14:textId="5CF0DCB5" w:rsidR="00D33150" w:rsidRPr="003B238F" w:rsidRDefault="00653954" w:rsidP="00653954">
      <w:pPr>
        <w:spacing w:before="1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D33150" w:rsidRPr="003B238F">
        <w:rPr>
          <w:rFonts w:ascii="Times New Roman" w:eastAsia="Times New Roman" w:hAnsi="Times New Roman"/>
          <w:color w:val="000000"/>
          <w:sz w:val="24"/>
          <w:szCs w:val="24"/>
          <w:lang w:eastAsia="ru-RU"/>
        </w:rPr>
        <w:t>Стресс-тестирование рисков в НКЦ проводится с использованием исторических и гипотетических стресс-сценариев.</w:t>
      </w:r>
    </w:p>
    <w:p w14:paraId="28459E16" w14:textId="4A8A632A" w:rsidR="00D33150" w:rsidRPr="003B238F" w:rsidRDefault="00653954" w:rsidP="00653954">
      <w:pPr>
        <w:spacing w:before="1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w:t>
      </w:r>
      <w:r w:rsidR="00D33150" w:rsidRPr="003B238F">
        <w:rPr>
          <w:rFonts w:ascii="Times New Roman" w:eastAsia="Times New Roman" w:hAnsi="Times New Roman"/>
          <w:color w:val="000000"/>
          <w:sz w:val="24"/>
          <w:szCs w:val="24"/>
          <w:lang w:eastAsia="ru-RU"/>
        </w:rPr>
        <w:t>Анализ чувствительности к отдельным факторам риска осуществляется путем изменения значения данного (отдельного) фактора риска при проведении прямого стресс-тестирования рисков центрального контрагента при условии, что остальные факторы риска остаются неизменными. НКЦ проводит анализ обоснованности заданных изменений в факторах риска (стресс-сценариев), влияющих на его финансовую устойчивость и используемых при проведении стресс-тестирования рисков центрального контрагента.</w:t>
      </w:r>
    </w:p>
    <w:p w14:paraId="11CE6EC3" w14:textId="56F4362C" w:rsidR="00D33150" w:rsidRDefault="00653954" w:rsidP="00653954">
      <w:pPr>
        <w:spacing w:before="1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D33150" w:rsidRPr="003B238F">
        <w:rPr>
          <w:rFonts w:ascii="Times New Roman" w:eastAsia="Times New Roman" w:hAnsi="Times New Roman"/>
          <w:color w:val="000000"/>
          <w:sz w:val="24"/>
          <w:szCs w:val="24"/>
          <w:lang w:eastAsia="ru-RU"/>
        </w:rPr>
        <w:t>Итоги стресс-тестирования, проводимого в 2017 году, свидетельствуют о способности НКЦ сохранить общую финансовую устойчивость без возникновения угрозы непрерывности деятельности, определяемую через достаточность источников покрытия рисков, в условиях смоделированных шоков и их сочетания. Финансовых ресурсов ЦК (уровней защиты) достаточно для покрытия возможных потерь (не покрытых обеспечением)</w:t>
      </w:r>
      <w:r w:rsidR="00184FEB">
        <w:rPr>
          <w:rFonts w:ascii="Times New Roman" w:eastAsia="Times New Roman" w:hAnsi="Times New Roman"/>
          <w:color w:val="000000"/>
          <w:sz w:val="24"/>
          <w:szCs w:val="24"/>
          <w:lang w:eastAsia="ru-RU"/>
        </w:rPr>
        <w:t>,</w:t>
      </w:r>
      <w:r w:rsidR="00D33150" w:rsidRPr="003B238F">
        <w:rPr>
          <w:rFonts w:ascii="Times New Roman" w:eastAsia="Times New Roman" w:hAnsi="Times New Roman"/>
          <w:color w:val="000000"/>
          <w:sz w:val="24"/>
          <w:szCs w:val="24"/>
          <w:lang w:eastAsia="ru-RU"/>
        </w:rPr>
        <w:t xml:space="preserve"> вызванных неисполнением или ненадлежащим исполнением обязательств двумя крупнейшими п</w:t>
      </w:r>
      <w:r w:rsidR="00D33150">
        <w:rPr>
          <w:rFonts w:ascii="Times New Roman" w:eastAsia="Times New Roman" w:hAnsi="Times New Roman"/>
          <w:color w:val="000000"/>
          <w:sz w:val="24"/>
          <w:szCs w:val="24"/>
          <w:lang w:eastAsia="ru-RU"/>
        </w:rPr>
        <w:t>о потерям участниками клиринга.</w:t>
      </w:r>
    </w:p>
    <w:p w14:paraId="31FA882B" w14:textId="77777777" w:rsidR="00653954" w:rsidRDefault="00653954" w:rsidP="00C324FE">
      <w:pPr>
        <w:widowControl w:val="0"/>
        <w:tabs>
          <w:tab w:val="left" w:pos="8820"/>
        </w:tabs>
        <w:overflowPunct w:val="0"/>
        <w:autoSpaceDE w:val="0"/>
        <w:autoSpaceDN w:val="0"/>
        <w:adjustRightInd w:val="0"/>
        <w:ind w:left="709" w:right="76"/>
        <w:jc w:val="center"/>
        <w:textAlignment w:val="baseline"/>
        <w:rPr>
          <w:rFonts w:ascii="Times New Roman" w:eastAsia="Times New Roman" w:hAnsi="Times New Roman"/>
          <w:b/>
          <w:sz w:val="28"/>
          <w:szCs w:val="28"/>
          <w:lang w:eastAsia="ru-RU"/>
        </w:rPr>
      </w:pPr>
    </w:p>
    <w:p w14:paraId="377BEE3B" w14:textId="71CF1F8E" w:rsidR="00C324FE" w:rsidRPr="00944739" w:rsidRDefault="00C324FE" w:rsidP="00722C56">
      <w:pPr>
        <w:widowControl w:val="0"/>
        <w:overflowPunct w:val="0"/>
        <w:autoSpaceDE w:val="0"/>
        <w:autoSpaceDN w:val="0"/>
        <w:adjustRightInd w:val="0"/>
        <w:ind w:firstLine="360"/>
        <w:jc w:val="center"/>
        <w:textAlignment w:val="baseline"/>
        <w:outlineLvl w:val="0"/>
        <w:rPr>
          <w:rFonts w:ascii="Times New Roman" w:eastAsia="Times New Roman" w:hAnsi="Times New Roman"/>
          <w:b/>
          <w:sz w:val="32"/>
          <w:szCs w:val="32"/>
          <w:lang w:eastAsia="ru-RU"/>
        </w:rPr>
      </w:pPr>
      <w:bookmarkStart w:id="34" w:name="_Toc510776681"/>
      <w:r w:rsidRPr="00944739">
        <w:rPr>
          <w:rFonts w:ascii="Times New Roman" w:eastAsia="Times New Roman" w:hAnsi="Times New Roman" w:cs="Arial"/>
          <w:b/>
          <w:sz w:val="32"/>
          <w:szCs w:val="32"/>
          <w:lang w:eastAsia="ru-RU"/>
        </w:rPr>
        <w:t>8. Система внутреннего контроля</w:t>
      </w:r>
      <w:bookmarkEnd w:id="34"/>
      <w:r w:rsidR="000E6DC5" w:rsidRPr="00944739">
        <w:rPr>
          <w:rFonts w:ascii="Times New Roman" w:eastAsia="Times New Roman" w:hAnsi="Times New Roman"/>
          <w:b/>
          <w:sz w:val="32"/>
          <w:szCs w:val="32"/>
          <w:lang w:eastAsia="ru-RU"/>
        </w:rPr>
        <w:t xml:space="preserve"> </w:t>
      </w:r>
    </w:p>
    <w:p w14:paraId="286F1A89" w14:textId="77777777" w:rsidR="00C324FE" w:rsidRPr="00C324FE" w:rsidRDefault="00C324FE" w:rsidP="00D1323B">
      <w:pPr>
        <w:autoSpaceDE w:val="0"/>
        <w:autoSpaceDN w:val="0"/>
        <w:adjustRightInd w:val="0"/>
        <w:rPr>
          <w:rFonts w:ascii="Times New Roman" w:eastAsia="Calibri" w:hAnsi="Times New Roman"/>
          <w:b/>
          <w:bCs/>
          <w:color w:val="000000"/>
          <w:sz w:val="23"/>
          <w:szCs w:val="23"/>
        </w:rPr>
      </w:pPr>
    </w:p>
    <w:p w14:paraId="4959D016" w14:textId="77777777" w:rsidR="00C324FE" w:rsidRPr="00C324FE" w:rsidRDefault="006031E7" w:rsidP="00D1323B">
      <w:pPr>
        <w:autoSpaceDE w:val="0"/>
        <w:autoSpaceDN w:val="0"/>
        <w:adjustRightInd w:val="0"/>
        <w:spacing w:after="120"/>
        <w:jc w:val="both"/>
        <w:rPr>
          <w:rFonts w:ascii="Times New Roman" w:eastAsia="Calibri" w:hAnsi="Times New Roman"/>
          <w:bCs/>
          <w:color w:val="000000"/>
          <w:sz w:val="24"/>
          <w:szCs w:val="24"/>
        </w:rPr>
      </w:pPr>
      <w:r>
        <w:rPr>
          <w:rFonts w:ascii="Times New Roman" w:eastAsia="Calibri" w:hAnsi="Times New Roman"/>
          <w:bCs/>
          <w:color w:val="000000"/>
          <w:sz w:val="24"/>
          <w:szCs w:val="24"/>
        </w:rPr>
        <w:t xml:space="preserve">     </w:t>
      </w:r>
      <w:r w:rsidR="00C324FE" w:rsidRPr="00C324FE">
        <w:rPr>
          <w:rFonts w:ascii="Times New Roman" w:eastAsia="Calibri" w:hAnsi="Times New Roman"/>
          <w:bCs/>
          <w:color w:val="000000"/>
          <w:sz w:val="24"/>
          <w:szCs w:val="24"/>
        </w:rPr>
        <w:t xml:space="preserve">Изменение в 2017 году статуса НКЦ с банка на небанковскую кредитную организацию-центральный контрагент было одним из важнейших событий года </w:t>
      </w:r>
      <w:r w:rsidR="00E477D5">
        <w:rPr>
          <w:rFonts w:ascii="Times New Roman" w:eastAsia="Calibri" w:hAnsi="Times New Roman"/>
          <w:bCs/>
          <w:color w:val="000000"/>
          <w:sz w:val="24"/>
          <w:szCs w:val="24"/>
        </w:rPr>
        <w:t xml:space="preserve">также </w:t>
      </w:r>
      <w:r w:rsidR="00C324FE" w:rsidRPr="00C324FE">
        <w:rPr>
          <w:rFonts w:ascii="Times New Roman" w:eastAsia="Calibri" w:hAnsi="Times New Roman"/>
          <w:bCs/>
          <w:color w:val="000000"/>
          <w:sz w:val="24"/>
          <w:szCs w:val="24"/>
        </w:rPr>
        <w:t>и для системы внутреннего контроля НКЦ. Все участники системы внутреннего контроля принимали активное участие в подготовительных процедурах и внесении изменений во внутренние нормативные документы НКЦ, включая разработку дорожной карты и связанное с этим взаимодействие с регулятором.</w:t>
      </w:r>
    </w:p>
    <w:p w14:paraId="1590BF6D" w14:textId="77777777" w:rsidR="00C324FE" w:rsidRPr="00C324FE" w:rsidRDefault="006031E7" w:rsidP="006031E7">
      <w:pPr>
        <w:autoSpaceDE w:val="0"/>
        <w:autoSpaceDN w:val="0"/>
        <w:adjustRightInd w:val="0"/>
        <w:spacing w:after="120"/>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C324FE" w:rsidRPr="00C324FE">
        <w:rPr>
          <w:rFonts w:ascii="Times New Roman" w:eastAsia="Calibri" w:hAnsi="Times New Roman"/>
          <w:color w:val="000000"/>
          <w:sz w:val="24"/>
          <w:szCs w:val="24"/>
        </w:rPr>
        <w:t>Проведение независимых аудитов деятельности НКЦ является важной составляющей контроля эффективности функционирования комплаенс.</w:t>
      </w:r>
    </w:p>
    <w:p w14:paraId="6D0C6D7F" w14:textId="77777777" w:rsidR="00C324FE" w:rsidRPr="00C324FE" w:rsidRDefault="006031E7" w:rsidP="006031E7">
      <w:pPr>
        <w:autoSpaceDE w:val="0"/>
        <w:autoSpaceDN w:val="0"/>
        <w:adjustRightInd w:val="0"/>
        <w:spacing w:after="120"/>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C324FE" w:rsidRPr="00C324FE">
        <w:rPr>
          <w:rFonts w:ascii="Times New Roman" w:eastAsia="Calibri" w:hAnsi="Times New Roman"/>
          <w:color w:val="000000"/>
          <w:sz w:val="24"/>
          <w:szCs w:val="24"/>
        </w:rPr>
        <w:t xml:space="preserve">Независимый аудит общей системы внутреннего контроля Группы </w:t>
      </w:r>
      <w:r>
        <w:rPr>
          <w:rFonts w:ascii="Times New Roman" w:eastAsia="Calibri" w:hAnsi="Times New Roman"/>
          <w:color w:val="000000"/>
          <w:sz w:val="24"/>
          <w:szCs w:val="24"/>
        </w:rPr>
        <w:t>«</w:t>
      </w:r>
      <w:r w:rsidR="00C324FE" w:rsidRPr="00C324FE">
        <w:rPr>
          <w:rFonts w:ascii="Times New Roman" w:eastAsia="Calibri" w:hAnsi="Times New Roman"/>
          <w:color w:val="000000"/>
          <w:sz w:val="24"/>
          <w:szCs w:val="24"/>
        </w:rPr>
        <w:t>Московская Биржа</w:t>
      </w:r>
      <w:r>
        <w:rPr>
          <w:rFonts w:ascii="Times New Roman" w:eastAsia="Calibri" w:hAnsi="Times New Roman"/>
          <w:color w:val="000000"/>
          <w:sz w:val="24"/>
          <w:szCs w:val="24"/>
        </w:rPr>
        <w:t>»</w:t>
      </w:r>
      <w:r w:rsidR="00C324FE" w:rsidRPr="00C324FE">
        <w:rPr>
          <w:rFonts w:ascii="Times New Roman" w:eastAsia="Calibri" w:hAnsi="Times New Roman"/>
          <w:color w:val="000000"/>
          <w:sz w:val="24"/>
          <w:szCs w:val="24"/>
        </w:rPr>
        <w:t>,  в 2017 году подтвердил соответствие системы требованиям законодательства и лучшим мировым практикам. По результату аудита выработаны планы, начата работа по устранению выявленных недостатков, которая продолжается в 2018 году.</w:t>
      </w:r>
    </w:p>
    <w:p w14:paraId="10D1841F" w14:textId="77777777" w:rsidR="00C324FE" w:rsidRPr="00C324FE" w:rsidRDefault="006031E7" w:rsidP="006031E7">
      <w:pPr>
        <w:autoSpaceDE w:val="0"/>
        <w:autoSpaceDN w:val="0"/>
        <w:adjustRightInd w:val="0"/>
        <w:spacing w:after="120"/>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C324FE" w:rsidRPr="00C324FE">
        <w:rPr>
          <w:rFonts w:ascii="Times New Roman" w:eastAsia="Calibri" w:hAnsi="Times New Roman"/>
          <w:color w:val="000000"/>
          <w:sz w:val="24"/>
          <w:szCs w:val="24"/>
        </w:rPr>
        <w:t xml:space="preserve">В 2017 году независимый аудит информационной безопасности </w:t>
      </w:r>
      <w:r>
        <w:rPr>
          <w:rFonts w:ascii="Times New Roman" w:eastAsia="Calibri" w:hAnsi="Times New Roman"/>
          <w:color w:val="000000"/>
          <w:sz w:val="24"/>
          <w:szCs w:val="24"/>
        </w:rPr>
        <w:t xml:space="preserve">компаний, входящих в </w:t>
      </w:r>
      <w:r w:rsidR="00C324FE" w:rsidRPr="00C324FE">
        <w:rPr>
          <w:rFonts w:ascii="Times New Roman" w:eastAsia="Calibri" w:hAnsi="Times New Roman"/>
          <w:color w:val="000000"/>
          <w:sz w:val="24"/>
          <w:szCs w:val="24"/>
        </w:rPr>
        <w:t>Групп</w:t>
      </w:r>
      <w:r>
        <w:rPr>
          <w:rFonts w:ascii="Times New Roman" w:eastAsia="Calibri" w:hAnsi="Times New Roman"/>
          <w:color w:val="000000"/>
          <w:sz w:val="24"/>
          <w:szCs w:val="24"/>
        </w:rPr>
        <w:t>у «</w:t>
      </w:r>
      <w:r w:rsidR="00C324FE" w:rsidRPr="00C324FE">
        <w:rPr>
          <w:rFonts w:ascii="Times New Roman" w:eastAsia="Calibri" w:hAnsi="Times New Roman"/>
          <w:color w:val="000000"/>
          <w:sz w:val="24"/>
          <w:szCs w:val="24"/>
        </w:rPr>
        <w:t>Московская биржа</w:t>
      </w:r>
      <w:r>
        <w:rPr>
          <w:rFonts w:ascii="Times New Roman" w:eastAsia="Calibri" w:hAnsi="Times New Roman"/>
          <w:color w:val="000000"/>
          <w:sz w:val="24"/>
          <w:szCs w:val="24"/>
        </w:rPr>
        <w:t>»</w:t>
      </w:r>
      <w:r w:rsidR="00D76935">
        <w:rPr>
          <w:rFonts w:ascii="Times New Roman" w:eastAsia="Calibri" w:hAnsi="Times New Roman"/>
          <w:color w:val="000000"/>
          <w:sz w:val="24"/>
          <w:szCs w:val="24"/>
        </w:rPr>
        <w:t>,</w:t>
      </w:r>
      <w:r w:rsidR="00C324FE" w:rsidRPr="00C324FE">
        <w:rPr>
          <w:rFonts w:ascii="Times New Roman" w:eastAsia="Calibri" w:hAnsi="Times New Roman"/>
          <w:color w:val="000000"/>
          <w:sz w:val="24"/>
          <w:szCs w:val="24"/>
        </w:rPr>
        <w:t xml:space="preserve"> подтвердил, что процессы обеспечения </w:t>
      </w:r>
      <w:r>
        <w:rPr>
          <w:rFonts w:ascii="Times New Roman" w:eastAsia="Calibri" w:hAnsi="Times New Roman"/>
          <w:color w:val="000000"/>
          <w:sz w:val="24"/>
          <w:szCs w:val="24"/>
        </w:rPr>
        <w:t xml:space="preserve">информационной безопасности </w:t>
      </w:r>
      <w:r w:rsidR="00C324FE" w:rsidRPr="00C324FE">
        <w:rPr>
          <w:rFonts w:ascii="Times New Roman" w:eastAsia="Calibri" w:hAnsi="Times New Roman"/>
          <w:color w:val="000000"/>
          <w:sz w:val="24"/>
          <w:szCs w:val="24"/>
        </w:rPr>
        <w:t>в компаниях Группы</w:t>
      </w:r>
      <w:r>
        <w:rPr>
          <w:rFonts w:ascii="Times New Roman" w:eastAsia="Calibri" w:hAnsi="Times New Roman"/>
          <w:color w:val="000000"/>
          <w:sz w:val="24"/>
          <w:szCs w:val="24"/>
        </w:rPr>
        <w:t xml:space="preserve"> </w:t>
      </w:r>
      <w:r w:rsidR="00C324FE" w:rsidRPr="00C324FE">
        <w:rPr>
          <w:rFonts w:ascii="Times New Roman" w:eastAsia="Calibri" w:hAnsi="Times New Roman"/>
          <w:color w:val="000000"/>
          <w:sz w:val="24"/>
          <w:szCs w:val="24"/>
        </w:rPr>
        <w:t>организованы на достаточно высоком уровне и в соответствии с требованиями Банка России.</w:t>
      </w:r>
    </w:p>
    <w:p w14:paraId="50C64ACA" w14:textId="73469D94" w:rsidR="00C324FE" w:rsidRPr="00C324FE" w:rsidRDefault="00C324FE" w:rsidP="006031E7">
      <w:pPr>
        <w:autoSpaceDE w:val="0"/>
        <w:autoSpaceDN w:val="0"/>
        <w:adjustRightInd w:val="0"/>
        <w:spacing w:after="120"/>
        <w:jc w:val="both"/>
        <w:rPr>
          <w:rFonts w:ascii="Times New Roman" w:eastAsia="Calibri" w:hAnsi="Times New Roman"/>
          <w:bCs/>
          <w:color w:val="000000"/>
          <w:sz w:val="24"/>
          <w:szCs w:val="24"/>
        </w:rPr>
      </w:pPr>
      <w:r w:rsidRPr="00C324FE">
        <w:rPr>
          <w:rFonts w:ascii="Times New Roman" w:eastAsia="Calibri" w:hAnsi="Times New Roman"/>
          <w:bCs/>
          <w:color w:val="000000"/>
          <w:sz w:val="24"/>
          <w:szCs w:val="24"/>
        </w:rPr>
        <w:t xml:space="preserve"> </w:t>
      </w:r>
      <w:r w:rsidR="006031E7">
        <w:rPr>
          <w:rFonts w:ascii="Times New Roman" w:eastAsia="Calibri" w:hAnsi="Times New Roman"/>
          <w:bCs/>
          <w:color w:val="000000"/>
          <w:sz w:val="24"/>
          <w:szCs w:val="24"/>
        </w:rPr>
        <w:t xml:space="preserve">    </w:t>
      </w:r>
      <w:r w:rsidRPr="00C324FE">
        <w:rPr>
          <w:rFonts w:ascii="Times New Roman" w:eastAsia="Calibri" w:hAnsi="Times New Roman"/>
          <w:bCs/>
          <w:color w:val="000000"/>
          <w:sz w:val="24"/>
          <w:szCs w:val="24"/>
        </w:rPr>
        <w:t xml:space="preserve">В </w:t>
      </w:r>
      <w:r w:rsidR="00D76935">
        <w:rPr>
          <w:rFonts w:ascii="Times New Roman" w:eastAsia="Calibri" w:hAnsi="Times New Roman"/>
          <w:bCs/>
          <w:color w:val="000000"/>
          <w:sz w:val="24"/>
          <w:szCs w:val="24"/>
        </w:rPr>
        <w:t>отчетном</w:t>
      </w:r>
      <w:r w:rsidRPr="00C324FE">
        <w:rPr>
          <w:rFonts w:ascii="Times New Roman" w:eastAsia="Calibri" w:hAnsi="Times New Roman"/>
          <w:bCs/>
          <w:color w:val="000000"/>
          <w:sz w:val="24"/>
          <w:szCs w:val="24"/>
        </w:rPr>
        <w:t xml:space="preserve"> году продолжалось развитие функции комплаенс в направлении совершенствования внутренних документов, проведения мероприятий, направленных на предотвращение конфликта интересов, реализацию антикоррупционной политики, противодействие легализации (отмыванию) доходов, полученных преступным путем, и финансированию терроризма, выполнение требований закона по налогообложению иностранных счетов FATCA и стандарта по международному обмену финансовой информацией </w:t>
      </w:r>
      <w:r w:rsidRPr="00C324FE">
        <w:rPr>
          <w:rFonts w:ascii="Times New Roman" w:eastAsia="Calibri" w:hAnsi="Times New Roman"/>
          <w:bCs/>
          <w:color w:val="000000"/>
          <w:sz w:val="24"/>
          <w:szCs w:val="24"/>
          <w:lang w:val="en-US"/>
        </w:rPr>
        <w:t>AEoI</w:t>
      </w:r>
      <w:r w:rsidRPr="00C324FE">
        <w:rPr>
          <w:rFonts w:ascii="Times New Roman" w:eastAsia="Calibri" w:hAnsi="Times New Roman"/>
          <w:bCs/>
          <w:color w:val="000000"/>
          <w:sz w:val="24"/>
          <w:szCs w:val="24"/>
        </w:rPr>
        <w:t>/</w:t>
      </w:r>
      <w:r w:rsidRPr="00C324FE">
        <w:rPr>
          <w:rFonts w:ascii="Times New Roman" w:eastAsia="Calibri" w:hAnsi="Times New Roman"/>
          <w:bCs/>
          <w:color w:val="000000"/>
          <w:sz w:val="24"/>
          <w:szCs w:val="24"/>
          <w:lang w:val="en-US"/>
        </w:rPr>
        <w:t>CRS</w:t>
      </w:r>
      <w:r w:rsidRPr="00C324FE">
        <w:rPr>
          <w:rFonts w:ascii="Times New Roman" w:eastAsia="Calibri" w:hAnsi="Times New Roman"/>
          <w:bCs/>
          <w:color w:val="000000"/>
          <w:sz w:val="24"/>
          <w:szCs w:val="24"/>
        </w:rPr>
        <w:t>.</w:t>
      </w:r>
    </w:p>
    <w:p w14:paraId="623003B1" w14:textId="77777777" w:rsidR="00C324FE" w:rsidRPr="00C324FE" w:rsidRDefault="00D76935" w:rsidP="006031E7">
      <w:pPr>
        <w:autoSpaceDE w:val="0"/>
        <w:autoSpaceDN w:val="0"/>
        <w:adjustRightInd w:val="0"/>
        <w:spacing w:after="120"/>
        <w:jc w:val="both"/>
        <w:rPr>
          <w:rFonts w:ascii="Times New Roman" w:eastAsia="Calibri" w:hAnsi="Times New Roman"/>
          <w:bCs/>
          <w:color w:val="000000"/>
          <w:sz w:val="24"/>
          <w:szCs w:val="24"/>
        </w:rPr>
      </w:pPr>
      <w:r>
        <w:rPr>
          <w:rFonts w:ascii="Times New Roman" w:eastAsia="Calibri" w:hAnsi="Times New Roman"/>
          <w:bCs/>
          <w:color w:val="000000"/>
          <w:sz w:val="24"/>
          <w:szCs w:val="24"/>
        </w:rPr>
        <w:t xml:space="preserve">     </w:t>
      </w:r>
      <w:r w:rsidR="00C324FE" w:rsidRPr="00C324FE">
        <w:rPr>
          <w:rFonts w:ascii="Times New Roman" w:eastAsia="Calibri" w:hAnsi="Times New Roman"/>
          <w:bCs/>
          <w:color w:val="000000"/>
          <w:sz w:val="24"/>
          <w:szCs w:val="24"/>
        </w:rPr>
        <w:t xml:space="preserve">В рамках системы внутреннего контроля НКЦ, как части системы внутреннего контроля Группы </w:t>
      </w:r>
      <w:r>
        <w:rPr>
          <w:rFonts w:ascii="Times New Roman" w:eastAsia="Calibri" w:hAnsi="Times New Roman"/>
          <w:bCs/>
          <w:color w:val="000000"/>
          <w:sz w:val="24"/>
          <w:szCs w:val="24"/>
        </w:rPr>
        <w:t>«</w:t>
      </w:r>
      <w:r w:rsidR="00C324FE" w:rsidRPr="00C324FE">
        <w:rPr>
          <w:rFonts w:ascii="Times New Roman" w:eastAsia="Calibri" w:hAnsi="Times New Roman"/>
          <w:bCs/>
          <w:color w:val="000000"/>
          <w:sz w:val="24"/>
          <w:szCs w:val="24"/>
        </w:rPr>
        <w:t>Московская Биржа</w:t>
      </w:r>
      <w:r>
        <w:rPr>
          <w:rFonts w:ascii="Times New Roman" w:eastAsia="Calibri" w:hAnsi="Times New Roman"/>
          <w:bCs/>
          <w:color w:val="000000"/>
          <w:sz w:val="24"/>
          <w:szCs w:val="24"/>
        </w:rPr>
        <w:t>»,</w:t>
      </w:r>
      <w:r w:rsidR="00C324FE" w:rsidRPr="00C324FE">
        <w:rPr>
          <w:rFonts w:ascii="Times New Roman" w:eastAsia="Calibri" w:hAnsi="Times New Roman"/>
          <w:bCs/>
          <w:color w:val="000000"/>
          <w:sz w:val="24"/>
          <w:szCs w:val="24"/>
        </w:rPr>
        <w:t xml:space="preserve"> проводились мероприятия по повышению автоматизации процессов управления операционными рисками, в том числе связанными с регуляторными, правовыми и комплаенс рисками, а также рисками информационной безопасности путем внедрения автоматизированной платформы управления рисками, целью которого является автоматиза</w:t>
      </w:r>
      <w:r w:rsidR="00C324FE" w:rsidRPr="00C324FE">
        <w:rPr>
          <w:rFonts w:ascii="Times New Roman" w:eastAsia="Calibri" w:hAnsi="Times New Roman"/>
          <w:bCs/>
          <w:color w:val="000000"/>
          <w:sz w:val="24"/>
          <w:szCs w:val="24"/>
        </w:rPr>
        <w:lastRenderedPageBreak/>
        <w:t>ция процессов сбора данных о событиях операционного риска, планах и мероприятиях по его минимизации, а также генерации отчетности, в том числе групповой.</w:t>
      </w:r>
    </w:p>
    <w:p w14:paraId="670A951C" w14:textId="77777777" w:rsidR="00C324FE" w:rsidRPr="00C324FE" w:rsidRDefault="00D76935" w:rsidP="006031E7">
      <w:pPr>
        <w:autoSpaceDE w:val="0"/>
        <w:autoSpaceDN w:val="0"/>
        <w:adjustRightInd w:val="0"/>
        <w:spacing w:after="120"/>
        <w:jc w:val="both"/>
        <w:rPr>
          <w:rFonts w:ascii="Times New Roman" w:eastAsia="Calibri" w:hAnsi="Times New Roman"/>
          <w:bCs/>
          <w:color w:val="000000"/>
          <w:sz w:val="24"/>
          <w:szCs w:val="24"/>
        </w:rPr>
      </w:pPr>
      <w:r>
        <w:rPr>
          <w:rFonts w:ascii="Times New Roman" w:eastAsia="Calibri" w:hAnsi="Times New Roman"/>
          <w:bCs/>
          <w:color w:val="000000"/>
          <w:sz w:val="24"/>
          <w:szCs w:val="24"/>
        </w:rPr>
        <w:t xml:space="preserve">     </w:t>
      </w:r>
      <w:r w:rsidR="00C324FE" w:rsidRPr="00C324FE">
        <w:rPr>
          <w:rFonts w:ascii="Times New Roman" w:eastAsia="Calibri" w:hAnsi="Times New Roman"/>
          <w:bCs/>
          <w:color w:val="000000"/>
          <w:sz w:val="24"/>
          <w:szCs w:val="24"/>
        </w:rPr>
        <w:t>Внутренний контроль в НКЦ осуществляется  в соответствии с Федеральным законом от 02.12.1990 № 395-1 «О банках и банковской деятельности», Федеральным законом от 07.02.2011 № 7-ФЗ «О клиринге, клиринговой деятельности и центральном контрагенте», Положением Банка России от 16.12.2003 № 242-П «Об организации внутреннего контроля в кредитных организациях и банковских группах» и Приказом ФСФР России от 13.08.2013 №13-72/пз-н «Об утверждении требований по организации внутреннего контроля клиринговой организации, а также к документу, устанавливающему порядок осуществления внутреннего контроля клиринговой организации», с учетом характера и масштаба осуществляемых операций, уровня и сочетания принимаемых рисков, оказывающих взаимное влияние друг на друга в рамках деятельности НКЦ, как клиринговой организации-центрального контрагента, кредитной организации и оператора товарных поставок (ОТП).</w:t>
      </w:r>
    </w:p>
    <w:p w14:paraId="1C073E06" w14:textId="77777777" w:rsidR="00C324FE" w:rsidRPr="00D76935" w:rsidRDefault="00C324FE" w:rsidP="006031E7">
      <w:pPr>
        <w:autoSpaceDE w:val="0"/>
        <w:autoSpaceDN w:val="0"/>
        <w:adjustRightInd w:val="0"/>
        <w:spacing w:after="120"/>
        <w:jc w:val="both"/>
        <w:rPr>
          <w:rFonts w:ascii="Times New Roman" w:eastAsia="Calibri" w:hAnsi="Times New Roman"/>
          <w:bCs/>
          <w:i/>
          <w:color w:val="000000"/>
          <w:sz w:val="24"/>
          <w:szCs w:val="24"/>
        </w:rPr>
      </w:pPr>
      <w:r w:rsidRPr="00D76935">
        <w:rPr>
          <w:rFonts w:ascii="Times New Roman" w:eastAsia="Calibri" w:hAnsi="Times New Roman"/>
          <w:bCs/>
          <w:i/>
          <w:color w:val="000000"/>
          <w:sz w:val="24"/>
          <w:szCs w:val="24"/>
        </w:rPr>
        <w:t xml:space="preserve">    Внутренний контроль осуществляется в целях обеспечения:</w:t>
      </w:r>
    </w:p>
    <w:p w14:paraId="5CE32067" w14:textId="77777777" w:rsidR="00C324FE" w:rsidRPr="00C324FE" w:rsidRDefault="00D76935" w:rsidP="006031E7">
      <w:pPr>
        <w:numPr>
          <w:ilvl w:val="0"/>
          <w:numId w:val="44"/>
        </w:numPr>
        <w:autoSpaceDE w:val="0"/>
        <w:autoSpaceDN w:val="0"/>
        <w:adjustRightInd w:val="0"/>
        <w:spacing w:after="20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r w:rsidR="00C324FE" w:rsidRPr="00C324FE">
        <w:rPr>
          <w:rFonts w:ascii="Times New Roman" w:eastAsia="Times New Roman" w:hAnsi="Times New Roman"/>
          <w:sz w:val="24"/>
          <w:szCs w:val="24"/>
          <w:lang w:eastAsia="ru-RU"/>
        </w:rPr>
        <w:t>ффективности финансово-хозяйственной деятельности НКЦ при совершении банковских операций и других сделок, выполнении функции клиринговой организации и центрального контрагента, эффективности управления активами и пассивами, включая обеспечение сохранности активов, управления банковскими рисками/рисками центрального контрагента и ОТП;</w:t>
      </w:r>
    </w:p>
    <w:p w14:paraId="105F006A" w14:textId="77777777" w:rsidR="00C324FE" w:rsidRPr="00C324FE" w:rsidRDefault="00D76935" w:rsidP="006031E7">
      <w:pPr>
        <w:numPr>
          <w:ilvl w:val="0"/>
          <w:numId w:val="44"/>
        </w:numPr>
        <w:autoSpaceDE w:val="0"/>
        <w:autoSpaceDN w:val="0"/>
        <w:adjustRightInd w:val="0"/>
        <w:spacing w:after="20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00C324FE" w:rsidRPr="00C324FE">
        <w:rPr>
          <w:rFonts w:ascii="Times New Roman" w:eastAsia="Times New Roman" w:hAnsi="Times New Roman"/>
          <w:sz w:val="24"/>
          <w:szCs w:val="24"/>
          <w:lang w:eastAsia="ru-RU"/>
        </w:rPr>
        <w:t>остоверности, полноты, объективности и своевременности составления и представления финансовой, бухгалтерской, статистической и иной отчетности;</w:t>
      </w:r>
    </w:p>
    <w:p w14:paraId="279F92B0" w14:textId="77777777" w:rsidR="00C324FE" w:rsidRPr="00C324FE" w:rsidRDefault="00D76935" w:rsidP="00D1323B">
      <w:pPr>
        <w:numPr>
          <w:ilvl w:val="0"/>
          <w:numId w:val="44"/>
        </w:numPr>
        <w:autoSpaceDE w:val="0"/>
        <w:autoSpaceDN w:val="0"/>
        <w:adjustRightInd w:val="0"/>
        <w:spacing w:after="20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00C324FE" w:rsidRPr="00C324FE">
        <w:rPr>
          <w:rFonts w:ascii="Times New Roman" w:eastAsia="Times New Roman" w:hAnsi="Times New Roman"/>
          <w:sz w:val="24"/>
          <w:szCs w:val="24"/>
          <w:lang w:eastAsia="ru-RU"/>
        </w:rPr>
        <w:t>нформационной безопасности, т.е. защищенности интересов НКЦ в информационной сфере, представляющей собой совокупность информации, информационной инфраструктуры, субъектов, осуществляющих сбор, формирование, распространение и использование информации, а также системы регулирования возникающих при этом отношений;</w:t>
      </w:r>
    </w:p>
    <w:p w14:paraId="2FCB3BE9" w14:textId="77777777" w:rsidR="00C324FE" w:rsidRPr="00C324FE" w:rsidRDefault="00D76935" w:rsidP="006031E7">
      <w:pPr>
        <w:numPr>
          <w:ilvl w:val="0"/>
          <w:numId w:val="44"/>
        </w:numPr>
        <w:autoSpaceDE w:val="0"/>
        <w:autoSpaceDN w:val="0"/>
        <w:adjustRightInd w:val="0"/>
        <w:spacing w:after="20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00C324FE" w:rsidRPr="00C324FE">
        <w:rPr>
          <w:rFonts w:ascii="Times New Roman" w:eastAsia="Times New Roman" w:hAnsi="Times New Roman"/>
          <w:sz w:val="24"/>
          <w:szCs w:val="24"/>
          <w:lang w:eastAsia="ru-RU"/>
        </w:rPr>
        <w:t>облюдения требований законодательства Российской Федерации, Устава НКЦ и внутренних документов НКЦ;</w:t>
      </w:r>
    </w:p>
    <w:p w14:paraId="22C6288C" w14:textId="77777777" w:rsidR="00C324FE" w:rsidRPr="00C324FE" w:rsidRDefault="00D76935" w:rsidP="006031E7">
      <w:pPr>
        <w:numPr>
          <w:ilvl w:val="0"/>
          <w:numId w:val="44"/>
        </w:numPr>
        <w:autoSpaceDE w:val="0"/>
        <w:autoSpaceDN w:val="0"/>
        <w:adjustRightInd w:val="0"/>
        <w:spacing w:after="200"/>
        <w:ind w:left="1066"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00C324FE" w:rsidRPr="00C324FE">
        <w:rPr>
          <w:rFonts w:ascii="Times New Roman" w:eastAsia="Times New Roman" w:hAnsi="Times New Roman"/>
          <w:sz w:val="24"/>
          <w:szCs w:val="24"/>
          <w:lang w:eastAsia="ru-RU"/>
        </w:rPr>
        <w:t xml:space="preserve">сключения вовлечения НКЦ и участия его работников в осуществлении противоправной деятельности, в том числе легализации (отмывания) доходов, полученных преступным путем, и финансирования терроризма, в проведении сомнительных операций; </w:t>
      </w:r>
    </w:p>
    <w:p w14:paraId="270E409A" w14:textId="77777777" w:rsidR="00C324FE" w:rsidRPr="00C324FE" w:rsidRDefault="00D76935" w:rsidP="006031E7">
      <w:pPr>
        <w:numPr>
          <w:ilvl w:val="0"/>
          <w:numId w:val="44"/>
        </w:numPr>
        <w:autoSpaceDE w:val="0"/>
        <w:autoSpaceDN w:val="0"/>
        <w:adjustRightInd w:val="0"/>
        <w:spacing w:after="120"/>
        <w:ind w:left="1066"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00C324FE" w:rsidRPr="00C324FE">
        <w:rPr>
          <w:rFonts w:ascii="Times New Roman" w:eastAsia="Times New Roman" w:hAnsi="Times New Roman"/>
          <w:sz w:val="24"/>
          <w:szCs w:val="24"/>
          <w:lang w:eastAsia="ru-RU"/>
        </w:rPr>
        <w:t xml:space="preserve">нижения риска возникновения у НКЦ убытков в результате применения санкций и (или) иных мер воздействия со стороны надзорных органов, в том числе из-за несоблюдения законодательства Российской Федерации, внутренних документов НКЦ, а также своевременного представления в соответствии с законодательством Российской Федерации сведений в органы государственной власти и Банк России, поддержания эффективности системы внутреннего контроля по противодействию легализации (отмыванию) доходов и финансированию терроризма НКЦ на уровне, достаточном для управления </w:t>
      </w:r>
      <w:r w:rsidR="00C324FE" w:rsidRPr="00C324FE">
        <w:rPr>
          <w:rFonts w:ascii="Times New Roman" w:eastAsia="Times New Roman" w:hAnsi="Times New Roman"/>
          <w:sz w:val="24"/>
          <w:szCs w:val="24"/>
          <w:lang w:eastAsia="ru-RU"/>
        </w:rPr>
        <w:lastRenderedPageBreak/>
        <w:t>риском легализации (отмывания) доходов, полученных преступным путем, и финансирования терроризма.</w:t>
      </w:r>
    </w:p>
    <w:p w14:paraId="68D12132" w14:textId="77777777" w:rsidR="00C324FE" w:rsidRPr="00D76935" w:rsidRDefault="00C324FE" w:rsidP="006031E7">
      <w:pPr>
        <w:autoSpaceDE w:val="0"/>
        <w:autoSpaceDN w:val="0"/>
        <w:adjustRightInd w:val="0"/>
        <w:spacing w:after="120"/>
        <w:jc w:val="both"/>
        <w:rPr>
          <w:rFonts w:ascii="Times New Roman" w:eastAsia="Calibri" w:hAnsi="Times New Roman"/>
          <w:bCs/>
          <w:i/>
          <w:color w:val="000000"/>
          <w:sz w:val="24"/>
          <w:szCs w:val="24"/>
        </w:rPr>
      </w:pPr>
      <w:r w:rsidRPr="00C324FE">
        <w:rPr>
          <w:rFonts w:ascii="Times New Roman" w:eastAsia="Calibri" w:hAnsi="Times New Roman"/>
          <w:bCs/>
          <w:color w:val="000000"/>
          <w:sz w:val="24"/>
          <w:szCs w:val="24"/>
        </w:rPr>
        <w:t xml:space="preserve">    </w:t>
      </w:r>
      <w:r w:rsidRPr="00D76935">
        <w:rPr>
          <w:rFonts w:ascii="Times New Roman" w:eastAsia="Calibri" w:hAnsi="Times New Roman"/>
          <w:bCs/>
          <w:i/>
          <w:color w:val="000000"/>
          <w:sz w:val="24"/>
          <w:szCs w:val="24"/>
        </w:rPr>
        <w:t xml:space="preserve">Эффективность системы внутреннего контроля, функционирующей в НКЦ, достигается: </w:t>
      </w:r>
    </w:p>
    <w:p w14:paraId="39F35F6B" w14:textId="77777777" w:rsidR="00C324FE" w:rsidRPr="00C324FE" w:rsidRDefault="00D76935" w:rsidP="00D1323B">
      <w:pPr>
        <w:numPr>
          <w:ilvl w:val="0"/>
          <w:numId w:val="43"/>
        </w:numPr>
        <w:autoSpaceDE w:val="0"/>
        <w:autoSpaceDN w:val="0"/>
        <w:adjustRightInd w:val="0"/>
        <w:spacing w:after="200"/>
        <w:jc w:val="both"/>
        <w:rPr>
          <w:rFonts w:ascii="Times New Roman" w:eastAsia="Calibri" w:hAnsi="Times New Roman"/>
          <w:bCs/>
          <w:color w:val="000000"/>
          <w:sz w:val="24"/>
          <w:szCs w:val="24"/>
        </w:rPr>
      </w:pPr>
      <w:r>
        <w:rPr>
          <w:rFonts w:ascii="Times New Roman" w:eastAsia="Calibri" w:hAnsi="Times New Roman"/>
          <w:bCs/>
          <w:color w:val="000000"/>
          <w:sz w:val="24"/>
          <w:szCs w:val="24"/>
        </w:rPr>
        <w:t>п</w:t>
      </w:r>
      <w:r w:rsidR="00C324FE" w:rsidRPr="00C324FE">
        <w:rPr>
          <w:rFonts w:ascii="Times New Roman" w:eastAsia="Calibri" w:hAnsi="Times New Roman"/>
          <w:bCs/>
          <w:color w:val="000000"/>
          <w:sz w:val="24"/>
          <w:szCs w:val="24"/>
        </w:rPr>
        <w:t>роцедурами контроля, реализуемыми на всех уровнях управления;</w:t>
      </w:r>
    </w:p>
    <w:p w14:paraId="48A0670F" w14:textId="77777777" w:rsidR="00C324FE" w:rsidRPr="00C324FE" w:rsidRDefault="00D76935" w:rsidP="00D1323B">
      <w:pPr>
        <w:numPr>
          <w:ilvl w:val="0"/>
          <w:numId w:val="43"/>
        </w:numPr>
        <w:autoSpaceDE w:val="0"/>
        <w:autoSpaceDN w:val="0"/>
        <w:adjustRightInd w:val="0"/>
        <w:spacing w:after="200"/>
        <w:jc w:val="both"/>
        <w:rPr>
          <w:rFonts w:ascii="Times New Roman" w:eastAsia="Calibri" w:hAnsi="Times New Roman"/>
          <w:bCs/>
          <w:color w:val="000000"/>
          <w:sz w:val="24"/>
          <w:szCs w:val="24"/>
        </w:rPr>
      </w:pPr>
      <w:r>
        <w:rPr>
          <w:rFonts w:ascii="Times New Roman" w:eastAsia="Calibri" w:hAnsi="Times New Roman"/>
          <w:bCs/>
          <w:color w:val="000000"/>
          <w:sz w:val="24"/>
          <w:szCs w:val="24"/>
        </w:rPr>
        <w:t>о</w:t>
      </w:r>
      <w:r w:rsidR="00C324FE" w:rsidRPr="00C324FE">
        <w:rPr>
          <w:rFonts w:ascii="Times New Roman" w:eastAsia="Calibri" w:hAnsi="Times New Roman"/>
          <w:bCs/>
          <w:color w:val="000000"/>
          <w:sz w:val="24"/>
          <w:szCs w:val="24"/>
        </w:rPr>
        <w:t>существлением периодических проверок обеспечения соответствия всех областей деятельности установленным политикам и процедурам;</w:t>
      </w:r>
    </w:p>
    <w:p w14:paraId="4C9E8676" w14:textId="77777777" w:rsidR="00C324FE" w:rsidRPr="00C324FE" w:rsidRDefault="00D76935" w:rsidP="00D1323B">
      <w:pPr>
        <w:numPr>
          <w:ilvl w:val="0"/>
          <w:numId w:val="43"/>
        </w:numPr>
        <w:autoSpaceDE w:val="0"/>
        <w:autoSpaceDN w:val="0"/>
        <w:adjustRightInd w:val="0"/>
        <w:spacing w:after="200"/>
        <w:jc w:val="both"/>
        <w:rPr>
          <w:rFonts w:ascii="Times New Roman" w:eastAsia="Calibri" w:hAnsi="Times New Roman"/>
          <w:bCs/>
          <w:color w:val="000000"/>
          <w:sz w:val="24"/>
          <w:szCs w:val="24"/>
        </w:rPr>
      </w:pPr>
      <w:r>
        <w:rPr>
          <w:rFonts w:ascii="Times New Roman" w:eastAsia="Calibri" w:hAnsi="Times New Roman"/>
          <w:bCs/>
          <w:color w:val="000000"/>
          <w:sz w:val="24"/>
          <w:szCs w:val="24"/>
        </w:rPr>
        <w:t>о</w:t>
      </w:r>
      <w:r w:rsidR="00C324FE" w:rsidRPr="00C324FE">
        <w:rPr>
          <w:rFonts w:ascii="Times New Roman" w:eastAsia="Calibri" w:hAnsi="Times New Roman"/>
          <w:bCs/>
          <w:color w:val="000000"/>
          <w:sz w:val="24"/>
          <w:szCs w:val="24"/>
        </w:rPr>
        <w:t>беспечением встроенности контрольных процедур в ежедневные операции НКЦ;</w:t>
      </w:r>
    </w:p>
    <w:p w14:paraId="789938CD" w14:textId="77777777" w:rsidR="00C324FE" w:rsidRPr="00C324FE" w:rsidRDefault="00D76935" w:rsidP="00D1323B">
      <w:pPr>
        <w:numPr>
          <w:ilvl w:val="0"/>
          <w:numId w:val="43"/>
        </w:numPr>
        <w:autoSpaceDE w:val="0"/>
        <w:autoSpaceDN w:val="0"/>
        <w:adjustRightInd w:val="0"/>
        <w:spacing w:after="200"/>
        <w:jc w:val="both"/>
        <w:rPr>
          <w:rFonts w:ascii="Times New Roman" w:eastAsia="Calibri" w:hAnsi="Times New Roman"/>
          <w:bCs/>
          <w:color w:val="000000"/>
          <w:sz w:val="24"/>
          <w:szCs w:val="24"/>
        </w:rPr>
      </w:pPr>
      <w:r>
        <w:rPr>
          <w:rFonts w:ascii="Times New Roman" w:eastAsia="Calibri" w:hAnsi="Times New Roman"/>
          <w:bCs/>
          <w:color w:val="000000"/>
          <w:sz w:val="24"/>
          <w:szCs w:val="24"/>
        </w:rPr>
        <w:t>о</w:t>
      </w:r>
      <w:r w:rsidR="00C324FE" w:rsidRPr="00C324FE">
        <w:rPr>
          <w:rFonts w:ascii="Times New Roman" w:eastAsia="Calibri" w:hAnsi="Times New Roman"/>
          <w:bCs/>
          <w:color w:val="000000"/>
          <w:sz w:val="24"/>
          <w:szCs w:val="24"/>
        </w:rPr>
        <w:t>существлением последующего контроля проведенных операций;</w:t>
      </w:r>
    </w:p>
    <w:p w14:paraId="29250BCE" w14:textId="77777777" w:rsidR="00C324FE" w:rsidRPr="00C324FE" w:rsidRDefault="00D76935" w:rsidP="00D1323B">
      <w:pPr>
        <w:numPr>
          <w:ilvl w:val="0"/>
          <w:numId w:val="43"/>
        </w:numPr>
        <w:autoSpaceDE w:val="0"/>
        <w:autoSpaceDN w:val="0"/>
        <w:adjustRightInd w:val="0"/>
        <w:spacing w:after="200"/>
        <w:jc w:val="both"/>
        <w:rPr>
          <w:rFonts w:ascii="Times New Roman" w:eastAsia="Calibri" w:hAnsi="Times New Roman"/>
          <w:bCs/>
          <w:color w:val="000000"/>
          <w:sz w:val="24"/>
          <w:szCs w:val="24"/>
        </w:rPr>
      </w:pPr>
      <w:r>
        <w:rPr>
          <w:rFonts w:ascii="Times New Roman" w:eastAsia="Calibri" w:hAnsi="Times New Roman"/>
          <w:bCs/>
          <w:color w:val="000000"/>
          <w:sz w:val="24"/>
          <w:szCs w:val="24"/>
        </w:rPr>
        <w:t>о</w:t>
      </w:r>
      <w:r w:rsidR="00C324FE" w:rsidRPr="00C324FE">
        <w:rPr>
          <w:rFonts w:ascii="Times New Roman" w:eastAsia="Calibri" w:hAnsi="Times New Roman"/>
          <w:bCs/>
          <w:color w:val="000000"/>
          <w:sz w:val="24"/>
          <w:szCs w:val="24"/>
        </w:rPr>
        <w:t>беспечением разделения функционала и отсутствием конфликта интересов при выполнении персоналом своих обязанностей;</w:t>
      </w:r>
    </w:p>
    <w:p w14:paraId="0D42B714" w14:textId="77777777" w:rsidR="00C324FE" w:rsidRPr="00C324FE" w:rsidRDefault="00D76935" w:rsidP="00D1323B">
      <w:pPr>
        <w:numPr>
          <w:ilvl w:val="0"/>
          <w:numId w:val="43"/>
        </w:numPr>
        <w:autoSpaceDE w:val="0"/>
        <w:autoSpaceDN w:val="0"/>
        <w:adjustRightInd w:val="0"/>
        <w:spacing w:after="200"/>
        <w:jc w:val="both"/>
        <w:rPr>
          <w:rFonts w:ascii="Times New Roman" w:eastAsia="Calibri" w:hAnsi="Times New Roman"/>
          <w:bCs/>
          <w:color w:val="000000"/>
          <w:sz w:val="24"/>
          <w:szCs w:val="24"/>
        </w:rPr>
      </w:pPr>
      <w:r>
        <w:rPr>
          <w:rFonts w:ascii="Times New Roman" w:eastAsia="Calibri" w:hAnsi="Times New Roman"/>
          <w:bCs/>
          <w:color w:val="000000"/>
          <w:sz w:val="24"/>
          <w:szCs w:val="24"/>
        </w:rPr>
        <w:t>о</w:t>
      </w:r>
      <w:r w:rsidR="00C324FE" w:rsidRPr="00C324FE">
        <w:rPr>
          <w:rFonts w:ascii="Times New Roman" w:eastAsia="Calibri" w:hAnsi="Times New Roman"/>
          <w:bCs/>
          <w:color w:val="000000"/>
          <w:sz w:val="24"/>
          <w:szCs w:val="24"/>
        </w:rPr>
        <w:t>беспечением соответствия проводимых операций законодательству Российской Федерации, нормативным актам Банка России;</w:t>
      </w:r>
    </w:p>
    <w:p w14:paraId="53763A8E" w14:textId="77777777" w:rsidR="00C324FE" w:rsidRPr="00C324FE" w:rsidRDefault="00D76935" w:rsidP="00D1323B">
      <w:pPr>
        <w:numPr>
          <w:ilvl w:val="0"/>
          <w:numId w:val="43"/>
        </w:numPr>
        <w:autoSpaceDE w:val="0"/>
        <w:autoSpaceDN w:val="0"/>
        <w:adjustRightInd w:val="0"/>
        <w:spacing w:after="200"/>
        <w:jc w:val="both"/>
        <w:rPr>
          <w:rFonts w:ascii="Times New Roman" w:eastAsia="Calibri" w:hAnsi="Times New Roman"/>
          <w:bCs/>
          <w:color w:val="000000"/>
          <w:sz w:val="24"/>
          <w:szCs w:val="24"/>
        </w:rPr>
      </w:pPr>
      <w:r>
        <w:rPr>
          <w:rFonts w:ascii="Times New Roman" w:eastAsia="Calibri" w:hAnsi="Times New Roman"/>
          <w:bCs/>
          <w:color w:val="000000"/>
          <w:sz w:val="24"/>
          <w:szCs w:val="24"/>
        </w:rPr>
        <w:t>о</w:t>
      </w:r>
      <w:r w:rsidR="00C324FE" w:rsidRPr="00C324FE">
        <w:rPr>
          <w:rFonts w:ascii="Times New Roman" w:eastAsia="Calibri" w:hAnsi="Times New Roman"/>
          <w:bCs/>
          <w:color w:val="000000"/>
          <w:sz w:val="24"/>
          <w:szCs w:val="24"/>
        </w:rPr>
        <w:t>беспечением оперативного доведения необходимой информации до соответствующих работников НКЦ;</w:t>
      </w:r>
    </w:p>
    <w:p w14:paraId="79B12D94" w14:textId="77777777" w:rsidR="00C324FE" w:rsidRPr="00C324FE" w:rsidRDefault="00D76935" w:rsidP="00D1323B">
      <w:pPr>
        <w:numPr>
          <w:ilvl w:val="0"/>
          <w:numId w:val="43"/>
        </w:numPr>
        <w:autoSpaceDE w:val="0"/>
        <w:autoSpaceDN w:val="0"/>
        <w:adjustRightInd w:val="0"/>
        <w:spacing w:after="200"/>
        <w:jc w:val="both"/>
        <w:rPr>
          <w:rFonts w:ascii="Times New Roman" w:eastAsia="Calibri" w:hAnsi="Times New Roman"/>
          <w:bCs/>
          <w:color w:val="000000"/>
          <w:sz w:val="24"/>
          <w:szCs w:val="24"/>
        </w:rPr>
      </w:pPr>
      <w:r>
        <w:rPr>
          <w:rFonts w:ascii="Times New Roman" w:eastAsia="Calibri" w:hAnsi="Times New Roman"/>
          <w:bCs/>
          <w:color w:val="000000"/>
          <w:sz w:val="24"/>
          <w:szCs w:val="24"/>
        </w:rPr>
        <w:t>о</w:t>
      </w:r>
      <w:r w:rsidR="00C324FE" w:rsidRPr="00C324FE">
        <w:rPr>
          <w:rFonts w:ascii="Times New Roman" w:eastAsia="Calibri" w:hAnsi="Times New Roman"/>
          <w:bCs/>
          <w:color w:val="000000"/>
          <w:sz w:val="24"/>
          <w:szCs w:val="24"/>
        </w:rPr>
        <w:t>беспечением соответствующего уровня безопасности информационных систем;</w:t>
      </w:r>
    </w:p>
    <w:p w14:paraId="1D2E785C" w14:textId="77777777" w:rsidR="00C324FE" w:rsidRPr="00C324FE" w:rsidRDefault="00D76935" w:rsidP="00D1323B">
      <w:pPr>
        <w:numPr>
          <w:ilvl w:val="0"/>
          <w:numId w:val="43"/>
        </w:numPr>
        <w:autoSpaceDE w:val="0"/>
        <w:autoSpaceDN w:val="0"/>
        <w:adjustRightInd w:val="0"/>
        <w:spacing w:after="200"/>
        <w:jc w:val="both"/>
        <w:rPr>
          <w:rFonts w:ascii="Times New Roman" w:eastAsia="Calibri" w:hAnsi="Times New Roman"/>
          <w:bCs/>
          <w:color w:val="000000"/>
          <w:sz w:val="24"/>
          <w:szCs w:val="24"/>
        </w:rPr>
      </w:pPr>
      <w:r>
        <w:rPr>
          <w:rFonts w:ascii="Times New Roman" w:eastAsia="Calibri" w:hAnsi="Times New Roman"/>
          <w:bCs/>
          <w:color w:val="000000"/>
          <w:sz w:val="24"/>
          <w:szCs w:val="24"/>
        </w:rPr>
        <w:t>п</w:t>
      </w:r>
      <w:r w:rsidR="00C324FE" w:rsidRPr="00C324FE">
        <w:rPr>
          <w:rFonts w:ascii="Times New Roman" w:eastAsia="Calibri" w:hAnsi="Times New Roman"/>
          <w:bCs/>
          <w:color w:val="000000"/>
          <w:sz w:val="24"/>
          <w:szCs w:val="24"/>
        </w:rPr>
        <w:t>роведением ежедневного мониторинга наиболее рискованных операций;</w:t>
      </w:r>
    </w:p>
    <w:p w14:paraId="1ACC22FD" w14:textId="77777777" w:rsidR="00C324FE" w:rsidRPr="00C324FE" w:rsidRDefault="00D76935" w:rsidP="00D1323B">
      <w:pPr>
        <w:numPr>
          <w:ilvl w:val="0"/>
          <w:numId w:val="43"/>
        </w:numPr>
        <w:autoSpaceDE w:val="0"/>
        <w:autoSpaceDN w:val="0"/>
        <w:adjustRightInd w:val="0"/>
        <w:spacing w:after="200"/>
        <w:jc w:val="both"/>
        <w:rPr>
          <w:rFonts w:ascii="Times New Roman" w:eastAsia="Calibri" w:hAnsi="Times New Roman"/>
          <w:bCs/>
          <w:color w:val="000000"/>
          <w:sz w:val="24"/>
          <w:szCs w:val="24"/>
        </w:rPr>
      </w:pPr>
      <w:r>
        <w:rPr>
          <w:rFonts w:ascii="Times New Roman" w:eastAsia="Calibri" w:hAnsi="Times New Roman"/>
          <w:bCs/>
          <w:color w:val="000000"/>
          <w:sz w:val="24"/>
          <w:szCs w:val="24"/>
        </w:rPr>
        <w:t>п</w:t>
      </w:r>
      <w:r w:rsidR="00C324FE" w:rsidRPr="00C324FE">
        <w:rPr>
          <w:rFonts w:ascii="Times New Roman" w:eastAsia="Calibri" w:hAnsi="Times New Roman"/>
          <w:bCs/>
          <w:color w:val="000000"/>
          <w:sz w:val="24"/>
          <w:szCs w:val="24"/>
        </w:rPr>
        <w:t>роведением внешнего и внутреннего аудита системы внутреннего контроля;</w:t>
      </w:r>
    </w:p>
    <w:p w14:paraId="2466F4EA" w14:textId="77777777" w:rsidR="00C324FE" w:rsidRPr="00C324FE" w:rsidRDefault="00D76935" w:rsidP="00D1323B">
      <w:pPr>
        <w:numPr>
          <w:ilvl w:val="0"/>
          <w:numId w:val="43"/>
        </w:numPr>
        <w:autoSpaceDE w:val="0"/>
        <w:autoSpaceDN w:val="0"/>
        <w:adjustRightInd w:val="0"/>
        <w:spacing w:after="200"/>
        <w:jc w:val="both"/>
        <w:rPr>
          <w:rFonts w:ascii="Times New Roman" w:eastAsia="Calibri" w:hAnsi="Times New Roman"/>
          <w:bCs/>
          <w:color w:val="000000"/>
          <w:sz w:val="24"/>
          <w:szCs w:val="24"/>
        </w:rPr>
      </w:pPr>
      <w:r>
        <w:rPr>
          <w:rFonts w:ascii="Times New Roman" w:eastAsia="Calibri" w:hAnsi="Times New Roman"/>
          <w:bCs/>
          <w:color w:val="000000"/>
          <w:sz w:val="24"/>
          <w:szCs w:val="24"/>
        </w:rPr>
        <w:t>о</w:t>
      </w:r>
      <w:r w:rsidR="00C324FE" w:rsidRPr="00C324FE">
        <w:rPr>
          <w:rFonts w:ascii="Times New Roman" w:eastAsia="Calibri" w:hAnsi="Times New Roman"/>
          <w:bCs/>
          <w:color w:val="000000"/>
          <w:sz w:val="24"/>
          <w:szCs w:val="24"/>
        </w:rPr>
        <w:t>существлением на регулярной основе контроля за эффективностью принятых подразделениями и органами управления мер по результатам проверок, обеспечивающих снижение уровня выявленных рисков;</w:t>
      </w:r>
    </w:p>
    <w:p w14:paraId="1CCE86E8" w14:textId="77777777" w:rsidR="00C324FE" w:rsidRPr="00C324FE" w:rsidRDefault="00D76935" w:rsidP="00D1323B">
      <w:pPr>
        <w:numPr>
          <w:ilvl w:val="0"/>
          <w:numId w:val="43"/>
        </w:numPr>
        <w:autoSpaceDE w:val="0"/>
        <w:autoSpaceDN w:val="0"/>
        <w:adjustRightInd w:val="0"/>
        <w:spacing w:after="120"/>
        <w:ind w:left="1066" w:hanging="357"/>
        <w:jc w:val="both"/>
        <w:rPr>
          <w:rFonts w:ascii="Times New Roman" w:eastAsia="Calibri" w:hAnsi="Times New Roman"/>
          <w:bCs/>
          <w:color w:val="000000"/>
          <w:sz w:val="24"/>
          <w:szCs w:val="24"/>
        </w:rPr>
      </w:pPr>
      <w:r>
        <w:rPr>
          <w:rFonts w:ascii="Times New Roman" w:eastAsia="Calibri" w:hAnsi="Times New Roman"/>
          <w:bCs/>
          <w:color w:val="000000"/>
          <w:sz w:val="24"/>
          <w:szCs w:val="24"/>
        </w:rPr>
        <w:t>о</w:t>
      </w:r>
      <w:r w:rsidR="00C324FE" w:rsidRPr="00C324FE">
        <w:rPr>
          <w:rFonts w:ascii="Times New Roman" w:eastAsia="Calibri" w:hAnsi="Times New Roman"/>
          <w:bCs/>
          <w:color w:val="000000"/>
          <w:sz w:val="24"/>
          <w:szCs w:val="24"/>
        </w:rPr>
        <w:t xml:space="preserve">беспечением своевременного доведения до органов управления информации о существенных рисках и недостатках внутреннего контроля.      </w:t>
      </w:r>
    </w:p>
    <w:p w14:paraId="3A1A3A37" w14:textId="77182D4D" w:rsidR="00C324FE" w:rsidRPr="00C324FE" w:rsidRDefault="00D76935" w:rsidP="006031E7">
      <w:pPr>
        <w:autoSpaceDE w:val="0"/>
        <w:autoSpaceDN w:val="0"/>
        <w:adjustRightInd w:val="0"/>
        <w:spacing w:after="120"/>
        <w:jc w:val="both"/>
        <w:rPr>
          <w:rFonts w:ascii="Times New Roman" w:eastAsia="Calibri" w:hAnsi="Times New Roman"/>
          <w:bCs/>
          <w:color w:val="000000"/>
          <w:sz w:val="24"/>
          <w:szCs w:val="24"/>
        </w:rPr>
      </w:pPr>
      <w:r>
        <w:rPr>
          <w:rFonts w:ascii="Times New Roman" w:eastAsia="Calibri" w:hAnsi="Times New Roman"/>
          <w:bCs/>
          <w:color w:val="000000"/>
          <w:sz w:val="24"/>
          <w:szCs w:val="24"/>
        </w:rPr>
        <w:t xml:space="preserve">     </w:t>
      </w:r>
      <w:r w:rsidR="00C324FE" w:rsidRPr="00C324FE">
        <w:rPr>
          <w:rFonts w:ascii="Times New Roman" w:eastAsia="Calibri" w:hAnsi="Times New Roman"/>
          <w:bCs/>
          <w:color w:val="000000"/>
          <w:sz w:val="24"/>
          <w:szCs w:val="24"/>
        </w:rPr>
        <w:t>По состоянию на 31.12.2017</w:t>
      </w:r>
      <w:r>
        <w:rPr>
          <w:rFonts w:ascii="Times New Roman" w:eastAsia="Calibri" w:hAnsi="Times New Roman"/>
          <w:bCs/>
          <w:color w:val="000000"/>
          <w:sz w:val="24"/>
          <w:szCs w:val="24"/>
        </w:rPr>
        <w:t xml:space="preserve"> г.,</w:t>
      </w:r>
      <w:r w:rsidR="00C324FE" w:rsidRPr="00C324FE">
        <w:rPr>
          <w:rFonts w:ascii="Times New Roman" w:eastAsia="Calibri" w:hAnsi="Times New Roman"/>
          <w:bCs/>
          <w:color w:val="000000"/>
          <w:sz w:val="24"/>
          <w:szCs w:val="24"/>
        </w:rPr>
        <w:t xml:space="preserve"> в систему органов внутреннего контроля НКЦ, осуществляющих внутренний контроль в соответствии с полномочиями, определенными Уставом и внутренними документами НКЦ, входили:</w:t>
      </w:r>
    </w:p>
    <w:p w14:paraId="1B3811D8" w14:textId="77777777" w:rsidR="00C324FE" w:rsidRPr="00C324FE" w:rsidRDefault="00D76935" w:rsidP="006031E7">
      <w:pPr>
        <w:numPr>
          <w:ilvl w:val="0"/>
          <w:numId w:val="42"/>
        </w:numPr>
        <w:autoSpaceDE w:val="0"/>
        <w:autoSpaceDN w:val="0"/>
        <w:adjustRightInd w:val="0"/>
        <w:spacing w:after="200"/>
        <w:jc w:val="both"/>
        <w:rPr>
          <w:rFonts w:ascii="Times New Roman" w:eastAsia="Calibri" w:hAnsi="Times New Roman"/>
          <w:bCs/>
          <w:color w:val="000000"/>
          <w:sz w:val="24"/>
          <w:szCs w:val="24"/>
        </w:rPr>
      </w:pPr>
      <w:r>
        <w:rPr>
          <w:rFonts w:ascii="Times New Roman" w:eastAsia="Calibri" w:hAnsi="Times New Roman"/>
          <w:bCs/>
          <w:color w:val="000000"/>
          <w:sz w:val="24"/>
          <w:szCs w:val="24"/>
        </w:rPr>
        <w:t>о</w:t>
      </w:r>
      <w:r w:rsidR="00C324FE" w:rsidRPr="00C324FE">
        <w:rPr>
          <w:rFonts w:ascii="Times New Roman" w:eastAsia="Calibri" w:hAnsi="Times New Roman"/>
          <w:bCs/>
          <w:color w:val="000000"/>
          <w:sz w:val="24"/>
          <w:szCs w:val="24"/>
        </w:rPr>
        <w:t>рганы управления НКЦ (Общее собрание акционеров, Наблюдательный совет, Правление, Председатель Правления);</w:t>
      </w:r>
    </w:p>
    <w:p w14:paraId="51115858" w14:textId="77777777" w:rsidR="00C324FE" w:rsidRPr="00C324FE" w:rsidRDefault="00C324FE" w:rsidP="006031E7">
      <w:pPr>
        <w:numPr>
          <w:ilvl w:val="0"/>
          <w:numId w:val="42"/>
        </w:numPr>
        <w:autoSpaceDE w:val="0"/>
        <w:autoSpaceDN w:val="0"/>
        <w:adjustRightInd w:val="0"/>
        <w:spacing w:after="200"/>
        <w:jc w:val="both"/>
        <w:rPr>
          <w:rFonts w:ascii="Times New Roman" w:eastAsia="Calibri" w:hAnsi="Times New Roman"/>
          <w:bCs/>
          <w:color w:val="000000"/>
          <w:sz w:val="24"/>
          <w:szCs w:val="24"/>
        </w:rPr>
      </w:pPr>
      <w:r w:rsidRPr="00C324FE">
        <w:rPr>
          <w:rFonts w:ascii="Times New Roman" w:eastAsia="Calibri" w:hAnsi="Times New Roman"/>
          <w:bCs/>
          <w:color w:val="000000"/>
          <w:sz w:val="24"/>
          <w:szCs w:val="24"/>
        </w:rPr>
        <w:t>Ревизионная комиссия НКЦ;</w:t>
      </w:r>
    </w:p>
    <w:p w14:paraId="21770FBF" w14:textId="77777777" w:rsidR="00C324FE" w:rsidRPr="00C324FE" w:rsidRDefault="00C324FE" w:rsidP="006031E7">
      <w:pPr>
        <w:numPr>
          <w:ilvl w:val="0"/>
          <w:numId w:val="42"/>
        </w:numPr>
        <w:autoSpaceDE w:val="0"/>
        <w:autoSpaceDN w:val="0"/>
        <w:adjustRightInd w:val="0"/>
        <w:spacing w:after="200"/>
        <w:jc w:val="both"/>
        <w:rPr>
          <w:rFonts w:ascii="Times New Roman" w:eastAsia="Calibri" w:hAnsi="Times New Roman"/>
          <w:bCs/>
          <w:color w:val="000000"/>
          <w:sz w:val="24"/>
          <w:szCs w:val="24"/>
        </w:rPr>
      </w:pPr>
      <w:r w:rsidRPr="00C324FE">
        <w:rPr>
          <w:rFonts w:ascii="Times New Roman" w:eastAsia="Calibri" w:hAnsi="Times New Roman"/>
          <w:bCs/>
          <w:color w:val="000000"/>
          <w:sz w:val="24"/>
          <w:szCs w:val="24"/>
        </w:rPr>
        <w:t>Главный бухгалтер НКЦ (его заместители);</w:t>
      </w:r>
    </w:p>
    <w:p w14:paraId="6FA3DBD0" w14:textId="77777777" w:rsidR="00C324FE" w:rsidRPr="00C324FE" w:rsidRDefault="00C324FE" w:rsidP="006031E7">
      <w:pPr>
        <w:numPr>
          <w:ilvl w:val="0"/>
          <w:numId w:val="42"/>
        </w:numPr>
        <w:autoSpaceDE w:val="0"/>
        <w:autoSpaceDN w:val="0"/>
        <w:adjustRightInd w:val="0"/>
        <w:spacing w:after="200"/>
        <w:ind w:left="1066" w:hanging="357"/>
        <w:contextualSpacing/>
        <w:jc w:val="both"/>
        <w:rPr>
          <w:rFonts w:ascii="Times New Roman" w:eastAsia="Calibri" w:hAnsi="Times New Roman"/>
          <w:bCs/>
          <w:color w:val="000000"/>
          <w:sz w:val="24"/>
          <w:szCs w:val="24"/>
        </w:rPr>
      </w:pPr>
      <w:r w:rsidRPr="00C324FE">
        <w:rPr>
          <w:rFonts w:ascii="Times New Roman" w:eastAsia="Calibri" w:hAnsi="Times New Roman"/>
          <w:bCs/>
          <w:color w:val="000000"/>
          <w:sz w:val="24"/>
          <w:szCs w:val="24"/>
        </w:rPr>
        <w:t xml:space="preserve">Служба внутреннего аудита (СВА). СВА действует под непосредственным контролем Наблюдательного совета НКЦ. Основной задачей Службы внутреннего аудита является независимая объективная </w:t>
      </w:r>
      <w:r w:rsidRPr="00C324FE">
        <w:rPr>
          <w:rFonts w:ascii="Times New Roman" w:eastAsia="Calibri" w:hAnsi="Times New Roman"/>
          <w:bCs/>
          <w:color w:val="000000"/>
          <w:sz w:val="24"/>
          <w:szCs w:val="24"/>
        </w:rPr>
        <w:lastRenderedPageBreak/>
        <w:t>оценка эффективности внутреннего контроля, системы риск-менеджмента и корпоративного управления</w:t>
      </w:r>
      <w:r w:rsidR="00D76935">
        <w:rPr>
          <w:rFonts w:ascii="Times New Roman" w:eastAsia="Calibri" w:hAnsi="Times New Roman"/>
          <w:bCs/>
          <w:color w:val="000000"/>
          <w:sz w:val="24"/>
          <w:szCs w:val="24"/>
        </w:rPr>
        <w:t>;</w:t>
      </w:r>
      <w:r w:rsidRPr="00C324FE">
        <w:rPr>
          <w:rFonts w:ascii="Times New Roman" w:eastAsia="Calibri" w:hAnsi="Times New Roman"/>
          <w:bCs/>
          <w:color w:val="000000"/>
          <w:sz w:val="24"/>
          <w:szCs w:val="24"/>
        </w:rPr>
        <w:t xml:space="preserve"> </w:t>
      </w:r>
    </w:p>
    <w:p w14:paraId="7C34BB10" w14:textId="77777777" w:rsidR="00C324FE" w:rsidRPr="00C324FE" w:rsidRDefault="00C324FE" w:rsidP="006031E7">
      <w:pPr>
        <w:numPr>
          <w:ilvl w:val="0"/>
          <w:numId w:val="42"/>
        </w:numPr>
        <w:autoSpaceDE w:val="0"/>
        <w:autoSpaceDN w:val="0"/>
        <w:adjustRightInd w:val="0"/>
        <w:spacing w:after="200"/>
        <w:jc w:val="both"/>
        <w:rPr>
          <w:rFonts w:ascii="Times New Roman" w:eastAsia="Calibri" w:hAnsi="Times New Roman"/>
          <w:bCs/>
          <w:color w:val="000000"/>
          <w:sz w:val="24"/>
          <w:szCs w:val="24"/>
        </w:rPr>
      </w:pPr>
      <w:r w:rsidRPr="00C324FE">
        <w:rPr>
          <w:rFonts w:ascii="Times New Roman" w:eastAsia="Calibri" w:hAnsi="Times New Roman"/>
          <w:bCs/>
          <w:color w:val="000000"/>
          <w:sz w:val="24"/>
          <w:szCs w:val="24"/>
        </w:rPr>
        <w:t xml:space="preserve">Служба внутреннего контроля (СВК). </w:t>
      </w:r>
      <w:r w:rsidRPr="00C324FE">
        <w:rPr>
          <w:rFonts w:ascii="Times New Roman" w:eastAsia="Calibri" w:hAnsi="Times New Roman"/>
          <w:bCs/>
          <w:sz w:val="24"/>
          <w:szCs w:val="24"/>
        </w:rPr>
        <w:t xml:space="preserve">СВК действует под непосредственным контролем Председателя Правления НКЦ и подотчетна ему. </w:t>
      </w:r>
      <w:r w:rsidRPr="00C324FE">
        <w:rPr>
          <w:rFonts w:ascii="Times New Roman" w:eastAsia="Calibri" w:hAnsi="Times New Roman"/>
          <w:sz w:val="24"/>
          <w:szCs w:val="24"/>
        </w:rPr>
        <w:t xml:space="preserve">В части вопросов, связанных с выполнением требований законодательства о противодействии неправомерному использованию инсайдерской информации и манипулированию рынком, Руководитель СВК подотчетен </w:t>
      </w:r>
      <w:r w:rsidRPr="00C324FE">
        <w:rPr>
          <w:rFonts w:ascii="Times New Roman" w:eastAsia="Calibri" w:hAnsi="Times New Roman"/>
          <w:bCs/>
          <w:sz w:val="24"/>
          <w:szCs w:val="24"/>
        </w:rPr>
        <w:t>Наблюдательному совету НКЦ. Основными задачами СВК являются минимизация комплаенс (регуляторного) риска, контроль соблюдения НКЦ законодательства о клиринге, клиринговой деятельности и центральном контрагенте и законодательства о противодействии неправомерному использованию инсайдерской информации и манипулированию рынком</w:t>
      </w:r>
      <w:r w:rsidR="00D76935">
        <w:rPr>
          <w:rFonts w:ascii="Times New Roman" w:eastAsia="Calibri" w:hAnsi="Times New Roman"/>
          <w:bCs/>
          <w:sz w:val="24"/>
          <w:szCs w:val="24"/>
        </w:rPr>
        <w:t>;</w:t>
      </w:r>
    </w:p>
    <w:p w14:paraId="0DF94270" w14:textId="77777777" w:rsidR="00C324FE" w:rsidRPr="00C324FE" w:rsidRDefault="00C324FE" w:rsidP="006031E7">
      <w:pPr>
        <w:numPr>
          <w:ilvl w:val="0"/>
          <w:numId w:val="41"/>
        </w:numPr>
        <w:autoSpaceDE w:val="0"/>
        <w:autoSpaceDN w:val="0"/>
        <w:adjustRightInd w:val="0"/>
        <w:spacing w:after="200"/>
        <w:jc w:val="both"/>
        <w:rPr>
          <w:rFonts w:ascii="Times New Roman" w:eastAsia="Calibri" w:hAnsi="Times New Roman"/>
          <w:bCs/>
          <w:color w:val="000000"/>
          <w:sz w:val="24"/>
          <w:szCs w:val="24"/>
        </w:rPr>
      </w:pPr>
      <w:r w:rsidRPr="00C324FE">
        <w:rPr>
          <w:rFonts w:ascii="Times New Roman" w:eastAsia="Calibri" w:hAnsi="Times New Roman"/>
          <w:bCs/>
          <w:color w:val="000000"/>
          <w:sz w:val="24"/>
          <w:szCs w:val="24"/>
        </w:rPr>
        <w:t xml:space="preserve">Служба финансового мониторинга (СФМ) - структурное подразделение НКЦ по противодействию легализации (отмыванию) доходов, полученных преступным путем, и финансированию терроризма, созданное и осуществляющее свою деятельность в соответствии с пунктом 2 статьи 7 Федерального закона от 07.08. 2001 N 115-ФЗ "О противодействии легализации (отмыванию) доходов, полученных преступным путем, и финансированию терроризма". </w:t>
      </w:r>
    </w:p>
    <w:p w14:paraId="2E766C46" w14:textId="77777777" w:rsidR="00C324FE" w:rsidRPr="00C324FE" w:rsidRDefault="00C324FE" w:rsidP="006031E7">
      <w:pPr>
        <w:autoSpaceDE w:val="0"/>
        <w:autoSpaceDN w:val="0"/>
        <w:adjustRightInd w:val="0"/>
        <w:ind w:left="1066"/>
        <w:jc w:val="both"/>
        <w:rPr>
          <w:rFonts w:ascii="Times New Roman" w:eastAsia="Calibri" w:hAnsi="Times New Roman"/>
          <w:bCs/>
          <w:color w:val="000000"/>
          <w:sz w:val="24"/>
          <w:szCs w:val="24"/>
        </w:rPr>
      </w:pPr>
      <w:r w:rsidRPr="00C324FE">
        <w:rPr>
          <w:rFonts w:ascii="Times New Roman" w:eastAsia="Calibri" w:hAnsi="Times New Roman"/>
          <w:bCs/>
          <w:color w:val="000000"/>
          <w:sz w:val="24"/>
          <w:szCs w:val="24"/>
        </w:rPr>
        <w:t>Приказом по НКЦ назначен Ответственный сотрудник (руководитель Службы финансового мониторинга) - специальное должностное лицо, ответственное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в НКЦ, а функции контроля за организацией в НКЦ работы по ПОД/ФТ и соответствия применяемых правил внутреннего контроля  по ПОД/ФТ требованиям законодательства Российской Федерации в сфере ПОД/ФТ возложены на заместителя Председателя Правления. СФМ подотчетна Наблюдательному Совету НКЦ – отчет за 2017 год был принят к сведению;</w:t>
      </w:r>
    </w:p>
    <w:p w14:paraId="10248C01" w14:textId="77777777" w:rsidR="00C324FE" w:rsidRPr="00C324FE" w:rsidRDefault="00C324FE" w:rsidP="006031E7">
      <w:pPr>
        <w:numPr>
          <w:ilvl w:val="0"/>
          <w:numId w:val="40"/>
        </w:numPr>
        <w:autoSpaceDE w:val="0"/>
        <w:autoSpaceDN w:val="0"/>
        <w:adjustRightInd w:val="0"/>
        <w:spacing w:after="200"/>
        <w:ind w:left="1066"/>
        <w:jc w:val="both"/>
        <w:rPr>
          <w:rFonts w:ascii="Times New Roman" w:eastAsia="Calibri" w:hAnsi="Times New Roman"/>
          <w:bCs/>
          <w:color w:val="000000"/>
          <w:sz w:val="24"/>
          <w:szCs w:val="24"/>
        </w:rPr>
      </w:pPr>
      <w:r w:rsidRPr="00C324FE">
        <w:rPr>
          <w:rFonts w:ascii="Times New Roman" w:eastAsia="Calibri" w:hAnsi="Times New Roman"/>
          <w:bCs/>
          <w:color w:val="000000"/>
          <w:sz w:val="24"/>
          <w:szCs w:val="24"/>
        </w:rPr>
        <w:t>Департамент анализа и контроля рисков (ДАКР)– структурное подразделение НКЦ, деятельность которого направлена на формирование единой и эффективной системы управления экономическими рисками НКЦ, как кредитной организации, клиринговой организации-центрального контрагента и ОТП, осуществляющего деятельность на рынках Группы «Московская Биржа». Также, ДАКР координирует и контролирует работу всех подразделений (работников), осуществляющих функции управления нефинансовыми рисками;</w:t>
      </w:r>
    </w:p>
    <w:p w14:paraId="651BBC48" w14:textId="77777777" w:rsidR="00C324FE" w:rsidRPr="00C324FE" w:rsidRDefault="00C324FE" w:rsidP="006031E7">
      <w:pPr>
        <w:numPr>
          <w:ilvl w:val="0"/>
          <w:numId w:val="40"/>
        </w:numPr>
        <w:autoSpaceDE w:val="0"/>
        <w:autoSpaceDN w:val="0"/>
        <w:adjustRightInd w:val="0"/>
        <w:spacing w:after="200"/>
        <w:jc w:val="both"/>
        <w:rPr>
          <w:rFonts w:ascii="Times New Roman" w:eastAsia="Calibri" w:hAnsi="Times New Roman"/>
          <w:bCs/>
          <w:color w:val="000000"/>
          <w:sz w:val="24"/>
          <w:szCs w:val="24"/>
        </w:rPr>
      </w:pPr>
      <w:r w:rsidRPr="00C324FE">
        <w:rPr>
          <w:rFonts w:ascii="Times New Roman" w:eastAsia="Calibri" w:hAnsi="Times New Roman"/>
          <w:bCs/>
          <w:color w:val="000000"/>
          <w:sz w:val="24"/>
          <w:szCs w:val="24"/>
        </w:rPr>
        <w:t xml:space="preserve">Ответственный сотрудник по правовым вопросам – лицо, осуществляющее управление правовым риском и организацию работы по минимизации правового риска. Ответственный сотрудник по правовым вопросам осуществляет свою деятельность в соответствии с законодательством Российской Федерации, нормативными актами Банка России, Уставом и внутренними документами НКЦ; </w:t>
      </w:r>
    </w:p>
    <w:p w14:paraId="7412FFA7" w14:textId="77777777" w:rsidR="00C324FE" w:rsidRPr="00C324FE" w:rsidRDefault="00C324FE" w:rsidP="006031E7">
      <w:pPr>
        <w:numPr>
          <w:ilvl w:val="0"/>
          <w:numId w:val="40"/>
        </w:numPr>
        <w:autoSpaceDE w:val="0"/>
        <w:autoSpaceDN w:val="0"/>
        <w:adjustRightInd w:val="0"/>
        <w:spacing w:after="200"/>
        <w:jc w:val="both"/>
        <w:rPr>
          <w:rFonts w:ascii="Times New Roman" w:eastAsia="Calibri" w:hAnsi="Times New Roman"/>
          <w:bCs/>
          <w:color w:val="000000"/>
          <w:sz w:val="24"/>
          <w:szCs w:val="24"/>
        </w:rPr>
      </w:pPr>
      <w:r w:rsidRPr="00C324FE">
        <w:rPr>
          <w:rFonts w:ascii="Times New Roman" w:eastAsia="Calibri" w:hAnsi="Times New Roman"/>
          <w:bCs/>
          <w:color w:val="000000"/>
          <w:sz w:val="24"/>
          <w:szCs w:val="24"/>
        </w:rPr>
        <w:t>Ответственный сотрудник по управлению риском потери деловой репутации - лицо, осуществляющее управление риском потери деловой репутации и организацию работы по его минимизации. Ответственный сотрудник по управлению риском потери деловой репута</w:t>
      </w:r>
      <w:r w:rsidRPr="00C324FE">
        <w:rPr>
          <w:rFonts w:ascii="Times New Roman" w:eastAsia="Calibri" w:hAnsi="Times New Roman"/>
          <w:bCs/>
          <w:color w:val="000000"/>
          <w:sz w:val="24"/>
          <w:szCs w:val="24"/>
        </w:rPr>
        <w:lastRenderedPageBreak/>
        <w:t>ции осуществляет свою деятельность в соответствии с законодательством Российской Федерации, нормативными актами Банка России, Уставом и внутренними документами НКЦ;</w:t>
      </w:r>
    </w:p>
    <w:p w14:paraId="17E6A048" w14:textId="77777777" w:rsidR="00C324FE" w:rsidRPr="00C324FE" w:rsidRDefault="00671880" w:rsidP="006031E7">
      <w:pPr>
        <w:numPr>
          <w:ilvl w:val="0"/>
          <w:numId w:val="40"/>
        </w:numPr>
        <w:autoSpaceDE w:val="0"/>
        <w:autoSpaceDN w:val="0"/>
        <w:adjustRightInd w:val="0"/>
        <w:spacing w:after="200"/>
        <w:jc w:val="both"/>
        <w:rPr>
          <w:rFonts w:ascii="Times New Roman" w:eastAsia="Calibri" w:hAnsi="Times New Roman"/>
          <w:bCs/>
          <w:color w:val="000000"/>
          <w:sz w:val="24"/>
          <w:szCs w:val="24"/>
        </w:rPr>
      </w:pPr>
      <w:r>
        <w:rPr>
          <w:rFonts w:ascii="Times New Roman" w:eastAsia="Calibri" w:hAnsi="Times New Roman"/>
          <w:bCs/>
          <w:color w:val="000000"/>
          <w:sz w:val="24"/>
          <w:szCs w:val="24"/>
        </w:rPr>
        <w:t>д</w:t>
      </w:r>
      <w:r w:rsidR="00C324FE" w:rsidRPr="00C324FE">
        <w:rPr>
          <w:rFonts w:ascii="Times New Roman" w:eastAsia="Calibri" w:hAnsi="Times New Roman"/>
          <w:bCs/>
          <w:color w:val="000000"/>
          <w:sz w:val="24"/>
          <w:szCs w:val="24"/>
        </w:rPr>
        <w:t xml:space="preserve">олжностное лицо, ответственное за организацию управления операционным и стратегическим риском. Должностное лицо, ответственное за организацию управления операционным и стратегическим риском, осуществляет свою деятельность в соответствии с законодательством Российской Федерации, нормативными актами Банка России, Уставом и внутренними документами НКЦ;   </w:t>
      </w:r>
    </w:p>
    <w:p w14:paraId="059FB251" w14:textId="77777777" w:rsidR="00C324FE" w:rsidRPr="00C324FE" w:rsidRDefault="00671880" w:rsidP="006031E7">
      <w:pPr>
        <w:numPr>
          <w:ilvl w:val="0"/>
          <w:numId w:val="40"/>
        </w:numPr>
        <w:autoSpaceDE w:val="0"/>
        <w:autoSpaceDN w:val="0"/>
        <w:adjustRightInd w:val="0"/>
        <w:spacing w:after="120"/>
        <w:jc w:val="both"/>
        <w:rPr>
          <w:rFonts w:ascii="Times New Roman" w:eastAsia="Calibri" w:hAnsi="Times New Roman"/>
          <w:bCs/>
          <w:color w:val="000000"/>
          <w:sz w:val="24"/>
          <w:szCs w:val="24"/>
        </w:rPr>
      </w:pPr>
      <w:r>
        <w:rPr>
          <w:rFonts w:ascii="Times New Roman" w:eastAsia="Calibri" w:hAnsi="Times New Roman"/>
          <w:bCs/>
          <w:color w:val="000000"/>
          <w:sz w:val="24"/>
          <w:szCs w:val="24"/>
        </w:rPr>
        <w:t>и</w:t>
      </w:r>
      <w:r w:rsidR="00C324FE" w:rsidRPr="00C324FE">
        <w:rPr>
          <w:rFonts w:ascii="Times New Roman" w:eastAsia="Calibri" w:hAnsi="Times New Roman"/>
          <w:bCs/>
          <w:color w:val="000000"/>
          <w:sz w:val="24"/>
          <w:szCs w:val="24"/>
        </w:rPr>
        <w:t>ные структурные подразделения и работники НКЦ, осуществляющие внутренний контроль в соответствии с полномочиями, определенными внутренними документами НКЦ. Например, Служба информационной безопасности (СИБ). СИБ действует под непосредственным контролем Председателя Правления НКЦ и подотчетна ему. Основными задачами Службы информационной безопасности является разработка комплекса мер по защите конфиденциальной информации (в том числе банковской тайны, клиринговой информации, персональных данных), осуществление периодического аудита объектов информационной инфраструктуры НКЦ, а также существующих процессов на предмет соответствия требованиям по защите информации.</w:t>
      </w:r>
    </w:p>
    <w:p w14:paraId="5A887DD4" w14:textId="77777777" w:rsidR="00C324FE" w:rsidRDefault="00C324FE" w:rsidP="00D33150">
      <w:pPr>
        <w:spacing w:before="120"/>
        <w:ind w:firstLine="567"/>
        <w:jc w:val="both"/>
        <w:rPr>
          <w:rFonts w:ascii="Times New Roman" w:eastAsia="Times New Roman" w:hAnsi="Times New Roman"/>
          <w:color w:val="000000"/>
          <w:sz w:val="24"/>
          <w:szCs w:val="24"/>
          <w:lang w:eastAsia="ru-RU"/>
        </w:rPr>
      </w:pPr>
    </w:p>
    <w:p w14:paraId="415014E4" w14:textId="77777777" w:rsidR="00022875" w:rsidRPr="00944739" w:rsidRDefault="00022875" w:rsidP="00722C56">
      <w:pPr>
        <w:widowControl w:val="0"/>
        <w:overflowPunct w:val="0"/>
        <w:autoSpaceDE w:val="0"/>
        <w:autoSpaceDN w:val="0"/>
        <w:adjustRightInd w:val="0"/>
        <w:ind w:firstLine="360"/>
        <w:jc w:val="center"/>
        <w:textAlignment w:val="baseline"/>
        <w:outlineLvl w:val="0"/>
        <w:rPr>
          <w:rFonts w:ascii="Times New Roman" w:eastAsia="Times New Roman" w:hAnsi="Times New Roman"/>
          <w:b/>
          <w:color w:val="FF0000"/>
          <w:kern w:val="2"/>
          <w:sz w:val="32"/>
          <w:szCs w:val="32"/>
        </w:rPr>
      </w:pPr>
      <w:bookmarkStart w:id="35" w:name="_Toc510776682"/>
      <w:r w:rsidRPr="00944739">
        <w:rPr>
          <w:rFonts w:ascii="Times New Roman" w:eastAsia="Times New Roman" w:hAnsi="Times New Roman" w:cs="Arial"/>
          <w:b/>
          <w:sz w:val="32"/>
          <w:szCs w:val="32"/>
          <w:lang w:eastAsia="ru-RU"/>
        </w:rPr>
        <w:t>9.Технологическая платформа</w:t>
      </w:r>
      <w:bookmarkEnd w:id="35"/>
      <w:r w:rsidRPr="00944739">
        <w:rPr>
          <w:rFonts w:ascii="Times New Roman" w:eastAsia="Times New Roman" w:hAnsi="Times New Roman"/>
          <w:b/>
          <w:kern w:val="2"/>
          <w:sz w:val="32"/>
          <w:szCs w:val="32"/>
        </w:rPr>
        <w:t xml:space="preserve"> </w:t>
      </w:r>
    </w:p>
    <w:p w14:paraId="4AB85FCC" w14:textId="77777777" w:rsidR="00022875" w:rsidRDefault="00022875" w:rsidP="00022875">
      <w:pPr>
        <w:autoSpaceDN w:val="0"/>
        <w:ind w:firstLine="360"/>
        <w:jc w:val="both"/>
        <w:rPr>
          <w:rFonts w:ascii="Times New Roman" w:hAnsi="Times New Roman"/>
          <w:sz w:val="24"/>
          <w:szCs w:val="24"/>
        </w:rPr>
      </w:pPr>
    </w:p>
    <w:p w14:paraId="1E3FFE29" w14:textId="77777777" w:rsidR="00022875" w:rsidRDefault="00022875" w:rsidP="00022875">
      <w:pPr>
        <w:autoSpaceDN w:val="0"/>
        <w:ind w:firstLine="360"/>
        <w:jc w:val="both"/>
        <w:rPr>
          <w:rFonts w:ascii="Times New Roman" w:hAnsi="Times New Roman"/>
          <w:sz w:val="24"/>
          <w:szCs w:val="24"/>
        </w:rPr>
      </w:pPr>
      <w:r>
        <w:rPr>
          <w:rFonts w:ascii="Times New Roman" w:hAnsi="Times New Roman"/>
          <w:sz w:val="24"/>
          <w:szCs w:val="24"/>
        </w:rPr>
        <w:t>В 2017 году продолжалась работа по поддержанию уровня отказоустойчивости 99,96% и дальнейшему развитию всех систем автоматизированной обработки данных, установленных в НКО НКЦ (АО).</w:t>
      </w:r>
    </w:p>
    <w:p w14:paraId="180637B3" w14:textId="77777777" w:rsidR="00022875" w:rsidRDefault="00022875" w:rsidP="00022875">
      <w:pPr>
        <w:autoSpaceDN w:val="0"/>
        <w:ind w:firstLine="360"/>
        <w:jc w:val="both"/>
        <w:rPr>
          <w:rFonts w:ascii="Times New Roman" w:hAnsi="Times New Roman"/>
          <w:sz w:val="24"/>
          <w:szCs w:val="24"/>
        </w:rPr>
      </w:pPr>
      <w:r>
        <w:rPr>
          <w:rFonts w:ascii="Times New Roman" w:hAnsi="Times New Roman"/>
          <w:sz w:val="24"/>
          <w:szCs w:val="24"/>
        </w:rPr>
        <w:t xml:space="preserve">Одним из ключевых прорывов 2017г. в технологической платформе НКО НКЦ (АО) является проект «Отчетность НКЦ», который реализуется с целью вывести на новый уровень подготовку всех видов отчетности в фискальные </w:t>
      </w:r>
      <w:r w:rsidRPr="003D1209">
        <w:rPr>
          <w:rFonts w:ascii="Times New Roman" w:hAnsi="Times New Roman"/>
          <w:sz w:val="24"/>
          <w:szCs w:val="24"/>
        </w:rPr>
        <w:t>и регуляторные</w:t>
      </w:r>
      <w:r>
        <w:rPr>
          <w:rFonts w:ascii="Times New Roman" w:hAnsi="Times New Roman"/>
          <w:color w:val="1F497D"/>
          <w:sz w:val="24"/>
          <w:szCs w:val="24"/>
        </w:rPr>
        <w:t xml:space="preserve"> </w:t>
      </w:r>
      <w:r>
        <w:rPr>
          <w:rFonts w:ascii="Times New Roman" w:hAnsi="Times New Roman"/>
          <w:sz w:val="24"/>
          <w:szCs w:val="24"/>
        </w:rPr>
        <w:t xml:space="preserve">органы на основе большого объема разнородных данных из различных систем НКЦ.  При реализации данного проекта выбрана  принципиально новая технология для решения поставленных задач. Примененные технологические решения включают в себя:   </w:t>
      </w:r>
    </w:p>
    <w:p w14:paraId="41938879" w14:textId="77777777" w:rsidR="00022875" w:rsidRDefault="00022875" w:rsidP="00022875">
      <w:pPr>
        <w:autoSpaceDN w:val="0"/>
        <w:ind w:firstLine="360"/>
        <w:jc w:val="both"/>
        <w:rPr>
          <w:rFonts w:ascii="Times New Roman" w:hAnsi="Times New Roman"/>
          <w:sz w:val="24"/>
          <w:szCs w:val="24"/>
        </w:rPr>
      </w:pPr>
    </w:p>
    <w:p w14:paraId="53E75782" w14:textId="77777777" w:rsidR="00022875" w:rsidRDefault="00022875" w:rsidP="00022875">
      <w:pPr>
        <w:autoSpaceDN w:val="0"/>
        <w:ind w:firstLine="360"/>
        <w:jc w:val="both"/>
        <w:rPr>
          <w:rFonts w:ascii="Times New Roman" w:hAnsi="Times New Roman"/>
          <w:sz w:val="24"/>
          <w:szCs w:val="24"/>
        </w:rPr>
      </w:pPr>
      <w:r>
        <w:rPr>
          <w:rFonts w:ascii="Times New Roman" w:hAnsi="Times New Roman"/>
          <w:sz w:val="24"/>
          <w:szCs w:val="24"/>
        </w:rPr>
        <w:t>1.</w:t>
      </w:r>
      <w:r>
        <w:rPr>
          <w:rFonts w:ascii="Times New Roman" w:hAnsi="Times New Roman"/>
          <w:color w:val="1F497D"/>
          <w:sz w:val="24"/>
          <w:szCs w:val="24"/>
        </w:rPr>
        <w:t xml:space="preserve"> </w:t>
      </w:r>
      <w:r>
        <w:rPr>
          <w:rFonts w:ascii="Times New Roman" w:hAnsi="Times New Roman"/>
          <w:sz w:val="24"/>
          <w:szCs w:val="24"/>
        </w:rPr>
        <w:t>В качестве хранилища детальных данных используется технология BigData (большие данные), позволяющая использовать структурированные и неструктурированные данные огромных объёмов и значительного многообразия. BigData является альтернативой традиционным системам управления базами данных, использующим только структурированные данные</w:t>
      </w:r>
      <w:r w:rsidR="007E57BF">
        <w:rPr>
          <w:rFonts w:ascii="Times New Roman" w:hAnsi="Times New Roman"/>
          <w:sz w:val="24"/>
          <w:szCs w:val="24"/>
        </w:rPr>
        <w:t xml:space="preserve"> </w:t>
      </w:r>
      <w:r>
        <w:rPr>
          <w:rFonts w:ascii="Times New Roman" w:hAnsi="Times New Roman"/>
          <w:sz w:val="24"/>
          <w:szCs w:val="24"/>
        </w:rPr>
        <w:t>.В проекте НКЦ выбрано решение на базе Hortonworks.</w:t>
      </w:r>
    </w:p>
    <w:p w14:paraId="6D14EFFD" w14:textId="77777777" w:rsidR="00022875" w:rsidRDefault="00022875" w:rsidP="00022875">
      <w:pPr>
        <w:autoSpaceDN w:val="0"/>
        <w:ind w:firstLine="360"/>
        <w:jc w:val="both"/>
        <w:rPr>
          <w:rFonts w:ascii="Times New Roman" w:hAnsi="Times New Roman"/>
          <w:sz w:val="24"/>
          <w:szCs w:val="24"/>
        </w:rPr>
      </w:pPr>
      <w:r>
        <w:rPr>
          <w:rFonts w:ascii="Times New Roman" w:hAnsi="Times New Roman"/>
          <w:sz w:val="24"/>
          <w:szCs w:val="24"/>
        </w:rPr>
        <w:t>2.</w:t>
      </w:r>
      <w:r>
        <w:rPr>
          <w:rFonts w:ascii="Times New Roman" w:hAnsi="Times New Roman"/>
          <w:color w:val="1F497D"/>
          <w:sz w:val="24"/>
          <w:szCs w:val="24"/>
        </w:rPr>
        <w:t xml:space="preserve"> </w:t>
      </w:r>
      <w:r>
        <w:rPr>
          <w:rFonts w:ascii="Times New Roman" w:hAnsi="Times New Roman"/>
          <w:sz w:val="24"/>
          <w:szCs w:val="24"/>
        </w:rPr>
        <w:t>Процессы по извлечению, загрузки и/или трансформации данных реализованы на DataGram. Забор данных из источников в первоначальный слой производится по технологии ELT (Extract – Load – Transform). Загрузка данных в преобразованный портфельный слой (PDS) и агрегированные витрины (DMA) производится по технологии ETL (Extract –Transform – Load).</w:t>
      </w:r>
    </w:p>
    <w:p w14:paraId="5747ADFA" w14:textId="77777777" w:rsidR="00022875" w:rsidRDefault="00022875" w:rsidP="00022875">
      <w:pPr>
        <w:autoSpaceDN w:val="0"/>
        <w:ind w:firstLine="360"/>
        <w:jc w:val="both"/>
        <w:rPr>
          <w:rFonts w:ascii="Times New Roman" w:hAnsi="Times New Roman"/>
          <w:sz w:val="24"/>
          <w:szCs w:val="24"/>
        </w:rPr>
      </w:pPr>
      <w:r>
        <w:rPr>
          <w:rFonts w:ascii="Times New Roman" w:hAnsi="Times New Roman"/>
          <w:sz w:val="24"/>
          <w:szCs w:val="24"/>
        </w:rPr>
        <w:t>3.</w:t>
      </w:r>
      <w:r>
        <w:rPr>
          <w:rFonts w:ascii="Times New Roman" w:hAnsi="Times New Roman"/>
          <w:color w:val="1F497D"/>
          <w:sz w:val="24"/>
          <w:szCs w:val="24"/>
        </w:rPr>
        <w:t xml:space="preserve"> </w:t>
      </w:r>
      <w:r>
        <w:rPr>
          <w:rFonts w:ascii="Times New Roman" w:hAnsi="Times New Roman"/>
          <w:sz w:val="24"/>
          <w:szCs w:val="24"/>
        </w:rPr>
        <w:t xml:space="preserve">Пользовательские интерфейсы </w:t>
      </w:r>
      <w:r w:rsidRPr="003D1209">
        <w:rPr>
          <w:rFonts w:ascii="Times New Roman" w:hAnsi="Times New Roman"/>
          <w:sz w:val="24"/>
          <w:szCs w:val="24"/>
        </w:rPr>
        <w:t>разработаны</w:t>
      </w:r>
      <w:r>
        <w:rPr>
          <w:rFonts w:ascii="Times New Roman" w:hAnsi="Times New Roman"/>
          <w:sz w:val="24"/>
          <w:szCs w:val="24"/>
        </w:rPr>
        <w:t xml:space="preserve"> в Oracle Application Express - свободная среда быстрой разработки прикладного программного обеспечения на основе СУБД Oracle Database, целиком реализованная как веб-приложение. Все элементы, возникающие в цикле разработки приложения в данной среде, </w:t>
      </w:r>
      <w:r>
        <w:rPr>
          <w:rFonts w:ascii="Times New Roman" w:hAnsi="Times New Roman"/>
          <w:sz w:val="24"/>
          <w:szCs w:val="24"/>
        </w:rPr>
        <w:lastRenderedPageBreak/>
        <w:t>хранятся непосредственно в инфраструктуре Oracle Database, тем самым обеспечивается контроль версий без использования файлов и дополнительных систем управления версиями.</w:t>
      </w:r>
    </w:p>
    <w:p w14:paraId="73EA2D67" w14:textId="77777777" w:rsidR="00022875" w:rsidRDefault="00022875" w:rsidP="00022875">
      <w:pPr>
        <w:autoSpaceDN w:val="0"/>
        <w:ind w:firstLine="360"/>
        <w:jc w:val="both"/>
        <w:rPr>
          <w:rFonts w:ascii="Times New Roman" w:hAnsi="Times New Roman"/>
          <w:sz w:val="24"/>
          <w:szCs w:val="24"/>
        </w:rPr>
      </w:pPr>
      <w:r>
        <w:rPr>
          <w:rFonts w:ascii="Times New Roman" w:hAnsi="Times New Roman"/>
          <w:sz w:val="24"/>
          <w:szCs w:val="24"/>
        </w:rPr>
        <w:t>4.</w:t>
      </w:r>
      <w:r>
        <w:rPr>
          <w:rFonts w:ascii="Times New Roman" w:hAnsi="Times New Roman"/>
          <w:color w:val="1F497D"/>
          <w:sz w:val="24"/>
          <w:szCs w:val="24"/>
        </w:rPr>
        <w:t xml:space="preserve"> </w:t>
      </w:r>
      <w:r>
        <w:rPr>
          <w:rFonts w:ascii="Times New Roman" w:hAnsi="Times New Roman"/>
          <w:sz w:val="24"/>
          <w:szCs w:val="24"/>
        </w:rPr>
        <w:t>В проекте используется автоматизация производственных процессов DevOps разработки/тестирования/сборки версий у вендора. Данный процесс включает: а) элемент CI – сборка модулей, контроль совместимости и зависимости, функциональное тестирование b) элемент CD – подготовка/развертывание тестовой среды, установка модулей, инсталляционное и интеграционное тестирование.</w:t>
      </w:r>
    </w:p>
    <w:p w14:paraId="79DCC399" w14:textId="7DA6D83E" w:rsidR="00022875" w:rsidRDefault="00022875" w:rsidP="00022875"/>
    <w:p w14:paraId="04C2B983" w14:textId="3D539B26" w:rsidR="003221B6" w:rsidRDefault="003221B6" w:rsidP="00022875"/>
    <w:p w14:paraId="4B73E25C" w14:textId="37BFD04B" w:rsidR="003221B6" w:rsidRDefault="003221B6" w:rsidP="00022875"/>
    <w:p w14:paraId="54A6A429" w14:textId="17F4ADB6" w:rsidR="003221B6" w:rsidRDefault="003221B6" w:rsidP="00022875"/>
    <w:p w14:paraId="20B8D96A" w14:textId="6E79771F" w:rsidR="003221B6" w:rsidRDefault="003221B6" w:rsidP="00022875"/>
    <w:p w14:paraId="44DBC245" w14:textId="3DB89B05" w:rsidR="003221B6" w:rsidRDefault="003221B6" w:rsidP="00022875"/>
    <w:p w14:paraId="6E1FF35E" w14:textId="5AC85435" w:rsidR="003221B6" w:rsidRDefault="003221B6" w:rsidP="00022875"/>
    <w:p w14:paraId="52536738" w14:textId="64ABB3BF" w:rsidR="003221B6" w:rsidRDefault="003221B6" w:rsidP="00022875"/>
    <w:p w14:paraId="2A1B8F83" w14:textId="7E5D685B" w:rsidR="003221B6" w:rsidRDefault="003221B6" w:rsidP="00022875"/>
    <w:p w14:paraId="60796E1B" w14:textId="2D81F62C" w:rsidR="003221B6" w:rsidRDefault="003221B6" w:rsidP="00022875"/>
    <w:p w14:paraId="6DCDD331" w14:textId="0C2BFD82" w:rsidR="003221B6" w:rsidRDefault="003221B6" w:rsidP="00022875"/>
    <w:p w14:paraId="0EA91DB3" w14:textId="77777777" w:rsidR="003221B6" w:rsidRDefault="003221B6" w:rsidP="00022875"/>
    <w:p w14:paraId="2548B61A" w14:textId="77777777" w:rsidR="00022875" w:rsidRDefault="00022875" w:rsidP="00022875">
      <w:pPr>
        <w:autoSpaceDN w:val="0"/>
        <w:ind w:firstLine="360"/>
        <w:jc w:val="both"/>
        <w:rPr>
          <w:rFonts w:ascii="Times New Roman" w:hAnsi="Times New Roman"/>
          <w:sz w:val="24"/>
          <w:szCs w:val="24"/>
        </w:rPr>
      </w:pPr>
    </w:p>
    <w:p w14:paraId="717EBE1D" w14:textId="77777777" w:rsidR="00022875" w:rsidRDefault="00022875" w:rsidP="00022875">
      <w:pPr>
        <w:autoSpaceDN w:val="0"/>
        <w:jc w:val="both"/>
        <w:rPr>
          <w:rFonts w:ascii="Times New Roman" w:hAnsi="Times New Roman"/>
          <w:sz w:val="24"/>
          <w:szCs w:val="24"/>
        </w:rPr>
      </w:pPr>
    </w:p>
    <w:p w14:paraId="265040FE" w14:textId="77777777" w:rsidR="00022875" w:rsidRDefault="00022875" w:rsidP="00022875">
      <w:pPr>
        <w:autoSpaceDN w:val="0"/>
        <w:jc w:val="both"/>
        <w:rPr>
          <w:rFonts w:ascii="Times New Roman" w:hAnsi="Times New Roman"/>
          <w:sz w:val="24"/>
          <w:szCs w:val="24"/>
        </w:rPr>
      </w:pPr>
      <w:r>
        <w:rPr>
          <w:rFonts w:ascii="Times New Roman" w:hAnsi="Times New Roman"/>
          <w:sz w:val="24"/>
          <w:szCs w:val="24"/>
        </w:rPr>
        <w:t>Архитектурная схема «Отчетность НКЦ» приведена ниже.</w:t>
      </w:r>
    </w:p>
    <w:p w14:paraId="6FDA1DD2" w14:textId="77777777" w:rsidR="00022875" w:rsidRDefault="00022875" w:rsidP="00022875">
      <w:pPr>
        <w:autoSpaceDN w:val="0"/>
        <w:jc w:val="both"/>
        <w:rPr>
          <w:rFonts w:ascii="Times New Roman" w:hAnsi="Times New Roman"/>
          <w:sz w:val="24"/>
          <w:szCs w:val="24"/>
        </w:rPr>
      </w:pPr>
    </w:p>
    <w:p w14:paraId="1DB7016B" w14:textId="77777777" w:rsidR="00022875" w:rsidRPr="00867B07" w:rsidRDefault="00022875" w:rsidP="00022875">
      <w:pPr>
        <w:autoSpaceDN w:val="0"/>
        <w:jc w:val="both"/>
        <w:rPr>
          <w:rFonts w:ascii="Times New Roman" w:hAnsi="Times New Roman"/>
          <w:sz w:val="24"/>
          <w:szCs w:val="24"/>
        </w:rPr>
      </w:pPr>
      <w:r w:rsidRPr="0089664D">
        <w:rPr>
          <w:rFonts w:ascii="Times New Roman" w:hAnsi="Times New Roman"/>
          <w:noProof/>
          <w:color w:val="000000"/>
          <w:w w:val="0"/>
          <w:sz w:val="0"/>
          <w:szCs w:val="0"/>
          <w:u w:color="000000"/>
          <w:bdr w:val="none" w:sz="0" w:space="0" w:color="000000"/>
          <w:shd w:val="clear" w:color="000000" w:fill="000000"/>
          <w:lang w:eastAsia="ru-RU"/>
        </w:rPr>
        <w:drawing>
          <wp:inline distT="0" distB="0" distL="0" distR="0" wp14:anchorId="49A7CA09" wp14:editId="44FE9F4C">
            <wp:extent cx="6210300" cy="2811780"/>
            <wp:effectExtent l="0" t="0" r="0" b="7620"/>
            <wp:docPr id="5" name="Рисунок 5" descr="C:\Users\user\AppData\Local\Temp\NCC Архитектура внедрения NR - диаграмм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AppData\Local\Temp\NCC Архитектура внедрения NR - диаграммы.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10300" cy="2811780"/>
                    </a:xfrm>
                    <a:prstGeom prst="rect">
                      <a:avLst/>
                    </a:prstGeom>
                    <a:noFill/>
                    <a:ln>
                      <a:noFill/>
                    </a:ln>
                  </pic:spPr>
                </pic:pic>
              </a:graphicData>
            </a:graphic>
          </wp:inline>
        </w:drawing>
      </w:r>
    </w:p>
    <w:p w14:paraId="10BE30BA" w14:textId="77777777" w:rsidR="00022875" w:rsidRDefault="00022875" w:rsidP="00022875">
      <w:pPr>
        <w:autoSpaceDN w:val="0"/>
        <w:ind w:left="426" w:hanging="142"/>
        <w:jc w:val="both"/>
        <w:rPr>
          <w:rFonts w:ascii="Times New Roman" w:hAnsi="Times New Roman"/>
          <w:sz w:val="24"/>
          <w:szCs w:val="24"/>
        </w:rPr>
      </w:pPr>
    </w:p>
    <w:p w14:paraId="6B6014A7" w14:textId="77777777" w:rsidR="00022875" w:rsidRPr="00867B07" w:rsidRDefault="00022875" w:rsidP="00022875">
      <w:pPr>
        <w:autoSpaceDN w:val="0"/>
        <w:ind w:firstLine="360"/>
        <w:jc w:val="both"/>
        <w:rPr>
          <w:rFonts w:ascii="Times New Roman" w:hAnsi="Times New Roman"/>
          <w:sz w:val="24"/>
          <w:szCs w:val="24"/>
        </w:rPr>
      </w:pPr>
      <w:r w:rsidRPr="00867B07">
        <w:rPr>
          <w:rFonts w:ascii="Times New Roman" w:hAnsi="Times New Roman"/>
          <w:sz w:val="24"/>
          <w:szCs w:val="24"/>
        </w:rPr>
        <w:t>В рамках данного проекта в 2017 году</w:t>
      </w:r>
      <w:r>
        <w:rPr>
          <w:rFonts w:ascii="Times New Roman" w:hAnsi="Times New Roman"/>
          <w:sz w:val="24"/>
          <w:szCs w:val="24"/>
        </w:rPr>
        <w:t xml:space="preserve"> развернута инфраструктура для 3 контуров (</w:t>
      </w:r>
      <w:r>
        <w:rPr>
          <w:rFonts w:ascii="Times New Roman" w:hAnsi="Times New Roman"/>
          <w:sz w:val="24"/>
          <w:szCs w:val="24"/>
          <w:lang w:val="en-US"/>
        </w:rPr>
        <w:t>DEV</w:t>
      </w:r>
      <w:r w:rsidRPr="009F7612">
        <w:rPr>
          <w:rFonts w:ascii="Times New Roman" w:hAnsi="Times New Roman"/>
          <w:sz w:val="24"/>
          <w:szCs w:val="24"/>
        </w:rPr>
        <w:t xml:space="preserve">, </w:t>
      </w:r>
      <w:r>
        <w:rPr>
          <w:rFonts w:ascii="Times New Roman" w:hAnsi="Times New Roman"/>
          <w:sz w:val="24"/>
          <w:szCs w:val="24"/>
          <w:lang w:val="en-US"/>
        </w:rPr>
        <w:t>UAT</w:t>
      </w:r>
      <w:r w:rsidRPr="009F7612">
        <w:rPr>
          <w:rFonts w:ascii="Times New Roman" w:hAnsi="Times New Roman"/>
          <w:sz w:val="24"/>
          <w:szCs w:val="24"/>
        </w:rPr>
        <w:t xml:space="preserve">, </w:t>
      </w:r>
      <w:r>
        <w:rPr>
          <w:rFonts w:ascii="Times New Roman" w:hAnsi="Times New Roman"/>
          <w:sz w:val="24"/>
          <w:szCs w:val="24"/>
          <w:lang w:val="en-US"/>
        </w:rPr>
        <w:t>PROD</w:t>
      </w:r>
      <w:r w:rsidRPr="009F7612">
        <w:rPr>
          <w:rFonts w:ascii="Times New Roman" w:hAnsi="Times New Roman"/>
          <w:sz w:val="24"/>
          <w:szCs w:val="24"/>
        </w:rPr>
        <w:t>)</w:t>
      </w:r>
      <w:r>
        <w:rPr>
          <w:rFonts w:ascii="Times New Roman" w:hAnsi="Times New Roman"/>
          <w:sz w:val="24"/>
          <w:szCs w:val="24"/>
        </w:rPr>
        <w:t xml:space="preserve"> и в опытно-промышленную эксплуатацию внедрен первый этап проекта, который включает автоматизацию </w:t>
      </w:r>
      <w:r w:rsidRPr="00867B07">
        <w:rPr>
          <w:rFonts w:ascii="Times New Roman" w:hAnsi="Times New Roman"/>
          <w:sz w:val="24"/>
          <w:szCs w:val="24"/>
        </w:rPr>
        <w:t>5 отчетным формам</w:t>
      </w:r>
      <w:r>
        <w:rPr>
          <w:rFonts w:ascii="Times New Roman" w:hAnsi="Times New Roman"/>
          <w:sz w:val="24"/>
          <w:szCs w:val="24"/>
        </w:rPr>
        <w:t xml:space="preserve"> Банка России (10, 102, 123, 634, 722 - ежедневная)</w:t>
      </w:r>
      <w:r w:rsidRPr="00867B07">
        <w:rPr>
          <w:rFonts w:ascii="Times New Roman" w:hAnsi="Times New Roman"/>
          <w:sz w:val="24"/>
          <w:szCs w:val="24"/>
        </w:rPr>
        <w:t>.</w:t>
      </w:r>
    </w:p>
    <w:p w14:paraId="600536A3" w14:textId="77777777" w:rsidR="00022875" w:rsidRDefault="00022875" w:rsidP="00022875">
      <w:pPr>
        <w:autoSpaceDN w:val="0"/>
        <w:ind w:firstLine="360"/>
        <w:jc w:val="both"/>
        <w:rPr>
          <w:rFonts w:ascii="Times New Roman" w:hAnsi="Times New Roman"/>
          <w:sz w:val="24"/>
          <w:szCs w:val="24"/>
        </w:rPr>
      </w:pPr>
    </w:p>
    <w:p w14:paraId="430E01AD" w14:textId="77777777" w:rsidR="00022875" w:rsidRDefault="00022875" w:rsidP="00022875">
      <w:pPr>
        <w:autoSpaceDN w:val="0"/>
        <w:ind w:firstLine="360"/>
        <w:jc w:val="both"/>
        <w:rPr>
          <w:rFonts w:ascii="Times New Roman" w:hAnsi="Times New Roman"/>
          <w:sz w:val="24"/>
          <w:szCs w:val="24"/>
        </w:rPr>
      </w:pPr>
      <w:r>
        <w:rPr>
          <w:rFonts w:ascii="Times New Roman" w:hAnsi="Times New Roman"/>
          <w:sz w:val="24"/>
          <w:szCs w:val="24"/>
        </w:rPr>
        <w:t>С</w:t>
      </w:r>
      <w:r w:rsidRPr="00FF2111">
        <w:rPr>
          <w:rFonts w:ascii="Times New Roman" w:hAnsi="Times New Roman"/>
          <w:sz w:val="24"/>
          <w:szCs w:val="24"/>
        </w:rPr>
        <w:t>реди наиболее знаковых результатов и событий прошедшего года</w:t>
      </w:r>
      <w:r>
        <w:rPr>
          <w:rFonts w:ascii="Times New Roman" w:hAnsi="Times New Roman"/>
          <w:sz w:val="24"/>
          <w:szCs w:val="24"/>
        </w:rPr>
        <w:t>, касающихся</w:t>
      </w:r>
      <w:r w:rsidRPr="00FF2111">
        <w:rPr>
          <w:rFonts w:ascii="Times New Roman" w:hAnsi="Times New Roman"/>
          <w:sz w:val="24"/>
          <w:szCs w:val="24"/>
        </w:rPr>
        <w:t xml:space="preserve"> совершенствования и развития технологической платформы</w:t>
      </w:r>
      <w:r>
        <w:rPr>
          <w:rFonts w:ascii="Times New Roman" w:hAnsi="Times New Roman"/>
          <w:sz w:val="24"/>
          <w:szCs w:val="24"/>
        </w:rPr>
        <w:t>, и реализации проектов и задач как НКЦ, так и Группы «Московская биржа», в целом,</w:t>
      </w:r>
      <w:r w:rsidRPr="00FF2111">
        <w:rPr>
          <w:rFonts w:ascii="Times New Roman" w:hAnsi="Times New Roman"/>
          <w:sz w:val="24"/>
          <w:szCs w:val="24"/>
        </w:rPr>
        <w:t xml:space="preserve"> необходимо отметить</w:t>
      </w:r>
      <w:r>
        <w:rPr>
          <w:rFonts w:ascii="Times New Roman" w:hAnsi="Times New Roman"/>
          <w:sz w:val="24"/>
          <w:szCs w:val="24"/>
        </w:rPr>
        <w:t xml:space="preserve"> следующие</w:t>
      </w:r>
      <w:r w:rsidRPr="00FF2111">
        <w:rPr>
          <w:rFonts w:ascii="Times New Roman" w:hAnsi="Times New Roman"/>
          <w:sz w:val="24"/>
          <w:szCs w:val="24"/>
        </w:rPr>
        <w:t>:</w:t>
      </w:r>
    </w:p>
    <w:p w14:paraId="0B632A5C" w14:textId="20C6C555" w:rsidR="00022875" w:rsidRDefault="00022875" w:rsidP="00D1323B">
      <w:pPr>
        <w:numPr>
          <w:ilvl w:val="0"/>
          <w:numId w:val="36"/>
        </w:numPr>
        <w:autoSpaceDN w:val="0"/>
        <w:jc w:val="both"/>
        <w:rPr>
          <w:rFonts w:ascii="Times New Roman" w:hAnsi="Times New Roman"/>
          <w:sz w:val="24"/>
          <w:szCs w:val="24"/>
        </w:rPr>
      </w:pPr>
      <w:r w:rsidRPr="009F7612">
        <w:rPr>
          <w:rFonts w:ascii="Times New Roman" w:hAnsi="Times New Roman"/>
          <w:sz w:val="24"/>
          <w:szCs w:val="24"/>
        </w:rPr>
        <w:t>Во исполнение требований Федерального закона от 29.12.2015 № 403-ФЗ об изменении статуса НКЦ с банка на небанковскую кредитную организацию – центральный контрагент</w:t>
      </w:r>
      <w:r w:rsidRPr="00E3769B">
        <w:rPr>
          <w:rFonts w:ascii="Times New Roman" w:hAnsi="Times New Roman"/>
          <w:sz w:val="24"/>
          <w:szCs w:val="24"/>
        </w:rPr>
        <w:t xml:space="preserve"> </w:t>
      </w:r>
      <w:r w:rsidRPr="009F7612">
        <w:rPr>
          <w:rFonts w:ascii="Times New Roman" w:hAnsi="Times New Roman"/>
          <w:sz w:val="24"/>
          <w:szCs w:val="24"/>
        </w:rPr>
        <w:t>в течении декабря 2017 года в сжа</w:t>
      </w:r>
      <w:r w:rsidRPr="009F7612">
        <w:rPr>
          <w:rFonts w:ascii="Times New Roman" w:hAnsi="Times New Roman"/>
          <w:sz w:val="24"/>
          <w:szCs w:val="24"/>
        </w:rPr>
        <w:lastRenderedPageBreak/>
        <w:t xml:space="preserve">тые сроки выполнены </w:t>
      </w:r>
      <w:r>
        <w:rPr>
          <w:rFonts w:ascii="Times New Roman" w:hAnsi="Times New Roman"/>
          <w:sz w:val="24"/>
          <w:szCs w:val="24"/>
        </w:rPr>
        <w:t xml:space="preserve">организационно технологические </w:t>
      </w:r>
      <w:r w:rsidRPr="009F7612">
        <w:rPr>
          <w:rFonts w:ascii="Times New Roman" w:hAnsi="Times New Roman"/>
          <w:sz w:val="24"/>
          <w:szCs w:val="24"/>
        </w:rPr>
        <w:t>работы по переводу программных комплексов на обеспечение функционирования</w:t>
      </w:r>
      <w:r>
        <w:rPr>
          <w:rFonts w:ascii="Times New Roman" w:hAnsi="Times New Roman"/>
          <w:sz w:val="24"/>
          <w:szCs w:val="24"/>
        </w:rPr>
        <w:t xml:space="preserve"> НКЦ </w:t>
      </w:r>
      <w:r w:rsidRPr="009F7612">
        <w:rPr>
          <w:rFonts w:ascii="Times New Roman" w:hAnsi="Times New Roman"/>
          <w:sz w:val="24"/>
          <w:szCs w:val="24"/>
        </w:rPr>
        <w:t>как небанковск</w:t>
      </w:r>
      <w:r>
        <w:rPr>
          <w:rFonts w:ascii="Times New Roman" w:hAnsi="Times New Roman"/>
          <w:sz w:val="24"/>
          <w:szCs w:val="24"/>
        </w:rPr>
        <w:t>ой</w:t>
      </w:r>
      <w:r w:rsidRPr="009F7612">
        <w:rPr>
          <w:rFonts w:ascii="Times New Roman" w:hAnsi="Times New Roman"/>
          <w:sz w:val="24"/>
          <w:szCs w:val="24"/>
        </w:rPr>
        <w:t xml:space="preserve"> кредитн</w:t>
      </w:r>
      <w:r>
        <w:rPr>
          <w:rFonts w:ascii="Times New Roman" w:hAnsi="Times New Roman"/>
          <w:sz w:val="24"/>
          <w:szCs w:val="24"/>
        </w:rPr>
        <w:t>ой</w:t>
      </w:r>
      <w:r w:rsidRPr="009F7612">
        <w:rPr>
          <w:rFonts w:ascii="Times New Roman" w:hAnsi="Times New Roman"/>
          <w:sz w:val="24"/>
          <w:szCs w:val="24"/>
        </w:rPr>
        <w:t xml:space="preserve"> организаци</w:t>
      </w:r>
      <w:r>
        <w:rPr>
          <w:rFonts w:ascii="Times New Roman" w:hAnsi="Times New Roman"/>
          <w:sz w:val="24"/>
          <w:szCs w:val="24"/>
        </w:rPr>
        <w:t>и</w:t>
      </w:r>
      <w:r w:rsidRPr="009F7612">
        <w:rPr>
          <w:rFonts w:ascii="Times New Roman" w:hAnsi="Times New Roman"/>
          <w:sz w:val="24"/>
          <w:szCs w:val="24"/>
        </w:rPr>
        <w:t xml:space="preserve"> – центральн</w:t>
      </w:r>
      <w:r>
        <w:rPr>
          <w:rFonts w:ascii="Times New Roman" w:hAnsi="Times New Roman"/>
          <w:sz w:val="24"/>
          <w:szCs w:val="24"/>
        </w:rPr>
        <w:t>ого</w:t>
      </w:r>
      <w:r w:rsidRPr="009F7612">
        <w:rPr>
          <w:rFonts w:ascii="Times New Roman" w:hAnsi="Times New Roman"/>
          <w:sz w:val="24"/>
          <w:szCs w:val="24"/>
        </w:rPr>
        <w:t xml:space="preserve"> контрагент</w:t>
      </w:r>
      <w:r>
        <w:rPr>
          <w:rFonts w:ascii="Times New Roman" w:hAnsi="Times New Roman"/>
          <w:sz w:val="24"/>
          <w:szCs w:val="24"/>
        </w:rPr>
        <w:t>а</w:t>
      </w:r>
      <w:r w:rsidRPr="009F7612">
        <w:rPr>
          <w:rFonts w:ascii="Times New Roman" w:hAnsi="Times New Roman"/>
          <w:sz w:val="24"/>
          <w:szCs w:val="24"/>
        </w:rPr>
        <w:t>.</w:t>
      </w:r>
      <w:r>
        <w:rPr>
          <w:rFonts w:ascii="Times New Roman" w:hAnsi="Times New Roman"/>
          <w:sz w:val="24"/>
          <w:szCs w:val="24"/>
        </w:rPr>
        <w:t xml:space="preserve"> </w:t>
      </w:r>
    </w:p>
    <w:p w14:paraId="765CBD19" w14:textId="77777777" w:rsidR="00022875" w:rsidRDefault="00022875" w:rsidP="00D1323B">
      <w:pPr>
        <w:pStyle w:val="a9"/>
        <w:numPr>
          <w:ilvl w:val="0"/>
          <w:numId w:val="36"/>
        </w:numPr>
        <w:spacing w:line="240" w:lineRule="auto"/>
        <w:jc w:val="both"/>
        <w:rPr>
          <w:rFonts w:ascii="Times New Roman" w:hAnsi="Times New Roman"/>
          <w:sz w:val="24"/>
          <w:szCs w:val="24"/>
        </w:rPr>
      </w:pPr>
      <w:r>
        <w:rPr>
          <w:rFonts w:ascii="Times New Roman" w:hAnsi="Times New Roman"/>
          <w:sz w:val="24"/>
          <w:szCs w:val="24"/>
        </w:rPr>
        <w:t xml:space="preserve">С целью минимизации времени восстановления при потере работоспособности основных серверов для </w:t>
      </w:r>
      <w:r w:rsidRPr="0029077E">
        <w:rPr>
          <w:rFonts w:ascii="Times New Roman" w:hAnsi="Times New Roman"/>
          <w:sz w:val="24"/>
          <w:szCs w:val="24"/>
        </w:rPr>
        <w:t xml:space="preserve">двух наиболее нагруженных и </w:t>
      </w:r>
      <w:r>
        <w:rPr>
          <w:rFonts w:ascii="Times New Roman" w:hAnsi="Times New Roman"/>
          <w:sz w:val="24"/>
          <w:szCs w:val="24"/>
        </w:rPr>
        <w:t>приоритетных</w:t>
      </w:r>
      <w:r w:rsidRPr="0029077E">
        <w:rPr>
          <w:rFonts w:ascii="Times New Roman" w:hAnsi="Times New Roman"/>
          <w:sz w:val="24"/>
          <w:szCs w:val="24"/>
        </w:rPr>
        <w:t xml:space="preserve"> систем</w:t>
      </w:r>
      <w:r>
        <w:rPr>
          <w:rFonts w:ascii="Times New Roman" w:hAnsi="Times New Roman"/>
          <w:sz w:val="24"/>
          <w:szCs w:val="24"/>
        </w:rPr>
        <w:t xml:space="preserve"> - Системы Центрального контрагента (далее - СЦК) и операционного дня банка ИБС Центавр Омега (далее - ИБС)</w:t>
      </w:r>
      <w:r w:rsidRPr="0029077E">
        <w:rPr>
          <w:rFonts w:ascii="Times New Roman" w:hAnsi="Times New Roman"/>
          <w:sz w:val="24"/>
          <w:szCs w:val="24"/>
        </w:rPr>
        <w:t xml:space="preserve"> </w:t>
      </w:r>
      <w:r>
        <w:rPr>
          <w:rFonts w:ascii="Times New Roman" w:hAnsi="Times New Roman"/>
          <w:sz w:val="24"/>
          <w:szCs w:val="24"/>
        </w:rPr>
        <w:t>- в</w:t>
      </w:r>
      <w:r w:rsidRPr="0029077E">
        <w:rPr>
          <w:rFonts w:ascii="Times New Roman" w:hAnsi="Times New Roman"/>
          <w:sz w:val="24"/>
          <w:szCs w:val="24"/>
        </w:rPr>
        <w:t xml:space="preserve"> рамках использования новых технологических решений СУБД ORACLE внедрена система Oracle Active Data Guard</w:t>
      </w:r>
      <w:r>
        <w:rPr>
          <w:rFonts w:ascii="Times New Roman" w:hAnsi="Times New Roman"/>
          <w:sz w:val="24"/>
          <w:szCs w:val="24"/>
        </w:rPr>
        <w:t xml:space="preserve"> (далее - </w:t>
      </w:r>
      <w:r>
        <w:rPr>
          <w:rFonts w:ascii="Times New Roman" w:hAnsi="Times New Roman"/>
          <w:sz w:val="24"/>
          <w:szCs w:val="24"/>
          <w:lang w:val="en-US"/>
        </w:rPr>
        <w:t>OADG</w:t>
      </w:r>
      <w:r>
        <w:rPr>
          <w:rFonts w:ascii="Times New Roman" w:hAnsi="Times New Roman"/>
          <w:sz w:val="24"/>
          <w:szCs w:val="24"/>
        </w:rPr>
        <w:t>)</w:t>
      </w:r>
      <w:r w:rsidRPr="0029077E">
        <w:rPr>
          <w:rFonts w:ascii="Times New Roman" w:hAnsi="Times New Roman"/>
          <w:sz w:val="24"/>
          <w:szCs w:val="24"/>
        </w:rPr>
        <w:t xml:space="preserve"> обеспечивающая защиту данных в реальном времени, </w:t>
      </w:r>
      <w:r>
        <w:rPr>
          <w:rFonts w:ascii="Times New Roman" w:hAnsi="Times New Roman"/>
          <w:sz w:val="24"/>
          <w:szCs w:val="24"/>
        </w:rPr>
        <w:t>а также снижающая</w:t>
      </w:r>
      <w:r w:rsidRPr="0029077E">
        <w:rPr>
          <w:rFonts w:ascii="Times New Roman" w:hAnsi="Times New Roman"/>
          <w:sz w:val="24"/>
          <w:szCs w:val="24"/>
        </w:rPr>
        <w:t xml:space="preserve"> нагрузку с основной базы данных </w:t>
      </w:r>
      <w:r>
        <w:rPr>
          <w:rFonts w:ascii="Times New Roman" w:hAnsi="Times New Roman"/>
          <w:sz w:val="24"/>
          <w:szCs w:val="24"/>
        </w:rPr>
        <w:t>при использовании данных этим систем для «чтения» другими информационными системами</w:t>
      </w:r>
      <w:r w:rsidRPr="0029077E">
        <w:rPr>
          <w:rFonts w:ascii="Times New Roman" w:hAnsi="Times New Roman"/>
          <w:sz w:val="24"/>
          <w:szCs w:val="24"/>
        </w:rPr>
        <w:t>.</w:t>
      </w:r>
      <w:r>
        <w:rPr>
          <w:rFonts w:ascii="Times New Roman" w:hAnsi="Times New Roman"/>
          <w:sz w:val="24"/>
          <w:szCs w:val="24"/>
        </w:rPr>
        <w:t xml:space="preserve"> В частности, </w:t>
      </w:r>
      <w:r>
        <w:rPr>
          <w:rFonts w:ascii="Times New Roman" w:hAnsi="Times New Roman"/>
          <w:sz w:val="24"/>
          <w:szCs w:val="24"/>
          <w:lang w:val="en-US"/>
        </w:rPr>
        <w:t>OADG</w:t>
      </w:r>
      <w:r>
        <w:rPr>
          <w:rFonts w:ascii="Times New Roman" w:hAnsi="Times New Roman"/>
          <w:sz w:val="24"/>
          <w:szCs w:val="24"/>
        </w:rPr>
        <w:t xml:space="preserve"> реплика используется для целей </w:t>
      </w:r>
      <w:r>
        <w:rPr>
          <w:rFonts w:ascii="Times New Roman" w:hAnsi="Times New Roman"/>
          <w:sz w:val="24"/>
          <w:szCs w:val="24"/>
          <w:lang w:val="en-US"/>
        </w:rPr>
        <w:t>ELT</w:t>
      </w:r>
      <w:r>
        <w:rPr>
          <w:rFonts w:ascii="Times New Roman" w:hAnsi="Times New Roman"/>
          <w:sz w:val="24"/>
          <w:szCs w:val="24"/>
        </w:rPr>
        <w:t xml:space="preserve"> преобразования в проекте «Отчетность НКЦ».</w:t>
      </w:r>
    </w:p>
    <w:p w14:paraId="5ECF5254" w14:textId="3DE91116" w:rsidR="00022875" w:rsidRPr="000060A6" w:rsidRDefault="00022875" w:rsidP="009E4D5C">
      <w:pPr>
        <w:pStyle w:val="a9"/>
        <w:numPr>
          <w:ilvl w:val="0"/>
          <w:numId w:val="36"/>
        </w:numPr>
        <w:spacing w:line="240" w:lineRule="auto"/>
        <w:jc w:val="both"/>
        <w:rPr>
          <w:rFonts w:ascii="Times New Roman" w:hAnsi="Times New Roman"/>
          <w:sz w:val="24"/>
          <w:szCs w:val="24"/>
        </w:rPr>
      </w:pPr>
      <w:r w:rsidRPr="000060A6">
        <w:rPr>
          <w:rFonts w:ascii="Times New Roman" w:hAnsi="Times New Roman"/>
          <w:sz w:val="24"/>
          <w:szCs w:val="24"/>
        </w:rPr>
        <w:t>В рамках осуществления проекта «Единый пул» запущен новый программно-технический комплекс «Клиринговый Терминал» при разработке и внедрении которо</w:t>
      </w:r>
      <w:r w:rsidRPr="00864BC7">
        <w:rPr>
          <w:rFonts w:ascii="Times New Roman" w:hAnsi="Times New Roman"/>
          <w:sz w:val="24"/>
          <w:szCs w:val="24"/>
        </w:rPr>
        <w:t xml:space="preserve">го </w:t>
      </w:r>
      <w:r w:rsidR="0035690E">
        <w:rPr>
          <w:rFonts w:ascii="Times New Roman" w:hAnsi="Times New Roman"/>
          <w:sz w:val="24"/>
          <w:szCs w:val="24"/>
        </w:rPr>
        <w:t xml:space="preserve">использовались новая передовая </w:t>
      </w:r>
      <w:r w:rsidRPr="00864BC7">
        <w:rPr>
          <w:rFonts w:ascii="Times New Roman" w:hAnsi="Times New Roman"/>
          <w:sz w:val="24"/>
          <w:szCs w:val="24"/>
        </w:rPr>
        <w:t>ИТ платформа Московской Биржи и новые подходы, закрепленные в стратегии развития ИТ. Во</w:t>
      </w:r>
      <w:r>
        <w:rPr>
          <w:rFonts w:ascii="Times New Roman" w:hAnsi="Times New Roman"/>
          <w:sz w:val="24"/>
          <w:szCs w:val="24"/>
        </w:rPr>
        <w:t>-</w:t>
      </w:r>
      <w:r w:rsidRPr="00864BC7">
        <w:rPr>
          <w:rFonts w:ascii="Times New Roman" w:hAnsi="Times New Roman"/>
          <w:sz w:val="24"/>
          <w:szCs w:val="24"/>
        </w:rPr>
        <w:t xml:space="preserve">первых, для доступа к </w:t>
      </w:r>
      <w:r>
        <w:rPr>
          <w:rFonts w:ascii="Times New Roman" w:hAnsi="Times New Roman"/>
          <w:sz w:val="24"/>
          <w:szCs w:val="24"/>
        </w:rPr>
        <w:t>к</w:t>
      </w:r>
      <w:r w:rsidRPr="00864BC7">
        <w:rPr>
          <w:rFonts w:ascii="Times New Roman" w:hAnsi="Times New Roman"/>
          <w:sz w:val="24"/>
          <w:szCs w:val="24"/>
        </w:rPr>
        <w:t xml:space="preserve">лиринговому </w:t>
      </w:r>
      <w:r>
        <w:rPr>
          <w:rFonts w:ascii="Times New Roman" w:hAnsi="Times New Roman"/>
          <w:sz w:val="24"/>
          <w:szCs w:val="24"/>
        </w:rPr>
        <w:t>т</w:t>
      </w:r>
      <w:r w:rsidRPr="00864BC7">
        <w:rPr>
          <w:rFonts w:ascii="Times New Roman" w:hAnsi="Times New Roman"/>
          <w:sz w:val="24"/>
          <w:szCs w:val="24"/>
        </w:rPr>
        <w:t xml:space="preserve">ерминалу используется </w:t>
      </w:r>
      <w:r w:rsidRPr="00864BC7">
        <w:rPr>
          <w:rFonts w:ascii="Times New Roman" w:hAnsi="Times New Roman"/>
          <w:sz w:val="24"/>
          <w:szCs w:val="24"/>
          <w:lang w:val="en-US"/>
        </w:rPr>
        <w:t>CA</w:t>
      </w:r>
      <w:r w:rsidRPr="003D1209">
        <w:rPr>
          <w:rFonts w:ascii="Times New Roman" w:hAnsi="Times New Roman"/>
          <w:sz w:val="24"/>
          <w:szCs w:val="24"/>
        </w:rPr>
        <w:t xml:space="preserve"> </w:t>
      </w:r>
      <w:r w:rsidRPr="000060A6">
        <w:rPr>
          <w:rFonts w:ascii="Times New Roman" w:hAnsi="Times New Roman"/>
          <w:sz w:val="24"/>
          <w:szCs w:val="24"/>
          <w:lang w:val="en-US"/>
        </w:rPr>
        <w:t>API</w:t>
      </w:r>
      <w:r w:rsidRPr="003D1209">
        <w:rPr>
          <w:rFonts w:ascii="Times New Roman" w:hAnsi="Times New Roman"/>
          <w:sz w:val="24"/>
          <w:szCs w:val="24"/>
        </w:rPr>
        <w:t xml:space="preserve"> </w:t>
      </w:r>
      <w:r w:rsidRPr="000060A6">
        <w:rPr>
          <w:rFonts w:ascii="Times New Roman" w:hAnsi="Times New Roman"/>
          <w:sz w:val="24"/>
          <w:szCs w:val="24"/>
          <w:lang w:val="en-US"/>
        </w:rPr>
        <w:t>Gateway</w:t>
      </w:r>
      <w:r w:rsidRPr="003D1209">
        <w:rPr>
          <w:rFonts w:ascii="Times New Roman" w:hAnsi="Times New Roman"/>
          <w:sz w:val="24"/>
          <w:szCs w:val="24"/>
        </w:rPr>
        <w:t xml:space="preserve"> </w:t>
      </w:r>
      <w:r w:rsidRPr="000060A6">
        <w:rPr>
          <w:rFonts w:ascii="Times New Roman" w:hAnsi="Times New Roman"/>
          <w:sz w:val="24"/>
          <w:szCs w:val="24"/>
        </w:rPr>
        <w:t>–</w:t>
      </w:r>
      <w:r w:rsidRPr="003D1209">
        <w:rPr>
          <w:rFonts w:ascii="Times New Roman" w:hAnsi="Times New Roman"/>
          <w:sz w:val="24"/>
          <w:szCs w:val="24"/>
        </w:rPr>
        <w:t xml:space="preserve"> </w:t>
      </w:r>
      <w:r w:rsidRPr="000060A6">
        <w:rPr>
          <w:rFonts w:ascii="Times New Roman" w:hAnsi="Times New Roman"/>
          <w:sz w:val="24"/>
          <w:szCs w:val="24"/>
        </w:rPr>
        <w:t>единая точка входа в ИТ платформу, во</w:t>
      </w:r>
      <w:r>
        <w:rPr>
          <w:rFonts w:ascii="Times New Roman" w:hAnsi="Times New Roman"/>
          <w:sz w:val="24"/>
          <w:szCs w:val="24"/>
        </w:rPr>
        <w:t>-</w:t>
      </w:r>
      <w:r w:rsidRPr="00864BC7">
        <w:rPr>
          <w:rFonts w:ascii="Times New Roman" w:hAnsi="Times New Roman"/>
          <w:sz w:val="24"/>
          <w:szCs w:val="24"/>
        </w:rPr>
        <w:t>вторых, для</w:t>
      </w:r>
      <w:r>
        <w:rPr>
          <w:rFonts w:ascii="Times New Roman" w:hAnsi="Times New Roman"/>
          <w:sz w:val="24"/>
          <w:szCs w:val="24"/>
        </w:rPr>
        <w:t xml:space="preserve"> обмена данными с клиринговым т</w:t>
      </w:r>
      <w:r w:rsidRPr="00864BC7">
        <w:rPr>
          <w:rFonts w:ascii="Times New Roman" w:hAnsi="Times New Roman"/>
          <w:sz w:val="24"/>
          <w:szCs w:val="24"/>
        </w:rPr>
        <w:t>ерминалом используется Data/Calculation Grid - компонент сбора и обработки информации из разнородных источников, в</w:t>
      </w:r>
      <w:r>
        <w:rPr>
          <w:rFonts w:ascii="Times New Roman" w:hAnsi="Times New Roman"/>
          <w:sz w:val="24"/>
          <w:szCs w:val="24"/>
        </w:rPr>
        <w:t>-</w:t>
      </w:r>
      <w:r w:rsidRPr="00864BC7">
        <w:rPr>
          <w:rFonts w:ascii="Times New Roman" w:hAnsi="Times New Roman"/>
          <w:sz w:val="24"/>
          <w:szCs w:val="24"/>
        </w:rPr>
        <w:t>третьих</w:t>
      </w:r>
      <w:r>
        <w:rPr>
          <w:rFonts w:ascii="Times New Roman" w:hAnsi="Times New Roman"/>
          <w:sz w:val="24"/>
          <w:szCs w:val="24"/>
        </w:rPr>
        <w:t>,</w:t>
      </w:r>
      <w:r w:rsidRPr="00864BC7">
        <w:rPr>
          <w:rFonts w:ascii="Times New Roman" w:hAnsi="Times New Roman"/>
          <w:sz w:val="24"/>
          <w:szCs w:val="24"/>
        </w:rPr>
        <w:t xml:space="preserve"> для взаимодействия с другими системами </w:t>
      </w:r>
      <w:r>
        <w:rPr>
          <w:rFonts w:ascii="Times New Roman" w:hAnsi="Times New Roman"/>
          <w:sz w:val="24"/>
          <w:szCs w:val="24"/>
        </w:rPr>
        <w:t>к</w:t>
      </w:r>
      <w:r w:rsidRPr="00864BC7">
        <w:rPr>
          <w:rFonts w:ascii="Times New Roman" w:hAnsi="Times New Roman"/>
          <w:sz w:val="24"/>
          <w:szCs w:val="24"/>
        </w:rPr>
        <w:t>лиринговый</w:t>
      </w:r>
      <w:r>
        <w:rPr>
          <w:rFonts w:ascii="Times New Roman" w:hAnsi="Times New Roman"/>
          <w:sz w:val="24"/>
          <w:szCs w:val="24"/>
        </w:rPr>
        <w:t xml:space="preserve"> т</w:t>
      </w:r>
      <w:r w:rsidRPr="00864BC7">
        <w:rPr>
          <w:rFonts w:ascii="Times New Roman" w:hAnsi="Times New Roman"/>
          <w:sz w:val="24"/>
          <w:szCs w:val="24"/>
        </w:rPr>
        <w:t>ерминал использует В</w:t>
      </w:r>
      <w:r w:rsidRPr="00864BC7">
        <w:rPr>
          <w:rFonts w:ascii="Times New Roman" w:hAnsi="Times New Roman"/>
          <w:sz w:val="24"/>
          <w:szCs w:val="24"/>
          <w:lang w:val="en-US"/>
        </w:rPr>
        <w:t>PMS</w:t>
      </w:r>
      <w:r w:rsidRPr="003D1209">
        <w:rPr>
          <w:rFonts w:ascii="Times New Roman" w:hAnsi="Times New Roman"/>
          <w:sz w:val="24"/>
          <w:szCs w:val="24"/>
        </w:rPr>
        <w:t xml:space="preserve"> </w:t>
      </w:r>
      <w:r w:rsidRPr="000060A6">
        <w:rPr>
          <w:rFonts w:ascii="Times New Roman" w:hAnsi="Times New Roman"/>
          <w:sz w:val="24"/>
          <w:szCs w:val="24"/>
        </w:rPr>
        <w:t>–</w:t>
      </w:r>
      <w:r w:rsidRPr="003D1209">
        <w:rPr>
          <w:rFonts w:ascii="Times New Roman" w:hAnsi="Times New Roman"/>
          <w:sz w:val="24"/>
          <w:szCs w:val="24"/>
        </w:rPr>
        <w:t xml:space="preserve"> </w:t>
      </w:r>
      <w:r w:rsidRPr="000060A6">
        <w:rPr>
          <w:rFonts w:ascii="Times New Roman" w:hAnsi="Times New Roman"/>
          <w:sz w:val="24"/>
          <w:szCs w:val="24"/>
        </w:rPr>
        <w:t>оркестровщик транзакций.</w:t>
      </w:r>
      <w:r w:rsidRPr="003D1209">
        <w:rPr>
          <w:rFonts w:ascii="Times New Roman" w:hAnsi="Times New Roman"/>
          <w:sz w:val="24"/>
          <w:szCs w:val="24"/>
        </w:rPr>
        <w:t xml:space="preserve"> </w:t>
      </w:r>
      <w:r w:rsidRPr="000060A6">
        <w:rPr>
          <w:rFonts w:ascii="Times New Roman" w:hAnsi="Times New Roman"/>
          <w:sz w:val="24"/>
          <w:szCs w:val="24"/>
        </w:rPr>
        <w:t>Такая технология позволяет быстро внедрять новые сервисы и функционал без особых затрат</w:t>
      </w:r>
      <w:r w:rsidR="0035690E">
        <w:rPr>
          <w:rFonts w:ascii="Times New Roman" w:hAnsi="Times New Roman"/>
          <w:sz w:val="24"/>
          <w:szCs w:val="24"/>
        </w:rPr>
        <w:t xml:space="preserve">, а так </w:t>
      </w:r>
      <w:r>
        <w:rPr>
          <w:rFonts w:ascii="Times New Roman" w:hAnsi="Times New Roman"/>
          <w:sz w:val="24"/>
          <w:szCs w:val="24"/>
        </w:rPr>
        <w:t xml:space="preserve">же предложить нашим клиентам </w:t>
      </w:r>
      <w:r>
        <w:rPr>
          <w:rFonts w:ascii="Times New Roman" w:hAnsi="Times New Roman"/>
          <w:sz w:val="24"/>
          <w:szCs w:val="24"/>
          <w:lang w:val="en-US"/>
        </w:rPr>
        <w:t>Public</w:t>
      </w:r>
      <w:r w:rsidRPr="003D1209">
        <w:rPr>
          <w:rFonts w:ascii="Times New Roman" w:hAnsi="Times New Roman"/>
          <w:sz w:val="24"/>
          <w:szCs w:val="24"/>
        </w:rPr>
        <w:t xml:space="preserve"> </w:t>
      </w:r>
      <w:r>
        <w:rPr>
          <w:rFonts w:ascii="Times New Roman" w:hAnsi="Times New Roman"/>
          <w:sz w:val="24"/>
          <w:szCs w:val="24"/>
          <w:lang w:val="en-US"/>
        </w:rPr>
        <w:t>API</w:t>
      </w:r>
      <w:r w:rsidRPr="003D1209">
        <w:rPr>
          <w:rFonts w:ascii="Times New Roman" w:hAnsi="Times New Roman"/>
          <w:sz w:val="24"/>
          <w:szCs w:val="24"/>
        </w:rPr>
        <w:t xml:space="preserve"> </w:t>
      </w:r>
      <w:r>
        <w:rPr>
          <w:rFonts w:ascii="Times New Roman" w:hAnsi="Times New Roman"/>
          <w:sz w:val="24"/>
          <w:szCs w:val="24"/>
        </w:rPr>
        <w:t>для интеграции их программных комплексов с ПТК НКЦ</w:t>
      </w:r>
      <w:r w:rsidRPr="000060A6">
        <w:rPr>
          <w:rFonts w:ascii="Times New Roman" w:hAnsi="Times New Roman"/>
          <w:sz w:val="24"/>
          <w:szCs w:val="24"/>
        </w:rPr>
        <w:t>.</w:t>
      </w:r>
    </w:p>
    <w:p w14:paraId="5296503C" w14:textId="77777777" w:rsidR="00022875" w:rsidRDefault="00022875" w:rsidP="009E4D5C">
      <w:pPr>
        <w:pStyle w:val="a9"/>
        <w:numPr>
          <w:ilvl w:val="0"/>
          <w:numId w:val="36"/>
        </w:numPr>
        <w:spacing w:line="240" w:lineRule="auto"/>
        <w:jc w:val="both"/>
        <w:rPr>
          <w:rFonts w:ascii="Times New Roman" w:hAnsi="Times New Roman"/>
          <w:sz w:val="24"/>
          <w:szCs w:val="24"/>
        </w:rPr>
      </w:pPr>
      <w:r>
        <w:rPr>
          <w:rFonts w:ascii="Times New Roman" w:hAnsi="Times New Roman"/>
          <w:sz w:val="24"/>
          <w:szCs w:val="24"/>
        </w:rPr>
        <w:t>Создан к</w:t>
      </w:r>
      <w:r w:rsidRPr="00AF6E28">
        <w:rPr>
          <w:rFonts w:ascii="Times New Roman" w:hAnsi="Times New Roman"/>
          <w:sz w:val="24"/>
          <w:szCs w:val="24"/>
        </w:rPr>
        <w:t xml:space="preserve">лиринговый сегмент </w:t>
      </w:r>
      <w:r>
        <w:rPr>
          <w:rFonts w:ascii="Times New Roman" w:hAnsi="Times New Roman"/>
          <w:sz w:val="24"/>
          <w:szCs w:val="24"/>
        </w:rPr>
        <w:t>единого для НКЦ и ПАО Московская биржа</w:t>
      </w:r>
      <w:r w:rsidRPr="00AF6E28">
        <w:rPr>
          <w:rFonts w:ascii="Times New Roman" w:hAnsi="Times New Roman"/>
          <w:sz w:val="24"/>
          <w:szCs w:val="24"/>
        </w:rPr>
        <w:t xml:space="preserve"> публичного тестового полигона, в составе СЦК, новая система «Клиринговый Терминал» и система «WEB-клиринг» с целью обеспечения клиентов полным спектром функционального тестирования. Теперь не только </w:t>
      </w:r>
      <w:r>
        <w:rPr>
          <w:rFonts w:ascii="Times New Roman" w:hAnsi="Times New Roman"/>
          <w:sz w:val="24"/>
          <w:szCs w:val="24"/>
        </w:rPr>
        <w:t xml:space="preserve">действующие </w:t>
      </w:r>
      <w:r w:rsidRPr="00AF6E28">
        <w:rPr>
          <w:rFonts w:ascii="Times New Roman" w:hAnsi="Times New Roman"/>
          <w:sz w:val="24"/>
          <w:szCs w:val="24"/>
        </w:rPr>
        <w:t xml:space="preserve">клиенты, но и </w:t>
      </w:r>
      <w:r>
        <w:rPr>
          <w:rFonts w:ascii="Times New Roman" w:hAnsi="Times New Roman"/>
          <w:sz w:val="24"/>
          <w:szCs w:val="24"/>
        </w:rPr>
        <w:t xml:space="preserve">потенциальные клиенты </w:t>
      </w:r>
      <w:r w:rsidRPr="00AF6E28">
        <w:rPr>
          <w:rFonts w:ascii="Times New Roman" w:hAnsi="Times New Roman"/>
          <w:sz w:val="24"/>
          <w:szCs w:val="24"/>
        </w:rPr>
        <w:t>могут предварительно провести полный цикл тестирования своего ПО по всем</w:t>
      </w:r>
      <w:r>
        <w:rPr>
          <w:rFonts w:ascii="Times New Roman" w:hAnsi="Times New Roman"/>
          <w:sz w:val="24"/>
          <w:szCs w:val="24"/>
        </w:rPr>
        <w:t>у торгово-клиринговому циклу</w:t>
      </w:r>
      <w:r w:rsidRPr="00AF6E28">
        <w:rPr>
          <w:rFonts w:ascii="Times New Roman" w:hAnsi="Times New Roman"/>
          <w:sz w:val="24"/>
          <w:szCs w:val="24"/>
        </w:rPr>
        <w:t>.</w:t>
      </w:r>
    </w:p>
    <w:p w14:paraId="6B90E0F7" w14:textId="77777777" w:rsidR="00022875" w:rsidRDefault="00022875" w:rsidP="009E4D5C">
      <w:pPr>
        <w:pStyle w:val="a9"/>
        <w:numPr>
          <w:ilvl w:val="0"/>
          <w:numId w:val="36"/>
        </w:numPr>
        <w:spacing w:line="240" w:lineRule="auto"/>
        <w:jc w:val="both"/>
        <w:rPr>
          <w:rFonts w:ascii="Times New Roman" w:hAnsi="Times New Roman"/>
          <w:sz w:val="24"/>
          <w:szCs w:val="24"/>
        </w:rPr>
      </w:pPr>
      <w:r>
        <w:rPr>
          <w:rFonts w:ascii="Times New Roman" w:hAnsi="Times New Roman"/>
          <w:sz w:val="24"/>
          <w:szCs w:val="24"/>
        </w:rPr>
        <w:t>С целью повышения отказоустойчивости торгово-клиринговой системы рынка стандартизованных ПФИ р</w:t>
      </w:r>
      <w:r w:rsidRPr="00CE6E86">
        <w:rPr>
          <w:rFonts w:ascii="Times New Roman" w:hAnsi="Times New Roman"/>
          <w:sz w:val="24"/>
          <w:szCs w:val="24"/>
        </w:rPr>
        <w:t>еализована схема автоматического переключения точки входа otc.moex.com на резервный контур (на уровне сетевого оборудования).</w:t>
      </w:r>
    </w:p>
    <w:p w14:paraId="30135566" w14:textId="77777777" w:rsidR="00022875" w:rsidRDefault="00022875" w:rsidP="009E4D5C">
      <w:pPr>
        <w:pStyle w:val="a9"/>
        <w:numPr>
          <w:ilvl w:val="0"/>
          <w:numId w:val="36"/>
        </w:numPr>
        <w:spacing w:line="240" w:lineRule="auto"/>
        <w:jc w:val="both"/>
        <w:rPr>
          <w:rFonts w:ascii="Times New Roman" w:hAnsi="Times New Roman"/>
          <w:sz w:val="24"/>
          <w:szCs w:val="24"/>
        </w:rPr>
      </w:pPr>
      <w:r>
        <w:rPr>
          <w:rFonts w:ascii="Times New Roman" w:hAnsi="Times New Roman"/>
          <w:sz w:val="24"/>
          <w:szCs w:val="24"/>
        </w:rPr>
        <w:t xml:space="preserve">В рамках реализации задачи формирования отчетности в соответствии с правилами трансфертного ценообразования реализованы запланированные этапы доработки автоматизированной банковской системы ИБС </w:t>
      </w:r>
    </w:p>
    <w:p w14:paraId="70BFF2A8" w14:textId="77777777" w:rsidR="00022875" w:rsidRDefault="00022875" w:rsidP="00022875">
      <w:pPr>
        <w:autoSpaceDN w:val="0"/>
        <w:ind w:left="1425"/>
        <w:jc w:val="both"/>
        <w:rPr>
          <w:rFonts w:ascii="Times New Roman" w:hAnsi="Times New Roman"/>
          <w:sz w:val="24"/>
          <w:szCs w:val="24"/>
        </w:rPr>
      </w:pPr>
    </w:p>
    <w:p w14:paraId="0ECD179D" w14:textId="77777777" w:rsidR="00022875" w:rsidRDefault="00022875" w:rsidP="00022875">
      <w:pPr>
        <w:autoSpaceDN w:val="0"/>
        <w:ind w:firstLine="340"/>
        <w:jc w:val="both"/>
        <w:rPr>
          <w:rFonts w:ascii="Times New Roman" w:hAnsi="Times New Roman"/>
          <w:sz w:val="24"/>
          <w:szCs w:val="24"/>
        </w:rPr>
      </w:pPr>
      <w:r>
        <w:rPr>
          <w:rFonts w:ascii="Times New Roman" w:hAnsi="Times New Roman"/>
          <w:sz w:val="24"/>
          <w:szCs w:val="24"/>
        </w:rPr>
        <w:t xml:space="preserve">Кроме этого в </w:t>
      </w:r>
      <w:r w:rsidRPr="00CF17E2">
        <w:rPr>
          <w:rFonts w:ascii="Times New Roman" w:hAnsi="Times New Roman"/>
          <w:sz w:val="24"/>
          <w:szCs w:val="24"/>
        </w:rPr>
        <w:t>рамках развития</w:t>
      </w:r>
      <w:r>
        <w:rPr>
          <w:rFonts w:ascii="Times New Roman" w:hAnsi="Times New Roman"/>
          <w:sz w:val="24"/>
          <w:szCs w:val="24"/>
        </w:rPr>
        <w:t xml:space="preserve"> ИБС «Центавр Омега» так же реализовано и внедрено</w:t>
      </w:r>
      <w:r w:rsidRPr="00CF17E2">
        <w:rPr>
          <w:rFonts w:ascii="Times New Roman" w:hAnsi="Times New Roman"/>
          <w:sz w:val="24"/>
          <w:szCs w:val="24"/>
        </w:rPr>
        <w:t>:</w:t>
      </w:r>
    </w:p>
    <w:p w14:paraId="6D0F89D2" w14:textId="77777777" w:rsidR="00022875" w:rsidRDefault="00022875" w:rsidP="00022875">
      <w:pPr>
        <w:autoSpaceDN w:val="0"/>
        <w:ind w:firstLine="340"/>
        <w:jc w:val="both"/>
        <w:rPr>
          <w:rFonts w:ascii="Times New Roman" w:hAnsi="Times New Roman"/>
          <w:sz w:val="24"/>
          <w:szCs w:val="24"/>
        </w:rPr>
      </w:pPr>
    </w:p>
    <w:p w14:paraId="08272871" w14:textId="77777777" w:rsidR="00022875" w:rsidRPr="00867B07" w:rsidRDefault="00022875" w:rsidP="00022875">
      <w:pPr>
        <w:numPr>
          <w:ilvl w:val="0"/>
          <w:numId w:val="29"/>
        </w:numPr>
        <w:autoSpaceDN w:val="0"/>
        <w:ind w:left="1068"/>
        <w:jc w:val="both"/>
        <w:rPr>
          <w:rFonts w:ascii="Times New Roman" w:hAnsi="Times New Roman"/>
          <w:sz w:val="24"/>
          <w:szCs w:val="24"/>
        </w:rPr>
      </w:pPr>
      <w:r w:rsidRPr="00867B07">
        <w:rPr>
          <w:rFonts w:ascii="Times New Roman" w:hAnsi="Times New Roman"/>
          <w:sz w:val="24"/>
          <w:szCs w:val="24"/>
        </w:rPr>
        <w:t>Автоматическая квитовка и обработка сообщений СВИФТ МТ607 с МТ605</w:t>
      </w:r>
      <w:r>
        <w:rPr>
          <w:rFonts w:ascii="Times New Roman" w:hAnsi="Times New Roman"/>
          <w:sz w:val="24"/>
          <w:szCs w:val="24"/>
        </w:rPr>
        <w:t>.</w:t>
      </w:r>
    </w:p>
    <w:p w14:paraId="614720EF" w14:textId="77777777" w:rsidR="00022875" w:rsidRPr="00867B07" w:rsidRDefault="00022875" w:rsidP="00022875">
      <w:pPr>
        <w:numPr>
          <w:ilvl w:val="0"/>
          <w:numId w:val="29"/>
        </w:numPr>
        <w:autoSpaceDN w:val="0"/>
        <w:ind w:left="1068"/>
        <w:jc w:val="both"/>
        <w:rPr>
          <w:rFonts w:ascii="Times New Roman" w:hAnsi="Times New Roman"/>
          <w:sz w:val="24"/>
          <w:szCs w:val="24"/>
        </w:rPr>
      </w:pPr>
      <w:r w:rsidRPr="00867B07">
        <w:rPr>
          <w:rFonts w:ascii="Times New Roman" w:hAnsi="Times New Roman"/>
          <w:sz w:val="24"/>
          <w:szCs w:val="24"/>
        </w:rPr>
        <w:t>Изменения налоговых регистров, в связи с изменениями в НК РФ, введенными в действие с 01/01/2017г законом 242-ФЗ.</w:t>
      </w:r>
    </w:p>
    <w:p w14:paraId="00C75F46" w14:textId="77777777" w:rsidR="00022875" w:rsidRPr="00867B07" w:rsidRDefault="00022875" w:rsidP="00022875">
      <w:pPr>
        <w:numPr>
          <w:ilvl w:val="0"/>
          <w:numId w:val="29"/>
        </w:numPr>
        <w:autoSpaceDN w:val="0"/>
        <w:ind w:left="1068"/>
        <w:jc w:val="both"/>
        <w:rPr>
          <w:rFonts w:ascii="Times New Roman" w:hAnsi="Times New Roman"/>
          <w:sz w:val="24"/>
          <w:szCs w:val="24"/>
        </w:rPr>
      </w:pPr>
      <w:r w:rsidRPr="00867B07">
        <w:rPr>
          <w:rFonts w:ascii="Times New Roman" w:hAnsi="Times New Roman"/>
          <w:sz w:val="24"/>
          <w:szCs w:val="24"/>
        </w:rPr>
        <w:t>Механизм переоценки по НВПИ,</w:t>
      </w:r>
    </w:p>
    <w:p w14:paraId="7B9EA9DD" w14:textId="77777777" w:rsidR="00022875" w:rsidRPr="00867B07" w:rsidRDefault="00022875" w:rsidP="00022875">
      <w:pPr>
        <w:numPr>
          <w:ilvl w:val="0"/>
          <w:numId w:val="29"/>
        </w:numPr>
        <w:autoSpaceDN w:val="0"/>
        <w:ind w:left="1068"/>
        <w:jc w:val="both"/>
        <w:rPr>
          <w:rFonts w:ascii="Times New Roman" w:hAnsi="Times New Roman"/>
          <w:sz w:val="24"/>
          <w:szCs w:val="24"/>
        </w:rPr>
      </w:pPr>
      <w:r w:rsidRPr="00867B07">
        <w:rPr>
          <w:rFonts w:ascii="Times New Roman" w:hAnsi="Times New Roman"/>
          <w:sz w:val="24"/>
          <w:szCs w:val="24"/>
        </w:rPr>
        <w:t>Возможность отражения сделок обратного РЕПО с НВПИ.</w:t>
      </w:r>
    </w:p>
    <w:p w14:paraId="10E76E4A" w14:textId="77777777" w:rsidR="00022875" w:rsidRPr="00867B07" w:rsidRDefault="00022875" w:rsidP="00022875">
      <w:pPr>
        <w:numPr>
          <w:ilvl w:val="0"/>
          <w:numId w:val="29"/>
        </w:numPr>
        <w:autoSpaceDN w:val="0"/>
        <w:ind w:left="1068"/>
        <w:jc w:val="both"/>
        <w:rPr>
          <w:rFonts w:ascii="Times New Roman" w:hAnsi="Times New Roman"/>
          <w:sz w:val="24"/>
          <w:szCs w:val="24"/>
        </w:rPr>
      </w:pPr>
      <w:r w:rsidRPr="00867B07">
        <w:rPr>
          <w:rFonts w:ascii="Times New Roman" w:hAnsi="Times New Roman"/>
          <w:sz w:val="24"/>
          <w:szCs w:val="24"/>
        </w:rPr>
        <w:lastRenderedPageBreak/>
        <w:t>Автоматическая загрузка сообщений, в соответствии положением Банка России 407-П.</w:t>
      </w:r>
    </w:p>
    <w:p w14:paraId="197EB439" w14:textId="77777777" w:rsidR="00022875" w:rsidRPr="00867B07" w:rsidRDefault="00022875" w:rsidP="00022875">
      <w:pPr>
        <w:numPr>
          <w:ilvl w:val="0"/>
          <w:numId w:val="29"/>
        </w:numPr>
        <w:autoSpaceDN w:val="0"/>
        <w:ind w:left="1068"/>
        <w:jc w:val="both"/>
        <w:rPr>
          <w:rFonts w:ascii="Times New Roman" w:hAnsi="Times New Roman"/>
          <w:sz w:val="24"/>
          <w:szCs w:val="24"/>
        </w:rPr>
      </w:pPr>
      <w:r w:rsidRPr="00867B07">
        <w:rPr>
          <w:rFonts w:ascii="Times New Roman" w:hAnsi="Times New Roman"/>
          <w:sz w:val="24"/>
          <w:szCs w:val="24"/>
        </w:rPr>
        <w:t>Начисление и учет штрафных санкций на рынке СПФИ.</w:t>
      </w:r>
    </w:p>
    <w:p w14:paraId="2CD4B00C" w14:textId="77777777" w:rsidR="00022875" w:rsidRPr="00867B07" w:rsidRDefault="00022875" w:rsidP="00022875">
      <w:pPr>
        <w:numPr>
          <w:ilvl w:val="0"/>
          <w:numId w:val="29"/>
        </w:numPr>
        <w:autoSpaceDN w:val="0"/>
        <w:ind w:left="1068"/>
        <w:jc w:val="both"/>
        <w:rPr>
          <w:rFonts w:ascii="Times New Roman" w:hAnsi="Times New Roman"/>
          <w:sz w:val="24"/>
          <w:szCs w:val="24"/>
        </w:rPr>
      </w:pPr>
      <w:r w:rsidRPr="00867B07">
        <w:rPr>
          <w:rFonts w:ascii="Times New Roman" w:hAnsi="Times New Roman"/>
          <w:sz w:val="24"/>
          <w:szCs w:val="24"/>
        </w:rPr>
        <w:t>Ежедневная переоценка всего портфеля ценных бумаг, включая сделки РЕПО.</w:t>
      </w:r>
    </w:p>
    <w:p w14:paraId="76727ED1" w14:textId="77777777" w:rsidR="00022875" w:rsidRPr="00867B07" w:rsidRDefault="00022875" w:rsidP="00022875">
      <w:pPr>
        <w:numPr>
          <w:ilvl w:val="0"/>
          <w:numId w:val="29"/>
        </w:numPr>
        <w:autoSpaceDN w:val="0"/>
        <w:ind w:left="1068"/>
        <w:jc w:val="both"/>
        <w:rPr>
          <w:rFonts w:ascii="Times New Roman" w:hAnsi="Times New Roman"/>
          <w:sz w:val="24"/>
          <w:szCs w:val="24"/>
        </w:rPr>
      </w:pPr>
      <w:r w:rsidRPr="00867B07">
        <w:rPr>
          <w:rFonts w:ascii="Times New Roman" w:hAnsi="Times New Roman"/>
          <w:sz w:val="24"/>
          <w:szCs w:val="24"/>
        </w:rPr>
        <w:t>Прием и обработка сделок «Размещение депозита в ЦК».</w:t>
      </w:r>
    </w:p>
    <w:p w14:paraId="21781C8D" w14:textId="530EF938" w:rsidR="00022875" w:rsidRPr="00867B07" w:rsidRDefault="00022875" w:rsidP="00022875">
      <w:pPr>
        <w:numPr>
          <w:ilvl w:val="0"/>
          <w:numId w:val="29"/>
        </w:numPr>
        <w:autoSpaceDN w:val="0"/>
        <w:ind w:left="1068"/>
        <w:jc w:val="both"/>
        <w:rPr>
          <w:rFonts w:ascii="Times New Roman" w:hAnsi="Times New Roman"/>
          <w:sz w:val="24"/>
          <w:szCs w:val="24"/>
        </w:rPr>
      </w:pPr>
      <w:r w:rsidRPr="00867B07">
        <w:rPr>
          <w:rFonts w:ascii="Times New Roman" w:hAnsi="Times New Roman"/>
          <w:sz w:val="24"/>
          <w:szCs w:val="24"/>
        </w:rPr>
        <w:t>Выгрузка из ИБС</w:t>
      </w:r>
      <w:r>
        <w:rPr>
          <w:rFonts w:ascii="Times New Roman" w:hAnsi="Times New Roman"/>
          <w:sz w:val="24"/>
          <w:szCs w:val="24"/>
        </w:rPr>
        <w:t xml:space="preserve"> (</w:t>
      </w:r>
      <w:r w:rsidRPr="00867B07">
        <w:rPr>
          <w:rFonts w:ascii="Times New Roman" w:hAnsi="Times New Roman"/>
          <w:sz w:val="24"/>
          <w:szCs w:val="24"/>
        </w:rPr>
        <w:t>в формализованном формате</w:t>
      </w:r>
      <w:r>
        <w:rPr>
          <w:rFonts w:ascii="Times New Roman" w:hAnsi="Times New Roman"/>
          <w:sz w:val="24"/>
          <w:szCs w:val="24"/>
        </w:rPr>
        <w:t xml:space="preserve">) </w:t>
      </w:r>
      <w:r w:rsidRPr="00867B07">
        <w:rPr>
          <w:rFonts w:ascii="Times New Roman" w:hAnsi="Times New Roman"/>
          <w:sz w:val="24"/>
          <w:szCs w:val="24"/>
        </w:rPr>
        <w:t>актов приема-передачи товаров и услуг в соответствии с вступившими в силу документами ФНС.</w:t>
      </w:r>
    </w:p>
    <w:p w14:paraId="17EC142F" w14:textId="77777777" w:rsidR="00022875" w:rsidRPr="00867B07" w:rsidRDefault="00022875" w:rsidP="00022875">
      <w:pPr>
        <w:numPr>
          <w:ilvl w:val="0"/>
          <w:numId w:val="29"/>
        </w:numPr>
        <w:autoSpaceDN w:val="0"/>
        <w:ind w:left="1068"/>
        <w:jc w:val="both"/>
        <w:rPr>
          <w:rFonts w:ascii="Times New Roman" w:hAnsi="Times New Roman"/>
          <w:sz w:val="24"/>
          <w:szCs w:val="24"/>
        </w:rPr>
      </w:pPr>
      <w:r w:rsidRPr="00867B07">
        <w:rPr>
          <w:rFonts w:ascii="Times New Roman" w:hAnsi="Times New Roman"/>
          <w:sz w:val="24"/>
          <w:szCs w:val="24"/>
        </w:rPr>
        <w:t>Формирование документов в электронном виде (ДЭВ) и проставление на ДЭВ электронной подписи/аналога собственноручной подписи.</w:t>
      </w:r>
    </w:p>
    <w:p w14:paraId="56CF0313" w14:textId="77777777" w:rsidR="00022875" w:rsidRDefault="00022875" w:rsidP="00022875">
      <w:pPr>
        <w:autoSpaceDN w:val="0"/>
        <w:ind w:left="708"/>
        <w:jc w:val="both"/>
        <w:rPr>
          <w:rFonts w:ascii="Times New Roman" w:hAnsi="Times New Roman"/>
          <w:sz w:val="24"/>
          <w:szCs w:val="24"/>
        </w:rPr>
      </w:pPr>
    </w:p>
    <w:p w14:paraId="5EB5CBFD" w14:textId="611E2474" w:rsidR="00022875" w:rsidRDefault="00022875" w:rsidP="00022875">
      <w:pPr>
        <w:autoSpaceDN w:val="0"/>
        <w:ind w:left="708"/>
        <w:jc w:val="both"/>
        <w:rPr>
          <w:rFonts w:ascii="Times New Roman" w:hAnsi="Times New Roman"/>
          <w:sz w:val="24"/>
          <w:szCs w:val="24"/>
        </w:rPr>
      </w:pPr>
      <w:r>
        <w:rPr>
          <w:rFonts w:ascii="Times New Roman" w:hAnsi="Times New Roman"/>
          <w:sz w:val="24"/>
          <w:szCs w:val="24"/>
        </w:rPr>
        <w:t xml:space="preserve">Всего в </w:t>
      </w:r>
      <w:r w:rsidRPr="001A5932">
        <w:rPr>
          <w:rFonts w:ascii="Times New Roman" w:hAnsi="Times New Roman"/>
          <w:sz w:val="24"/>
          <w:szCs w:val="24"/>
        </w:rPr>
        <w:t>соответствии с релизной политикой</w:t>
      </w:r>
      <w:r>
        <w:rPr>
          <w:rFonts w:ascii="Times New Roman" w:hAnsi="Times New Roman"/>
          <w:sz w:val="24"/>
          <w:szCs w:val="24"/>
        </w:rPr>
        <w:t xml:space="preserve"> НКЦ </w:t>
      </w:r>
      <w:r w:rsidRPr="001A5932">
        <w:rPr>
          <w:rFonts w:ascii="Times New Roman" w:hAnsi="Times New Roman"/>
          <w:sz w:val="24"/>
          <w:szCs w:val="24"/>
        </w:rPr>
        <w:t>внедрено 3 стандартных релиза, 12 срочных релизов. Установлено более 450 обновлений ИБС «Центавр Омега».</w:t>
      </w:r>
    </w:p>
    <w:p w14:paraId="7F5F8BD0" w14:textId="77777777" w:rsidR="00022875" w:rsidRDefault="00022875" w:rsidP="00022875">
      <w:pPr>
        <w:autoSpaceDN w:val="0"/>
        <w:ind w:left="708"/>
        <w:jc w:val="both"/>
        <w:rPr>
          <w:rFonts w:ascii="Times New Roman" w:hAnsi="Times New Roman"/>
          <w:sz w:val="24"/>
          <w:szCs w:val="24"/>
        </w:rPr>
      </w:pPr>
    </w:p>
    <w:p w14:paraId="0F83A1C7" w14:textId="77777777" w:rsidR="00022875" w:rsidRDefault="00022875" w:rsidP="00022875">
      <w:pPr>
        <w:autoSpaceDN w:val="0"/>
        <w:ind w:left="708"/>
        <w:jc w:val="both"/>
        <w:rPr>
          <w:rFonts w:ascii="Times New Roman" w:hAnsi="Times New Roman"/>
          <w:sz w:val="24"/>
          <w:szCs w:val="24"/>
        </w:rPr>
      </w:pPr>
      <w:r>
        <w:rPr>
          <w:rFonts w:ascii="Times New Roman" w:hAnsi="Times New Roman"/>
          <w:sz w:val="24"/>
          <w:szCs w:val="24"/>
        </w:rPr>
        <w:t>Ежегодное развитие бизнеса приводит к росту количественных показателей в ИБС «Центавр Омега». В частности:</w:t>
      </w:r>
    </w:p>
    <w:p w14:paraId="47E20278" w14:textId="77777777" w:rsidR="00022875" w:rsidRPr="00867B07" w:rsidRDefault="00022875" w:rsidP="00022875">
      <w:pPr>
        <w:numPr>
          <w:ilvl w:val="0"/>
          <w:numId w:val="39"/>
        </w:numPr>
        <w:autoSpaceDN w:val="0"/>
        <w:jc w:val="both"/>
        <w:rPr>
          <w:rFonts w:ascii="Times New Roman" w:hAnsi="Times New Roman"/>
          <w:sz w:val="24"/>
          <w:szCs w:val="24"/>
        </w:rPr>
      </w:pPr>
      <w:r w:rsidRPr="00867B07">
        <w:rPr>
          <w:rFonts w:ascii="Times New Roman" w:hAnsi="Times New Roman"/>
          <w:sz w:val="24"/>
          <w:szCs w:val="24"/>
        </w:rPr>
        <w:t xml:space="preserve">Количество пользователей ИБС «Центавр Омега» за 2017 г. увеличилось на 12%. </w:t>
      </w:r>
    </w:p>
    <w:p w14:paraId="448591C1" w14:textId="77777777" w:rsidR="00022875" w:rsidRPr="00867B07" w:rsidRDefault="00022875" w:rsidP="00022875">
      <w:pPr>
        <w:numPr>
          <w:ilvl w:val="0"/>
          <w:numId w:val="39"/>
        </w:numPr>
        <w:autoSpaceDN w:val="0"/>
        <w:jc w:val="both"/>
        <w:rPr>
          <w:rFonts w:ascii="Times New Roman" w:hAnsi="Times New Roman"/>
          <w:sz w:val="24"/>
          <w:szCs w:val="24"/>
        </w:rPr>
      </w:pPr>
      <w:r w:rsidRPr="00867B07">
        <w:rPr>
          <w:rFonts w:ascii="Times New Roman" w:hAnsi="Times New Roman"/>
          <w:sz w:val="24"/>
          <w:szCs w:val="24"/>
        </w:rPr>
        <w:t>Объем транзакций увеличился н</w:t>
      </w:r>
      <w:r>
        <w:rPr>
          <w:rFonts w:ascii="Times New Roman" w:hAnsi="Times New Roman"/>
          <w:sz w:val="24"/>
          <w:szCs w:val="24"/>
        </w:rPr>
        <w:t>а 5% и составил 105 110 269 шт.</w:t>
      </w:r>
    </w:p>
    <w:p w14:paraId="533582FC" w14:textId="77777777" w:rsidR="00022875" w:rsidRDefault="00022875" w:rsidP="00022875">
      <w:pPr>
        <w:numPr>
          <w:ilvl w:val="0"/>
          <w:numId w:val="39"/>
        </w:numPr>
        <w:autoSpaceDN w:val="0"/>
        <w:jc w:val="both"/>
        <w:rPr>
          <w:rFonts w:ascii="Times New Roman" w:hAnsi="Times New Roman"/>
          <w:sz w:val="24"/>
          <w:szCs w:val="24"/>
        </w:rPr>
      </w:pPr>
      <w:r w:rsidRPr="00867B07">
        <w:rPr>
          <w:rFonts w:ascii="Times New Roman" w:hAnsi="Times New Roman"/>
          <w:sz w:val="24"/>
          <w:szCs w:val="24"/>
        </w:rPr>
        <w:t>Количество учтенных за</w:t>
      </w:r>
      <w:r>
        <w:rPr>
          <w:rFonts w:ascii="Times New Roman" w:hAnsi="Times New Roman"/>
          <w:sz w:val="24"/>
          <w:szCs w:val="24"/>
        </w:rPr>
        <w:t>писей контрагентов и эмитентов ю</w:t>
      </w:r>
      <w:r w:rsidRPr="00867B07">
        <w:rPr>
          <w:rFonts w:ascii="Times New Roman" w:hAnsi="Times New Roman"/>
          <w:sz w:val="24"/>
          <w:szCs w:val="24"/>
        </w:rPr>
        <w:t>ридических лиц увеличилось на 1% и составило 3856 шт., аналогичный показатель по физическим лицам увеличился на 12% и составил 8634 шт.</w:t>
      </w:r>
    </w:p>
    <w:p w14:paraId="46EEF0A3" w14:textId="77777777" w:rsidR="00022875" w:rsidRDefault="00022875" w:rsidP="00022875">
      <w:pPr>
        <w:pStyle w:val="a9"/>
        <w:ind w:left="360" w:firstLine="348"/>
        <w:jc w:val="both"/>
        <w:rPr>
          <w:rFonts w:ascii="Times New Roman" w:hAnsi="Times New Roman"/>
          <w:sz w:val="24"/>
          <w:szCs w:val="24"/>
        </w:rPr>
      </w:pPr>
    </w:p>
    <w:p w14:paraId="5792770E" w14:textId="77777777" w:rsidR="00022875" w:rsidRPr="00230B06" w:rsidRDefault="00022875" w:rsidP="009E4D5C">
      <w:pPr>
        <w:pStyle w:val="a9"/>
        <w:spacing w:after="0" w:line="240" w:lineRule="auto"/>
        <w:ind w:left="357" w:firstLine="346"/>
        <w:jc w:val="both"/>
        <w:rPr>
          <w:rFonts w:ascii="Times New Roman" w:hAnsi="Times New Roman"/>
          <w:sz w:val="24"/>
          <w:szCs w:val="24"/>
        </w:rPr>
      </w:pPr>
      <w:r>
        <w:rPr>
          <w:rFonts w:ascii="Times New Roman" w:hAnsi="Times New Roman"/>
          <w:sz w:val="24"/>
          <w:szCs w:val="24"/>
        </w:rPr>
        <w:t>В отчетный период б</w:t>
      </w:r>
      <w:r w:rsidRPr="00230B06">
        <w:rPr>
          <w:rFonts w:ascii="Times New Roman" w:hAnsi="Times New Roman"/>
          <w:sz w:val="24"/>
          <w:szCs w:val="24"/>
        </w:rPr>
        <w:t xml:space="preserve">ыло продолжено развитие системы </w:t>
      </w:r>
      <w:r>
        <w:rPr>
          <w:rFonts w:ascii="Times New Roman" w:hAnsi="Times New Roman"/>
          <w:sz w:val="24"/>
          <w:szCs w:val="24"/>
        </w:rPr>
        <w:t>у</w:t>
      </w:r>
      <w:r w:rsidRPr="00230B06">
        <w:rPr>
          <w:rFonts w:ascii="Times New Roman" w:hAnsi="Times New Roman"/>
          <w:sz w:val="24"/>
          <w:szCs w:val="24"/>
        </w:rPr>
        <w:t xml:space="preserve">правления </w:t>
      </w:r>
      <w:r>
        <w:rPr>
          <w:rFonts w:ascii="Times New Roman" w:hAnsi="Times New Roman"/>
          <w:sz w:val="24"/>
          <w:szCs w:val="24"/>
        </w:rPr>
        <w:t>с</w:t>
      </w:r>
      <w:r w:rsidRPr="00230B06">
        <w:rPr>
          <w:rFonts w:ascii="Times New Roman" w:hAnsi="Times New Roman"/>
          <w:sz w:val="24"/>
          <w:szCs w:val="24"/>
        </w:rPr>
        <w:t>айтом. Реализованы следующие задачи:</w:t>
      </w:r>
    </w:p>
    <w:p w14:paraId="28EE25C2" w14:textId="77777777" w:rsidR="00022875" w:rsidRPr="00230B06" w:rsidRDefault="00022875" w:rsidP="00022875">
      <w:pPr>
        <w:numPr>
          <w:ilvl w:val="0"/>
          <w:numId w:val="37"/>
        </w:numPr>
        <w:autoSpaceDN w:val="0"/>
        <w:jc w:val="both"/>
        <w:rPr>
          <w:rFonts w:ascii="Times New Roman" w:hAnsi="Times New Roman"/>
          <w:sz w:val="24"/>
          <w:szCs w:val="24"/>
        </w:rPr>
      </w:pPr>
      <w:r>
        <w:rPr>
          <w:rFonts w:ascii="Times New Roman" w:hAnsi="Times New Roman"/>
          <w:sz w:val="24"/>
          <w:szCs w:val="24"/>
        </w:rPr>
        <w:t>А</w:t>
      </w:r>
      <w:r w:rsidRPr="00230B06">
        <w:rPr>
          <w:rFonts w:ascii="Times New Roman" w:hAnsi="Times New Roman"/>
          <w:sz w:val="24"/>
          <w:szCs w:val="24"/>
        </w:rPr>
        <w:t xml:space="preserve">втоматическое размещение риск-параметров </w:t>
      </w:r>
      <w:r>
        <w:rPr>
          <w:rFonts w:ascii="Times New Roman" w:hAnsi="Times New Roman"/>
          <w:sz w:val="24"/>
          <w:szCs w:val="24"/>
        </w:rPr>
        <w:t>в</w:t>
      </w:r>
      <w:r w:rsidRPr="00230B06">
        <w:rPr>
          <w:rFonts w:ascii="Times New Roman" w:hAnsi="Times New Roman"/>
          <w:sz w:val="24"/>
          <w:szCs w:val="24"/>
        </w:rPr>
        <w:t>алютного рынка;</w:t>
      </w:r>
    </w:p>
    <w:p w14:paraId="532B5CDD" w14:textId="77777777" w:rsidR="00022875" w:rsidRPr="00230B06" w:rsidRDefault="00022875" w:rsidP="00022875">
      <w:pPr>
        <w:numPr>
          <w:ilvl w:val="0"/>
          <w:numId w:val="37"/>
        </w:numPr>
        <w:autoSpaceDN w:val="0"/>
        <w:jc w:val="both"/>
        <w:rPr>
          <w:rFonts w:ascii="Times New Roman" w:hAnsi="Times New Roman"/>
          <w:sz w:val="24"/>
          <w:szCs w:val="24"/>
        </w:rPr>
      </w:pPr>
      <w:r w:rsidRPr="00230B06">
        <w:rPr>
          <w:rFonts w:ascii="Times New Roman" w:hAnsi="Times New Roman"/>
          <w:sz w:val="24"/>
          <w:szCs w:val="24"/>
        </w:rPr>
        <w:t xml:space="preserve">Автоматическое размещение списка </w:t>
      </w:r>
      <w:r>
        <w:rPr>
          <w:rFonts w:ascii="Times New Roman" w:hAnsi="Times New Roman"/>
          <w:sz w:val="24"/>
          <w:szCs w:val="24"/>
        </w:rPr>
        <w:t>у</w:t>
      </w:r>
      <w:r w:rsidRPr="00230B06">
        <w:rPr>
          <w:rFonts w:ascii="Times New Roman" w:hAnsi="Times New Roman"/>
          <w:sz w:val="24"/>
          <w:szCs w:val="24"/>
        </w:rPr>
        <w:t xml:space="preserve">частников </w:t>
      </w:r>
      <w:r>
        <w:rPr>
          <w:rFonts w:ascii="Times New Roman" w:hAnsi="Times New Roman"/>
          <w:sz w:val="24"/>
          <w:szCs w:val="24"/>
        </w:rPr>
        <w:t>к</w:t>
      </w:r>
      <w:r w:rsidRPr="00230B06">
        <w:rPr>
          <w:rFonts w:ascii="Times New Roman" w:hAnsi="Times New Roman"/>
          <w:sz w:val="24"/>
          <w:szCs w:val="24"/>
        </w:rPr>
        <w:t xml:space="preserve">лиринга и </w:t>
      </w:r>
      <w:r>
        <w:rPr>
          <w:rFonts w:ascii="Times New Roman" w:hAnsi="Times New Roman"/>
          <w:sz w:val="24"/>
          <w:szCs w:val="24"/>
        </w:rPr>
        <w:t>э</w:t>
      </w:r>
      <w:r w:rsidRPr="00230B06">
        <w:rPr>
          <w:rFonts w:ascii="Times New Roman" w:hAnsi="Times New Roman"/>
          <w:sz w:val="24"/>
          <w:szCs w:val="24"/>
        </w:rPr>
        <w:t>митентов;</w:t>
      </w:r>
    </w:p>
    <w:p w14:paraId="41967EE0" w14:textId="77777777" w:rsidR="00022875" w:rsidRPr="00230B06" w:rsidRDefault="00022875" w:rsidP="00022875">
      <w:pPr>
        <w:numPr>
          <w:ilvl w:val="0"/>
          <w:numId w:val="37"/>
        </w:numPr>
        <w:autoSpaceDN w:val="0"/>
        <w:jc w:val="both"/>
        <w:rPr>
          <w:rFonts w:ascii="Times New Roman" w:hAnsi="Times New Roman"/>
          <w:sz w:val="24"/>
          <w:szCs w:val="24"/>
        </w:rPr>
      </w:pPr>
      <w:r w:rsidRPr="00230B06">
        <w:rPr>
          <w:rFonts w:ascii="Times New Roman" w:hAnsi="Times New Roman"/>
          <w:sz w:val="24"/>
          <w:szCs w:val="24"/>
        </w:rPr>
        <w:t xml:space="preserve">Автоматическое размещение </w:t>
      </w:r>
      <w:r>
        <w:rPr>
          <w:rFonts w:ascii="Times New Roman" w:hAnsi="Times New Roman"/>
          <w:sz w:val="24"/>
          <w:szCs w:val="24"/>
        </w:rPr>
        <w:t>к</w:t>
      </w:r>
      <w:r w:rsidRPr="00230B06">
        <w:rPr>
          <w:rFonts w:ascii="Times New Roman" w:hAnsi="Times New Roman"/>
          <w:sz w:val="24"/>
          <w:szCs w:val="24"/>
        </w:rPr>
        <w:t>алендаря расчетных дней.</w:t>
      </w:r>
    </w:p>
    <w:p w14:paraId="458E2321" w14:textId="77777777" w:rsidR="00022875" w:rsidRPr="00230B06" w:rsidRDefault="00022875" w:rsidP="009E4D5C">
      <w:pPr>
        <w:pStyle w:val="a9"/>
        <w:spacing w:line="240" w:lineRule="auto"/>
        <w:ind w:left="360" w:firstLine="348"/>
        <w:jc w:val="both"/>
        <w:rPr>
          <w:rFonts w:ascii="Times New Roman" w:hAnsi="Times New Roman"/>
          <w:sz w:val="24"/>
          <w:szCs w:val="24"/>
        </w:rPr>
      </w:pPr>
      <w:r w:rsidRPr="00230B06">
        <w:rPr>
          <w:rFonts w:ascii="Times New Roman" w:hAnsi="Times New Roman"/>
          <w:sz w:val="24"/>
          <w:szCs w:val="24"/>
        </w:rPr>
        <w:t xml:space="preserve">Тем самым </w:t>
      </w:r>
      <w:r>
        <w:rPr>
          <w:rFonts w:ascii="Times New Roman" w:hAnsi="Times New Roman"/>
          <w:sz w:val="24"/>
          <w:szCs w:val="24"/>
        </w:rPr>
        <w:t>НКО НКЦ (АО)</w:t>
      </w:r>
      <w:r w:rsidRPr="00230B06">
        <w:rPr>
          <w:rFonts w:ascii="Times New Roman" w:hAnsi="Times New Roman"/>
          <w:sz w:val="24"/>
          <w:szCs w:val="24"/>
        </w:rPr>
        <w:t xml:space="preserve"> повысил оперативность и точность </w:t>
      </w:r>
      <w:r>
        <w:rPr>
          <w:rFonts w:ascii="Times New Roman" w:hAnsi="Times New Roman"/>
          <w:sz w:val="24"/>
          <w:szCs w:val="24"/>
        </w:rPr>
        <w:t>информирования у</w:t>
      </w:r>
      <w:r w:rsidRPr="00230B06">
        <w:rPr>
          <w:rFonts w:ascii="Times New Roman" w:hAnsi="Times New Roman"/>
          <w:sz w:val="24"/>
          <w:szCs w:val="24"/>
        </w:rPr>
        <w:t xml:space="preserve">частников </w:t>
      </w:r>
      <w:r>
        <w:rPr>
          <w:rFonts w:ascii="Times New Roman" w:hAnsi="Times New Roman"/>
          <w:sz w:val="24"/>
          <w:szCs w:val="24"/>
        </w:rPr>
        <w:t>к</w:t>
      </w:r>
      <w:r w:rsidRPr="00230B06">
        <w:rPr>
          <w:rFonts w:ascii="Times New Roman" w:hAnsi="Times New Roman"/>
          <w:sz w:val="24"/>
          <w:szCs w:val="24"/>
        </w:rPr>
        <w:t>лиринга, снизил операционные риски при раскрытии клиринговой информации, повысил надежность ИТ-инфраструктуры.</w:t>
      </w:r>
    </w:p>
    <w:p w14:paraId="78E674F6" w14:textId="77777777" w:rsidR="00022875" w:rsidRDefault="00022875" w:rsidP="009E4D5C">
      <w:pPr>
        <w:pStyle w:val="a9"/>
        <w:spacing w:line="240" w:lineRule="auto"/>
        <w:ind w:left="360" w:firstLine="348"/>
        <w:jc w:val="both"/>
        <w:rPr>
          <w:rFonts w:ascii="Times New Roman" w:hAnsi="Times New Roman"/>
          <w:sz w:val="24"/>
          <w:szCs w:val="24"/>
        </w:rPr>
      </w:pPr>
    </w:p>
    <w:p w14:paraId="3C22089D" w14:textId="2AC35792" w:rsidR="00022875" w:rsidRPr="001A5932" w:rsidRDefault="00022875" w:rsidP="009E4D5C">
      <w:pPr>
        <w:pStyle w:val="a9"/>
        <w:numPr>
          <w:ilvl w:val="0"/>
          <w:numId w:val="38"/>
        </w:numPr>
        <w:spacing w:after="0" w:line="240" w:lineRule="auto"/>
        <w:jc w:val="both"/>
        <w:rPr>
          <w:rFonts w:ascii="Times New Roman" w:hAnsi="Times New Roman"/>
          <w:sz w:val="24"/>
          <w:szCs w:val="24"/>
        </w:rPr>
      </w:pPr>
      <w:r>
        <w:rPr>
          <w:rFonts w:ascii="Times New Roman" w:hAnsi="Times New Roman"/>
          <w:sz w:val="24"/>
          <w:szCs w:val="24"/>
        </w:rPr>
        <w:t>Технологи</w:t>
      </w:r>
      <w:r w:rsidR="0035690E">
        <w:rPr>
          <w:rFonts w:ascii="Times New Roman" w:hAnsi="Times New Roman"/>
          <w:sz w:val="24"/>
          <w:szCs w:val="24"/>
        </w:rPr>
        <w:t xml:space="preserve">ческое развитие получила и </w:t>
      </w:r>
      <w:r w:rsidRPr="00C018DB">
        <w:rPr>
          <w:rFonts w:ascii="Times New Roman" w:hAnsi="Times New Roman"/>
          <w:sz w:val="24"/>
          <w:szCs w:val="24"/>
        </w:rPr>
        <w:t>экосистем</w:t>
      </w:r>
      <w:r>
        <w:rPr>
          <w:rFonts w:ascii="Times New Roman" w:hAnsi="Times New Roman"/>
          <w:sz w:val="24"/>
          <w:szCs w:val="24"/>
        </w:rPr>
        <w:t>а</w:t>
      </w:r>
      <w:r w:rsidRPr="00C018DB">
        <w:rPr>
          <w:rFonts w:ascii="Times New Roman" w:hAnsi="Times New Roman"/>
          <w:sz w:val="24"/>
          <w:szCs w:val="24"/>
        </w:rPr>
        <w:t xml:space="preserve"> продуктов Softwell NAVIGATOR</w:t>
      </w:r>
      <w:r>
        <w:rPr>
          <w:rFonts w:ascii="Times New Roman" w:hAnsi="Times New Roman"/>
          <w:sz w:val="24"/>
          <w:szCs w:val="24"/>
        </w:rPr>
        <w:t xml:space="preserve"> </w:t>
      </w:r>
      <w:r w:rsidRPr="001A5932">
        <w:rPr>
          <w:rFonts w:ascii="Times New Roman" w:hAnsi="Times New Roman"/>
          <w:sz w:val="24"/>
          <w:szCs w:val="24"/>
        </w:rPr>
        <w:t xml:space="preserve">Внедрен веб-сервис для репортинга сделок </w:t>
      </w:r>
      <w:r>
        <w:rPr>
          <w:rFonts w:ascii="Times New Roman" w:hAnsi="Times New Roman"/>
          <w:sz w:val="24"/>
          <w:szCs w:val="24"/>
        </w:rPr>
        <w:t>с</w:t>
      </w:r>
      <w:r w:rsidRPr="001A5932">
        <w:rPr>
          <w:rFonts w:ascii="Times New Roman" w:hAnsi="Times New Roman"/>
          <w:sz w:val="24"/>
          <w:szCs w:val="24"/>
        </w:rPr>
        <w:t>тандартизованных ПФИ в репозитарий НРД</w:t>
      </w:r>
      <w:r>
        <w:rPr>
          <w:rFonts w:ascii="Times New Roman" w:hAnsi="Times New Roman"/>
          <w:sz w:val="24"/>
          <w:szCs w:val="24"/>
        </w:rPr>
        <w:t>.</w:t>
      </w:r>
    </w:p>
    <w:p w14:paraId="00B143A2" w14:textId="77777777" w:rsidR="00022875" w:rsidRPr="00230B06" w:rsidRDefault="00022875" w:rsidP="009E4D5C">
      <w:pPr>
        <w:numPr>
          <w:ilvl w:val="0"/>
          <w:numId w:val="38"/>
        </w:numPr>
        <w:autoSpaceDN w:val="0"/>
        <w:jc w:val="both"/>
        <w:rPr>
          <w:rFonts w:ascii="Times New Roman" w:hAnsi="Times New Roman"/>
          <w:sz w:val="24"/>
          <w:szCs w:val="24"/>
        </w:rPr>
      </w:pPr>
      <w:r w:rsidRPr="00230B06">
        <w:rPr>
          <w:rFonts w:ascii="Times New Roman" w:hAnsi="Times New Roman"/>
          <w:sz w:val="24"/>
          <w:szCs w:val="24"/>
        </w:rPr>
        <w:t>Реализованы важные доработки в части оптимизации работы сервиса FinCad: предзагрузка квазистатичных объектов в модель (комбинации календарей, конвенции, спецификации оценки), реализовано кэширование симметричных значений рисков, а не только стоимостей.</w:t>
      </w:r>
    </w:p>
    <w:p w14:paraId="2B7C541A" w14:textId="77777777" w:rsidR="00022875" w:rsidRDefault="00022875" w:rsidP="009E4D5C">
      <w:pPr>
        <w:numPr>
          <w:ilvl w:val="0"/>
          <w:numId w:val="38"/>
        </w:numPr>
        <w:autoSpaceDN w:val="0"/>
        <w:jc w:val="both"/>
        <w:rPr>
          <w:rFonts w:ascii="Times New Roman" w:hAnsi="Times New Roman"/>
          <w:sz w:val="24"/>
          <w:szCs w:val="24"/>
        </w:rPr>
      </w:pPr>
      <w:r w:rsidRPr="00230B06">
        <w:rPr>
          <w:rFonts w:ascii="Times New Roman" w:hAnsi="Times New Roman"/>
          <w:sz w:val="24"/>
          <w:szCs w:val="24"/>
        </w:rPr>
        <w:t xml:space="preserve">Реализован веб-сервис Navigator API для интеграции с учетными системами участников и брокерскими интерфейсами. Сервис встроен в инфраструктуру MOEX Passport </w:t>
      </w:r>
      <w:r>
        <w:rPr>
          <w:rFonts w:ascii="Times New Roman" w:hAnsi="Times New Roman"/>
          <w:sz w:val="24"/>
          <w:szCs w:val="24"/>
        </w:rPr>
        <w:t xml:space="preserve">с использованием в качестве </w:t>
      </w:r>
      <w:r w:rsidRPr="001611B8">
        <w:rPr>
          <w:rFonts w:ascii="Times New Roman" w:hAnsi="Times New Roman"/>
          <w:sz w:val="24"/>
          <w:szCs w:val="24"/>
        </w:rPr>
        <w:t xml:space="preserve">системы авторизации </w:t>
      </w:r>
      <w:r w:rsidRPr="001611B8">
        <w:rPr>
          <w:rFonts w:ascii="Times New Roman" w:eastAsia="Times New Roman" w:hAnsi="Times New Roman"/>
          <w:sz w:val="24"/>
          <w:szCs w:val="24"/>
        </w:rPr>
        <w:t>CA API Gateway</w:t>
      </w:r>
      <w:r w:rsidRPr="00230B06">
        <w:rPr>
          <w:rFonts w:ascii="Times New Roman" w:hAnsi="Times New Roman"/>
          <w:sz w:val="24"/>
          <w:szCs w:val="24"/>
        </w:rPr>
        <w:t>. В настоящее время идет тестирование взаимодействия с инфраструктурой Биржи.</w:t>
      </w:r>
    </w:p>
    <w:p w14:paraId="5BB33067" w14:textId="77777777" w:rsidR="00022875" w:rsidRDefault="00022875" w:rsidP="009E4D5C">
      <w:pPr>
        <w:pStyle w:val="a9"/>
        <w:autoSpaceDN w:val="0"/>
        <w:spacing w:after="240" w:line="240" w:lineRule="auto"/>
        <w:ind w:left="1068"/>
        <w:jc w:val="both"/>
        <w:rPr>
          <w:rFonts w:ascii="Times New Roman" w:hAnsi="Times New Roman"/>
          <w:sz w:val="24"/>
          <w:szCs w:val="24"/>
        </w:rPr>
      </w:pPr>
    </w:p>
    <w:p w14:paraId="0454C549" w14:textId="77777777" w:rsidR="00022875" w:rsidRPr="007659AA" w:rsidRDefault="00022875" w:rsidP="00022875">
      <w:pPr>
        <w:pStyle w:val="a9"/>
        <w:autoSpaceDN w:val="0"/>
        <w:spacing w:after="240" w:line="240" w:lineRule="auto"/>
        <w:ind w:left="1068"/>
        <w:jc w:val="both"/>
        <w:rPr>
          <w:rFonts w:ascii="Times New Roman" w:hAnsi="Times New Roman"/>
          <w:sz w:val="24"/>
          <w:szCs w:val="24"/>
        </w:rPr>
      </w:pPr>
      <w:r w:rsidRPr="007659AA">
        <w:rPr>
          <w:rFonts w:ascii="Times New Roman" w:hAnsi="Times New Roman"/>
          <w:sz w:val="24"/>
          <w:szCs w:val="24"/>
        </w:rPr>
        <w:t>Коли</w:t>
      </w:r>
      <w:r>
        <w:rPr>
          <w:rFonts w:ascii="Times New Roman" w:hAnsi="Times New Roman"/>
          <w:sz w:val="24"/>
          <w:szCs w:val="24"/>
        </w:rPr>
        <w:t xml:space="preserve">чественные показатели на рынке стандартизованных </w:t>
      </w:r>
      <w:r w:rsidRPr="007659AA">
        <w:rPr>
          <w:rFonts w:ascii="Times New Roman" w:hAnsi="Times New Roman"/>
          <w:sz w:val="24"/>
          <w:szCs w:val="24"/>
        </w:rPr>
        <w:t>ПФИ в 201</w:t>
      </w:r>
      <w:r>
        <w:rPr>
          <w:rFonts w:ascii="Times New Roman" w:hAnsi="Times New Roman"/>
          <w:sz w:val="24"/>
          <w:szCs w:val="24"/>
        </w:rPr>
        <w:t>7</w:t>
      </w:r>
      <w:r w:rsidRPr="007659AA">
        <w:rPr>
          <w:rFonts w:ascii="Times New Roman" w:hAnsi="Times New Roman"/>
          <w:sz w:val="24"/>
          <w:szCs w:val="24"/>
        </w:rPr>
        <w:t>г. составили: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410"/>
        <w:gridCol w:w="2404"/>
      </w:tblGrid>
      <w:tr w:rsidR="00022875" w:rsidRPr="00337718" w14:paraId="1F79FA5B" w14:textId="77777777" w:rsidTr="00286CB1">
        <w:tc>
          <w:tcPr>
            <w:tcW w:w="4531" w:type="dxa"/>
            <w:shd w:val="clear" w:color="auto" w:fill="auto"/>
          </w:tcPr>
          <w:p w14:paraId="432145DB" w14:textId="77777777" w:rsidR="00022875" w:rsidRPr="001611B8" w:rsidRDefault="00022875" w:rsidP="00286CB1">
            <w:pPr>
              <w:rPr>
                <w:rFonts w:ascii="Times New Roman" w:hAnsi="Times New Roman"/>
                <w:b/>
                <w:sz w:val="24"/>
                <w:szCs w:val="24"/>
              </w:rPr>
            </w:pPr>
            <w:r w:rsidRPr="001611B8">
              <w:rPr>
                <w:rFonts w:ascii="Times New Roman" w:hAnsi="Times New Roman"/>
                <w:b/>
                <w:sz w:val="24"/>
                <w:szCs w:val="24"/>
              </w:rPr>
              <w:lastRenderedPageBreak/>
              <w:t>Показатель</w:t>
            </w:r>
          </w:p>
        </w:tc>
        <w:tc>
          <w:tcPr>
            <w:tcW w:w="2410" w:type="dxa"/>
            <w:shd w:val="clear" w:color="auto" w:fill="auto"/>
          </w:tcPr>
          <w:p w14:paraId="6E81AF35" w14:textId="77777777" w:rsidR="00022875" w:rsidRPr="001611B8" w:rsidRDefault="00022875" w:rsidP="00286CB1">
            <w:pPr>
              <w:rPr>
                <w:rFonts w:ascii="Times New Roman" w:hAnsi="Times New Roman"/>
                <w:b/>
                <w:sz w:val="24"/>
                <w:szCs w:val="24"/>
              </w:rPr>
            </w:pPr>
            <w:r w:rsidRPr="001611B8">
              <w:rPr>
                <w:rFonts w:ascii="Times New Roman" w:hAnsi="Times New Roman"/>
                <w:b/>
                <w:sz w:val="24"/>
                <w:szCs w:val="24"/>
              </w:rPr>
              <w:t>Всего</w:t>
            </w:r>
          </w:p>
        </w:tc>
        <w:tc>
          <w:tcPr>
            <w:tcW w:w="2404" w:type="dxa"/>
            <w:shd w:val="clear" w:color="auto" w:fill="auto"/>
          </w:tcPr>
          <w:p w14:paraId="002B7D7E" w14:textId="77777777" w:rsidR="00022875" w:rsidRPr="001611B8" w:rsidRDefault="00022875" w:rsidP="00286CB1">
            <w:pPr>
              <w:rPr>
                <w:rFonts w:ascii="Times New Roman" w:hAnsi="Times New Roman"/>
                <w:b/>
                <w:sz w:val="24"/>
                <w:szCs w:val="24"/>
              </w:rPr>
            </w:pPr>
            <w:r w:rsidRPr="001611B8">
              <w:rPr>
                <w:rFonts w:ascii="Times New Roman" w:hAnsi="Times New Roman"/>
                <w:b/>
                <w:sz w:val="24"/>
                <w:szCs w:val="24"/>
              </w:rPr>
              <w:t>Новых</w:t>
            </w:r>
          </w:p>
        </w:tc>
      </w:tr>
      <w:tr w:rsidR="00022875" w:rsidRPr="002C589A" w14:paraId="2C5C4CC5" w14:textId="77777777" w:rsidTr="00286CB1">
        <w:tc>
          <w:tcPr>
            <w:tcW w:w="4531" w:type="dxa"/>
            <w:shd w:val="clear" w:color="auto" w:fill="auto"/>
          </w:tcPr>
          <w:p w14:paraId="258635A6" w14:textId="77777777" w:rsidR="00022875" w:rsidRPr="001611B8" w:rsidRDefault="00022875" w:rsidP="00286CB1">
            <w:pPr>
              <w:rPr>
                <w:rFonts w:ascii="Times New Roman" w:hAnsi="Times New Roman"/>
                <w:sz w:val="24"/>
                <w:szCs w:val="24"/>
              </w:rPr>
            </w:pPr>
            <w:r w:rsidRPr="001611B8">
              <w:rPr>
                <w:rFonts w:ascii="Times New Roman" w:hAnsi="Times New Roman"/>
                <w:sz w:val="24"/>
                <w:szCs w:val="24"/>
              </w:rPr>
              <w:t>Активных расчетных кодов</w:t>
            </w:r>
          </w:p>
        </w:tc>
        <w:tc>
          <w:tcPr>
            <w:tcW w:w="2410" w:type="dxa"/>
            <w:shd w:val="clear" w:color="auto" w:fill="auto"/>
          </w:tcPr>
          <w:p w14:paraId="28C4F933" w14:textId="77777777" w:rsidR="00022875" w:rsidRPr="001611B8" w:rsidRDefault="00022875" w:rsidP="00286CB1">
            <w:pPr>
              <w:rPr>
                <w:rFonts w:ascii="Times New Roman" w:hAnsi="Times New Roman"/>
                <w:sz w:val="24"/>
                <w:szCs w:val="24"/>
              </w:rPr>
            </w:pPr>
            <w:r w:rsidRPr="001611B8">
              <w:rPr>
                <w:rFonts w:ascii="Times New Roman" w:hAnsi="Times New Roman"/>
                <w:sz w:val="24"/>
                <w:szCs w:val="24"/>
              </w:rPr>
              <w:t>49</w:t>
            </w:r>
          </w:p>
        </w:tc>
        <w:tc>
          <w:tcPr>
            <w:tcW w:w="2404" w:type="dxa"/>
            <w:shd w:val="clear" w:color="auto" w:fill="auto"/>
          </w:tcPr>
          <w:p w14:paraId="2798CF7A" w14:textId="77777777" w:rsidR="00022875" w:rsidRPr="001611B8" w:rsidRDefault="00022875" w:rsidP="00286CB1">
            <w:pPr>
              <w:rPr>
                <w:rFonts w:ascii="Times New Roman" w:hAnsi="Times New Roman"/>
                <w:sz w:val="24"/>
                <w:szCs w:val="24"/>
              </w:rPr>
            </w:pPr>
            <w:r w:rsidRPr="001611B8">
              <w:rPr>
                <w:rFonts w:ascii="Times New Roman" w:hAnsi="Times New Roman"/>
                <w:sz w:val="24"/>
                <w:szCs w:val="24"/>
              </w:rPr>
              <w:t>6</w:t>
            </w:r>
          </w:p>
        </w:tc>
      </w:tr>
      <w:tr w:rsidR="00022875" w:rsidRPr="002C589A" w14:paraId="293DFACA" w14:textId="77777777" w:rsidTr="00286CB1">
        <w:tc>
          <w:tcPr>
            <w:tcW w:w="4531" w:type="dxa"/>
            <w:shd w:val="clear" w:color="auto" w:fill="auto"/>
          </w:tcPr>
          <w:p w14:paraId="6BF9E60C" w14:textId="77777777" w:rsidR="00022875" w:rsidRPr="001611B8" w:rsidRDefault="00022875" w:rsidP="00286CB1">
            <w:pPr>
              <w:rPr>
                <w:rFonts w:ascii="Times New Roman" w:hAnsi="Times New Roman"/>
                <w:sz w:val="24"/>
                <w:szCs w:val="24"/>
              </w:rPr>
            </w:pPr>
            <w:r w:rsidRPr="001611B8">
              <w:rPr>
                <w:rFonts w:ascii="Times New Roman" w:hAnsi="Times New Roman"/>
                <w:sz w:val="24"/>
                <w:szCs w:val="24"/>
              </w:rPr>
              <w:t>Сделок УК-ЦК на Рынке СПФИ</w:t>
            </w:r>
          </w:p>
        </w:tc>
        <w:tc>
          <w:tcPr>
            <w:tcW w:w="2410" w:type="dxa"/>
            <w:shd w:val="clear" w:color="auto" w:fill="auto"/>
          </w:tcPr>
          <w:p w14:paraId="6CFB5B4F" w14:textId="77777777" w:rsidR="00022875" w:rsidRPr="001611B8" w:rsidRDefault="00022875" w:rsidP="00286CB1">
            <w:pPr>
              <w:rPr>
                <w:rFonts w:ascii="Times New Roman" w:hAnsi="Times New Roman"/>
                <w:sz w:val="24"/>
                <w:szCs w:val="24"/>
              </w:rPr>
            </w:pPr>
            <w:r w:rsidRPr="001611B8">
              <w:rPr>
                <w:rFonts w:ascii="Times New Roman" w:hAnsi="Times New Roman"/>
                <w:sz w:val="24"/>
                <w:szCs w:val="24"/>
              </w:rPr>
              <w:t>154</w:t>
            </w:r>
          </w:p>
        </w:tc>
        <w:tc>
          <w:tcPr>
            <w:tcW w:w="2404" w:type="dxa"/>
            <w:shd w:val="clear" w:color="auto" w:fill="auto"/>
          </w:tcPr>
          <w:p w14:paraId="01EAD6C5" w14:textId="77777777" w:rsidR="00022875" w:rsidRPr="001611B8" w:rsidRDefault="00022875" w:rsidP="00286CB1">
            <w:pPr>
              <w:rPr>
                <w:rFonts w:ascii="Times New Roman" w:hAnsi="Times New Roman"/>
                <w:sz w:val="24"/>
                <w:szCs w:val="24"/>
              </w:rPr>
            </w:pPr>
            <w:r w:rsidRPr="001611B8">
              <w:rPr>
                <w:rFonts w:ascii="Times New Roman" w:hAnsi="Times New Roman"/>
                <w:sz w:val="24"/>
                <w:szCs w:val="24"/>
              </w:rPr>
              <w:t>142</w:t>
            </w:r>
          </w:p>
        </w:tc>
      </w:tr>
      <w:tr w:rsidR="00022875" w:rsidRPr="002C589A" w14:paraId="330B7890" w14:textId="77777777" w:rsidTr="00286CB1">
        <w:tc>
          <w:tcPr>
            <w:tcW w:w="4531" w:type="dxa"/>
            <w:shd w:val="clear" w:color="auto" w:fill="auto"/>
          </w:tcPr>
          <w:p w14:paraId="49CAEC34" w14:textId="77777777" w:rsidR="00022875" w:rsidRPr="001611B8" w:rsidRDefault="00022875" w:rsidP="00286CB1">
            <w:pPr>
              <w:rPr>
                <w:rFonts w:ascii="Times New Roman" w:hAnsi="Times New Roman"/>
                <w:sz w:val="24"/>
                <w:szCs w:val="24"/>
              </w:rPr>
            </w:pPr>
            <w:r w:rsidRPr="001611B8">
              <w:rPr>
                <w:rFonts w:ascii="Times New Roman" w:hAnsi="Times New Roman"/>
                <w:sz w:val="24"/>
                <w:szCs w:val="24"/>
              </w:rPr>
              <w:t>Пиковый суммарный объем номиналов</w:t>
            </w:r>
          </w:p>
        </w:tc>
        <w:tc>
          <w:tcPr>
            <w:tcW w:w="2410" w:type="dxa"/>
            <w:shd w:val="clear" w:color="auto" w:fill="auto"/>
          </w:tcPr>
          <w:p w14:paraId="08D4690D" w14:textId="77777777" w:rsidR="00022875" w:rsidRPr="001611B8" w:rsidRDefault="00022875" w:rsidP="00286CB1">
            <w:pPr>
              <w:rPr>
                <w:rFonts w:ascii="Times New Roman" w:hAnsi="Times New Roman"/>
                <w:sz w:val="24"/>
                <w:szCs w:val="24"/>
              </w:rPr>
            </w:pPr>
            <w:r w:rsidRPr="001611B8">
              <w:rPr>
                <w:rFonts w:ascii="Times New Roman" w:hAnsi="Times New Roman"/>
                <w:sz w:val="24"/>
                <w:szCs w:val="24"/>
              </w:rPr>
              <w:t>04.09.2017 г.</w:t>
            </w:r>
          </w:p>
        </w:tc>
        <w:tc>
          <w:tcPr>
            <w:tcW w:w="2404" w:type="dxa"/>
            <w:shd w:val="clear" w:color="auto" w:fill="auto"/>
          </w:tcPr>
          <w:p w14:paraId="57CEC940" w14:textId="77777777" w:rsidR="00022875" w:rsidRPr="001611B8" w:rsidRDefault="00022875" w:rsidP="00286CB1">
            <w:pPr>
              <w:rPr>
                <w:rFonts w:ascii="Times New Roman" w:hAnsi="Times New Roman"/>
                <w:sz w:val="24"/>
                <w:szCs w:val="24"/>
              </w:rPr>
            </w:pPr>
            <w:r w:rsidRPr="001611B8">
              <w:rPr>
                <w:rFonts w:ascii="Times New Roman" w:hAnsi="Times New Roman"/>
                <w:sz w:val="24"/>
                <w:szCs w:val="24"/>
              </w:rPr>
              <w:t>72 558 596 800 р.</w:t>
            </w:r>
          </w:p>
        </w:tc>
      </w:tr>
    </w:tbl>
    <w:p w14:paraId="5A1CFDC2" w14:textId="77777777" w:rsidR="00022875" w:rsidRDefault="00022875" w:rsidP="00022875">
      <w:pPr>
        <w:pStyle w:val="a9"/>
        <w:ind w:left="360" w:firstLine="348"/>
        <w:jc w:val="both"/>
        <w:rPr>
          <w:rFonts w:ascii="Times New Roman" w:hAnsi="Times New Roman"/>
          <w:sz w:val="24"/>
          <w:szCs w:val="24"/>
        </w:rPr>
      </w:pPr>
    </w:p>
    <w:p w14:paraId="253FE654" w14:textId="77777777" w:rsidR="00022875" w:rsidRPr="009F7612" w:rsidRDefault="00022875" w:rsidP="009E4D5C">
      <w:pPr>
        <w:autoSpaceDN w:val="0"/>
        <w:ind w:firstLine="360"/>
        <w:jc w:val="both"/>
        <w:rPr>
          <w:rFonts w:ascii="Times New Roman" w:hAnsi="Times New Roman"/>
          <w:sz w:val="24"/>
          <w:szCs w:val="24"/>
        </w:rPr>
      </w:pPr>
      <w:r w:rsidRPr="00AF6E28">
        <w:rPr>
          <w:rFonts w:ascii="Times New Roman" w:hAnsi="Times New Roman"/>
          <w:sz w:val="24"/>
          <w:szCs w:val="24"/>
        </w:rPr>
        <w:t xml:space="preserve">В течении 2017 года активно продолжалось подключение </w:t>
      </w:r>
      <w:r>
        <w:rPr>
          <w:rFonts w:ascii="Times New Roman" w:hAnsi="Times New Roman"/>
          <w:sz w:val="24"/>
          <w:szCs w:val="24"/>
        </w:rPr>
        <w:t>у</w:t>
      </w:r>
      <w:r w:rsidRPr="00AF6E28">
        <w:rPr>
          <w:rFonts w:ascii="Times New Roman" w:hAnsi="Times New Roman"/>
          <w:sz w:val="24"/>
          <w:szCs w:val="24"/>
        </w:rPr>
        <w:t xml:space="preserve">частников </w:t>
      </w:r>
      <w:r>
        <w:rPr>
          <w:rFonts w:ascii="Times New Roman" w:hAnsi="Times New Roman"/>
          <w:sz w:val="24"/>
          <w:szCs w:val="24"/>
        </w:rPr>
        <w:t>к</w:t>
      </w:r>
      <w:r w:rsidRPr="00AF6E28">
        <w:rPr>
          <w:rFonts w:ascii="Times New Roman" w:hAnsi="Times New Roman"/>
          <w:sz w:val="24"/>
          <w:szCs w:val="24"/>
        </w:rPr>
        <w:t xml:space="preserve">лиринга к системе WEB-клиринг, являющейся современным развитием системы электронного документооборота с использованием ВЭБ-технологий. По состоянию на 31 декабря 2017 года к системе подключено 332 участника, из них 182 участника подключено в 2017 году, количество входящих документов от участников </w:t>
      </w:r>
      <w:r>
        <w:rPr>
          <w:rFonts w:ascii="Times New Roman" w:hAnsi="Times New Roman"/>
          <w:sz w:val="24"/>
          <w:szCs w:val="24"/>
        </w:rPr>
        <w:t>к</w:t>
      </w:r>
      <w:r w:rsidRPr="00AF6E28">
        <w:rPr>
          <w:rFonts w:ascii="Times New Roman" w:hAnsi="Times New Roman"/>
          <w:sz w:val="24"/>
          <w:szCs w:val="24"/>
        </w:rPr>
        <w:t>лиринга достигло 950 в день.</w:t>
      </w:r>
    </w:p>
    <w:p w14:paraId="1F73D8BE" w14:textId="77777777" w:rsidR="00022875" w:rsidRDefault="00022875" w:rsidP="009E4D5C">
      <w:pPr>
        <w:pStyle w:val="a9"/>
        <w:spacing w:after="0" w:line="240" w:lineRule="auto"/>
        <w:rPr>
          <w:rFonts w:ascii="Times New Roman" w:hAnsi="Times New Roman"/>
          <w:sz w:val="24"/>
          <w:szCs w:val="24"/>
        </w:rPr>
      </w:pPr>
    </w:p>
    <w:p w14:paraId="3A4EBBA7" w14:textId="77777777" w:rsidR="00022875" w:rsidRDefault="00022875" w:rsidP="009E4D5C">
      <w:pPr>
        <w:autoSpaceDN w:val="0"/>
        <w:ind w:firstLine="360"/>
        <w:jc w:val="both"/>
        <w:rPr>
          <w:rFonts w:ascii="Times New Roman" w:hAnsi="Times New Roman"/>
          <w:sz w:val="24"/>
          <w:szCs w:val="24"/>
        </w:rPr>
      </w:pPr>
      <w:r w:rsidRPr="00C27B3E">
        <w:rPr>
          <w:rFonts w:ascii="Times New Roman" w:hAnsi="Times New Roman"/>
          <w:sz w:val="24"/>
          <w:szCs w:val="24"/>
        </w:rPr>
        <w:t xml:space="preserve">Для обеспечения гарантированно надежного доступа </w:t>
      </w:r>
      <w:r>
        <w:rPr>
          <w:rFonts w:ascii="Times New Roman" w:hAnsi="Times New Roman"/>
          <w:sz w:val="24"/>
          <w:szCs w:val="24"/>
        </w:rPr>
        <w:t xml:space="preserve">НКО </w:t>
      </w:r>
      <w:r w:rsidRPr="00C27B3E">
        <w:rPr>
          <w:rFonts w:ascii="Times New Roman" w:hAnsi="Times New Roman"/>
          <w:sz w:val="24"/>
          <w:szCs w:val="24"/>
        </w:rPr>
        <w:t>НКЦ</w:t>
      </w:r>
      <w:r>
        <w:rPr>
          <w:rFonts w:ascii="Times New Roman" w:hAnsi="Times New Roman"/>
          <w:sz w:val="24"/>
          <w:szCs w:val="24"/>
        </w:rPr>
        <w:t xml:space="preserve"> (АО)</w:t>
      </w:r>
      <w:r w:rsidRPr="00C27B3E">
        <w:rPr>
          <w:rFonts w:ascii="Times New Roman" w:hAnsi="Times New Roman"/>
          <w:sz w:val="24"/>
          <w:szCs w:val="24"/>
        </w:rPr>
        <w:t xml:space="preserve"> к платежным системам Банка России и информационным электронным сервисам Федеральных служ</w:t>
      </w:r>
      <w:r>
        <w:rPr>
          <w:rFonts w:ascii="Times New Roman" w:hAnsi="Times New Roman"/>
          <w:sz w:val="24"/>
          <w:szCs w:val="24"/>
        </w:rPr>
        <w:t>б России ежеквартально проводили</w:t>
      </w:r>
      <w:r w:rsidRPr="00C27B3E">
        <w:rPr>
          <w:rFonts w:ascii="Times New Roman" w:hAnsi="Times New Roman"/>
          <w:sz w:val="24"/>
          <w:szCs w:val="24"/>
        </w:rPr>
        <w:t>сь практические тренировки по проведению платежей и передаче регуляторной отчетности с резервной</w:t>
      </w:r>
      <w:r>
        <w:rPr>
          <w:rFonts w:ascii="Times New Roman" w:hAnsi="Times New Roman"/>
          <w:sz w:val="24"/>
          <w:szCs w:val="24"/>
        </w:rPr>
        <w:t xml:space="preserve"> удаленной</w:t>
      </w:r>
      <w:r w:rsidRPr="00C27B3E">
        <w:rPr>
          <w:rFonts w:ascii="Times New Roman" w:hAnsi="Times New Roman"/>
          <w:sz w:val="24"/>
          <w:szCs w:val="24"/>
        </w:rPr>
        <w:t xml:space="preserve"> площадки. </w:t>
      </w:r>
      <w:r>
        <w:rPr>
          <w:rFonts w:ascii="Times New Roman" w:hAnsi="Times New Roman"/>
          <w:sz w:val="24"/>
          <w:szCs w:val="24"/>
        </w:rPr>
        <w:t xml:space="preserve">Программно-аппаратные </w:t>
      </w:r>
      <w:r w:rsidRPr="00C27B3E">
        <w:rPr>
          <w:rFonts w:ascii="Times New Roman" w:hAnsi="Times New Roman"/>
          <w:sz w:val="24"/>
          <w:szCs w:val="24"/>
        </w:rPr>
        <w:t xml:space="preserve">комплексы на </w:t>
      </w:r>
      <w:r>
        <w:rPr>
          <w:rFonts w:ascii="Times New Roman" w:hAnsi="Times New Roman"/>
          <w:sz w:val="24"/>
          <w:szCs w:val="24"/>
        </w:rPr>
        <w:t xml:space="preserve">удаленной </w:t>
      </w:r>
      <w:r w:rsidRPr="00C27B3E">
        <w:rPr>
          <w:rFonts w:ascii="Times New Roman" w:hAnsi="Times New Roman"/>
          <w:sz w:val="24"/>
          <w:szCs w:val="24"/>
        </w:rPr>
        <w:t>резервной площадке наход</w:t>
      </w:r>
      <w:r>
        <w:rPr>
          <w:rFonts w:ascii="Times New Roman" w:hAnsi="Times New Roman"/>
          <w:sz w:val="24"/>
          <w:szCs w:val="24"/>
        </w:rPr>
        <w:t>ятся</w:t>
      </w:r>
      <w:r w:rsidRPr="00C27B3E">
        <w:rPr>
          <w:rFonts w:ascii="Times New Roman" w:hAnsi="Times New Roman"/>
          <w:sz w:val="24"/>
          <w:szCs w:val="24"/>
        </w:rPr>
        <w:t xml:space="preserve"> в режиме готовности к немедленному применению.</w:t>
      </w:r>
      <w:r w:rsidRPr="00E97605">
        <w:rPr>
          <w:rFonts w:ascii="Times New Roman" w:hAnsi="Times New Roman"/>
          <w:sz w:val="24"/>
          <w:szCs w:val="24"/>
        </w:rPr>
        <w:t xml:space="preserve"> </w:t>
      </w:r>
      <w:r>
        <w:rPr>
          <w:rFonts w:ascii="Times New Roman" w:hAnsi="Times New Roman"/>
          <w:sz w:val="24"/>
          <w:szCs w:val="24"/>
        </w:rPr>
        <w:t xml:space="preserve">В течение 2017 года проведено 4 обновления программного обеспечения платежных программно-аппаратных комплексов. Проведено техническое тестирование нового комплекса взаимодействия с платежными системами Банка России, планируемого к внедрению в эксплуатацию в 2018 году. </w:t>
      </w:r>
    </w:p>
    <w:p w14:paraId="01FF3184" w14:textId="77777777" w:rsidR="00653954" w:rsidRDefault="00653954" w:rsidP="009E4D5C">
      <w:pPr>
        <w:autoSpaceDN w:val="0"/>
        <w:ind w:firstLine="360"/>
        <w:jc w:val="both"/>
        <w:rPr>
          <w:rFonts w:ascii="Times New Roman" w:hAnsi="Times New Roman"/>
          <w:sz w:val="24"/>
          <w:szCs w:val="24"/>
        </w:rPr>
      </w:pPr>
    </w:p>
    <w:p w14:paraId="7981CC35" w14:textId="758ECA98" w:rsidR="00022875" w:rsidRPr="00C27B3E" w:rsidRDefault="00022875" w:rsidP="009E4D5C">
      <w:pPr>
        <w:autoSpaceDN w:val="0"/>
        <w:ind w:firstLine="360"/>
        <w:jc w:val="both"/>
        <w:rPr>
          <w:rFonts w:ascii="Times New Roman" w:hAnsi="Times New Roman"/>
          <w:sz w:val="24"/>
          <w:szCs w:val="24"/>
        </w:rPr>
      </w:pPr>
      <w:r w:rsidRPr="00C27B3E">
        <w:rPr>
          <w:rFonts w:ascii="Times New Roman" w:hAnsi="Times New Roman"/>
          <w:sz w:val="24"/>
          <w:szCs w:val="24"/>
        </w:rPr>
        <w:t xml:space="preserve">Дальнейшее развитие получил комплекс </w:t>
      </w:r>
      <w:r>
        <w:rPr>
          <w:rFonts w:ascii="Times New Roman" w:hAnsi="Times New Roman"/>
          <w:sz w:val="24"/>
          <w:szCs w:val="24"/>
        </w:rPr>
        <w:t>мониторинга</w:t>
      </w:r>
      <w:r w:rsidRPr="00C27B3E">
        <w:rPr>
          <w:rFonts w:ascii="Times New Roman" w:hAnsi="Times New Roman"/>
          <w:sz w:val="24"/>
          <w:szCs w:val="24"/>
        </w:rPr>
        <w:t xml:space="preserve"> работоспособности систем банка и каналов связи «</w:t>
      </w:r>
      <w:r w:rsidRPr="00C27B3E">
        <w:rPr>
          <w:rFonts w:ascii="Times New Roman" w:hAnsi="Times New Roman"/>
          <w:sz w:val="24"/>
          <w:szCs w:val="24"/>
          <w:lang w:val="en-US"/>
        </w:rPr>
        <w:t>Advanced</w:t>
      </w:r>
      <w:r w:rsidRPr="00C27B3E">
        <w:rPr>
          <w:rFonts w:ascii="Times New Roman" w:hAnsi="Times New Roman"/>
          <w:sz w:val="24"/>
          <w:szCs w:val="24"/>
        </w:rPr>
        <w:t xml:space="preserve"> </w:t>
      </w:r>
      <w:r w:rsidRPr="00C27B3E">
        <w:rPr>
          <w:rFonts w:ascii="Times New Roman" w:hAnsi="Times New Roman"/>
          <w:sz w:val="24"/>
          <w:szCs w:val="24"/>
          <w:lang w:val="en-US"/>
        </w:rPr>
        <w:t>Host</w:t>
      </w:r>
      <w:r w:rsidRPr="00C27B3E">
        <w:rPr>
          <w:rFonts w:ascii="Times New Roman" w:hAnsi="Times New Roman"/>
          <w:sz w:val="24"/>
          <w:szCs w:val="24"/>
        </w:rPr>
        <w:t xml:space="preserve"> </w:t>
      </w:r>
      <w:r w:rsidRPr="00C27B3E">
        <w:rPr>
          <w:rFonts w:ascii="Times New Roman" w:hAnsi="Times New Roman"/>
          <w:sz w:val="24"/>
          <w:szCs w:val="24"/>
          <w:lang w:val="en-US"/>
        </w:rPr>
        <w:t>Monitor</w:t>
      </w:r>
      <w:r w:rsidRPr="00C27B3E">
        <w:rPr>
          <w:rFonts w:ascii="Times New Roman" w:hAnsi="Times New Roman"/>
          <w:sz w:val="24"/>
          <w:szCs w:val="24"/>
        </w:rPr>
        <w:t xml:space="preserve">», проведено </w:t>
      </w:r>
      <w:r>
        <w:rPr>
          <w:rFonts w:ascii="Times New Roman" w:hAnsi="Times New Roman"/>
          <w:sz w:val="24"/>
          <w:szCs w:val="24"/>
        </w:rPr>
        <w:t xml:space="preserve">2 </w:t>
      </w:r>
      <w:r w:rsidRPr="00C27B3E">
        <w:rPr>
          <w:rFonts w:ascii="Times New Roman" w:hAnsi="Times New Roman"/>
          <w:sz w:val="24"/>
          <w:szCs w:val="24"/>
        </w:rPr>
        <w:t>обновлени</w:t>
      </w:r>
      <w:r>
        <w:rPr>
          <w:rFonts w:ascii="Times New Roman" w:hAnsi="Times New Roman"/>
          <w:sz w:val="24"/>
          <w:szCs w:val="24"/>
        </w:rPr>
        <w:t>я</w:t>
      </w:r>
      <w:r w:rsidRPr="00C27B3E">
        <w:rPr>
          <w:rFonts w:ascii="Times New Roman" w:hAnsi="Times New Roman"/>
          <w:sz w:val="24"/>
          <w:szCs w:val="24"/>
        </w:rPr>
        <w:t xml:space="preserve"> программного обеспечения.</w:t>
      </w:r>
    </w:p>
    <w:p w14:paraId="520C5ABC" w14:textId="77777777" w:rsidR="00653954" w:rsidRDefault="00653954" w:rsidP="009E4D5C">
      <w:pPr>
        <w:autoSpaceDN w:val="0"/>
        <w:ind w:firstLine="360"/>
        <w:jc w:val="both"/>
        <w:rPr>
          <w:rFonts w:ascii="Times New Roman" w:hAnsi="Times New Roman"/>
          <w:sz w:val="24"/>
          <w:szCs w:val="24"/>
        </w:rPr>
      </w:pPr>
    </w:p>
    <w:p w14:paraId="03840598" w14:textId="361B5804" w:rsidR="00022875" w:rsidRPr="00C27B3E" w:rsidRDefault="00022875" w:rsidP="009E4D5C">
      <w:pPr>
        <w:autoSpaceDN w:val="0"/>
        <w:ind w:firstLine="360"/>
        <w:jc w:val="both"/>
        <w:rPr>
          <w:rFonts w:ascii="Times New Roman" w:hAnsi="Times New Roman"/>
          <w:sz w:val="24"/>
          <w:szCs w:val="24"/>
        </w:rPr>
      </w:pPr>
      <w:r w:rsidRPr="00C27B3E">
        <w:rPr>
          <w:rFonts w:ascii="Times New Roman" w:hAnsi="Times New Roman"/>
          <w:sz w:val="24"/>
          <w:szCs w:val="24"/>
        </w:rPr>
        <w:t xml:space="preserve">С целью обеспечения выполнения требований законодательства РФ и Банка России по архивному хранению документов операционного дня НКО НКЦ </w:t>
      </w:r>
      <w:r>
        <w:rPr>
          <w:rFonts w:ascii="Times New Roman" w:hAnsi="Times New Roman"/>
          <w:sz w:val="24"/>
          <w:szCs w:val="24"/>
        </w:rPr>
        <w:t xml:space="preserve">(АО) </w:t>
      </w:r>
      <w:r w:rsidRPr="00C27B3E">
        <w:rPr>
          <w:rFonts w:ascii="Times New Roman" w:hAnsi="Times New Roman"/>
          <w:sz w:val="24"/>
          <w:szCs w:val="24"/>
        </w:rPr>
        <w:t>в период с апреля по июнь проведена модернизация электронной системы хранения данных, объем системы доведен до 160 Тб.</w:t>
      </w:r>
    </w:p>
    <w:p w14:paraId="41693839" w14:textId="77777777" w:rsidR="00653954" w:rsidRDefault="00653954" w:rsidP="009E4D5C">
      <w:pPr>
        <w:autoSpaceDN w:val="0"/>
        <w:ind w:firstLine="360"/>
        <w:jc w:val="both"/>
        <w:rPr>
          <w:rFonts w:ascii="Times New Roman" w:hAnsi="Times New Roman"/>
          <w:sz w:val="24"/>
          <w:szCs w:val="24"/>
        </w:rPr>
      </w:pPr>
    </w:p>
    <w:p w14:paraId="7AD740E7" w14:textId="3F01C181" w:rsidR="00022875" w:rsidRPr="00C27B3E" w:rsidRDefault="00022875" w:rsidP="009E4D5C">
      <w:pPr>
        <w:autoSpaceDN w:val="0"/>
        <w:ind w:firstLine="360"/>
        <w:jc w:val="both"/>
        <w:rPr>
          <w:rFonts w:ascii="Times New Roman" w:hAnsi="Times New Roman"/>
          <w:sz w:val="24"/>
          <w:szCs w:val="24"/>
        </w:rPr>
      </w:pPr>
      <w:r w:rsidRPr="00C27B3E">
        <w:rPr>
          <w:rFonts w:ascii="Times New Roman" w:hAnsi="Times New Roman"/>
          <w:sz w:val="24"/>
          <w:szCs w:val="24"/>
        </w:rPr>
        <w:t xml:space="preserve">В период с апреля по декабрь </w:t>
      </w:r>
      <w:r>
        <w:rPr>
          <w:rFonts w:ascii="Times New Roman" w:hAnsi="Times New Roman"/>
          <w:sz w:val="24"/>
          <w:szCs w:val="24"/>
        </w:rPr>
        <w:t xml:space="preserve">2017г. </w:t>
      </w:r>
      <w:r w:rsidRPr="00C27B3E">
        <w:rPr>
          <w:rFonts w:ascii="Times New Roman" w:hAnsi="Times New Roman"/>
          <w:sz w:val="24"/>
          <w:szCs w:val="24"/>
        </w:rPr>
        <w:t xml:space="preserve">проведена </w:t>
      </w:r>
      <w:r>
        <w:rPr>
          <w:rFonts w:ascii="Times New Roman" w:hAnsi="Times New Roman"/>
          <w:sz w:val="24"/>
          <w:szCs w:val="24"/>
        </w:rPr>
        <w:t xml:space="preserve">значительная </w:t>
      </w:r>
      <w:r w:rsidRPr="00C27B3E">
        <w:rPr>
          <w:rFonts w:ascii="Times New Roman" w:hAnsi="Times New Roman"/>
          <w:sz w:val="24"/>
          <w:szCs w:val="24"/>
        </w:rPr>
        <w:t>работа по переводу системы подготовки, контроля и передачи банковской отчетности НКО НКЦ</w:t>
      </w:r>
      <w:r>
        <w:rPr>
          <w:rFonts w:ascii="Times New Roman" w:hAnsi="Times New Roman"/>
          <w:sz w:val="24"/>
          <w:szCs w:val="24"/>
        </w:rPr>
        <w:t xml:space="preserve"> (АО)</w:t>
      </w:r>
      <w:r w:rsidRPr="00C27B3E">
        <w:rPr>
          <w:rFonts w:ascii="Times New Roman" w:hAnsi="Times New Roman"/>
          <w:sz w:val="24"/>
          <w:szCs w:val="24"/>
        </w:rPr>
        <w:t xml:space="preserve"> на формат XML - основу перспективного международного формата отчетности XBRL.</w:t>
      </w:r>
      <w:r>
        <w:rPr>
          <w:rFonts w:ascii="Times New Roman" w:hAnsi="Times New Roman"/>
          <w:sz w:val="24"/>
          <w:szCs w:val="24"/>
        </w:rPr>
        <w:t xml:space="preserve"> С декабря месяца 90 процентов отчетности передается в Банк России в </w:t>
      </w:r>
      <w:r>
        <w:rPr>
          <w:rFonts w:ascii="Times New Roman" w:hAnsi="Times New Roman"/>
          <w:sz w:val="24"/>
          <w:szCs w:val="24"/>
          <w:lang w:val="en-US"/>
        </w:rPr>
        <w:t>XML</w:t>
      </w:r>
      <w:r>
        <w:rPr>
          <w:rFonts w:ascii="Times New Roman" w:hAnsi="Times New Roman"/>
          <w:sz w:val="24"/>
          <w:szCs w:val="24"/>
        </w:rPr>
        <w:t>-формате.</w:t>
      </w:r>
    </w:p>
    <w:p w14:paraId="6E2D55A1" w14:textId="77777777" w:rsidR="00653954" w:rsidRDefault="00653954" w:rsidP="009E4D5C">
      <w:pPr>
        <w:autoSpaceDN w:val="0"/>
        <w:ind w:firstLine="360"/>
        <w:jc w:val="both"/>
        <w:rPr>
          <w:rFonts w:ascii="Times New Roman" w:hAnsi="Times New Roman"/>
          <w:sz w:val="24"/>
          <w:szCs w:val="24"/>
        </w:rPr>
      </w:pPr>
    </w:p>
    <w:p w14:paraId="2EE1CFF6" w14:textId="7C9EABAF" w:rsidR="00022875" w:rsidRPr="00C27B3E" w:rsidRDefault="00022875" w:rsidP="009E4D5C">
      <w:pPr>
        <w:autoSpaceDN w:val="0"/>
        <w:ind w:firstLine="360"/>
        <w:jc w:val="both"/>
        <w:rPr>
          <w:rFonts w:ascii="Times New Roman" w:hAnsi="Times New Roman"/>
          <w:sz w:val="24"/>
          <w:szCs w:val="24"/>
        </w:rPr>
      </w:pPr>
      <w:r w:rsidRPr="00C27B3E">
        <w:rPr>
          <w:rFonts w:ascii="Times New Roman" w:hAnsi="Times New Roman"/>
          <w:sz w:val="24"/>
          <w:szCs w:val="24"/>
        </w:rPr>
        <w:t xml:space="preserve">С целью выполнения требований защиты информации в платежной системе по положению Банка России 552-П и дальнейшего совершенствования защищенности платежных комплексов НКО НКЦ </w:t>
      </w:r>
      <w:r>
        <w:rPr>
          <w:rFonts w:ascii="Times New Roman" w:hAnsi="Times New Roman"/>
          <w:sz w:val="24"/>
          <w:szCs w:val="24"/>
        </w:rPr>
        <w:t xml:space="preserve">(АО) </w:t>
      </w:r>
      <w:r w:rsidRPr="00C27B3E">
        <w:rPr>
          <w:rFonts w:ascii="Times New Roman" w:hAnsi="Times New Roman"/>
          <w:sz w:val="24"/>
          <w:szCs w:val="24"/>
        </w:rPr>
        <w:t>выполнен большой объем технических мероприятий на участке платежной системы Банка России эксплуатируемом в НКО НКЦ</w:t>
      </w:r>
      <w:r>
        <w:rPr>
          <w:rFonts w:ascii="Times New Roman" w:hAnsi="Times New Roman"/>
          <w:sz w:val="24"/>
          <w:szCs w:val="24"/>
        </w:rPr>
        <w:t xml:space="preserve"> (АО). В частности, </w:t>
      </w:r>
      <w:r w:rsidRPr="006F411F">
        <w:rPr>
          <w:rFonts w:ascii="Times New Roman" w:hAnsi="Times New Roman"/>
          <w:sz w:val="24"/>
          <w:szCs w:val="24"/>
        </w:rPr>
        <w:t xml:space="preserve">в </w:t>
      </w:r>
      <w:r>
        <w:rPr>
          <w:rFonts w:ascii="Times New Roman" w:hAnsi="Times New Roman"/>
          <w:sz w:val="24"/>
          <w:szCs w:val="24"/>
        </w:rPr>
        <w:t>выделенной под</w:t>
      </w:r>
      <w:r w:rsidRPr="006F411F">
        <w:rPr>
          <w:rFonts w:ascii="Times New Roman" w:hAnsi="Times New Roman"/>
          <w:sz w:val="24"/>
          <w:szCs w:val="24"/>
        </w:rPr>
        <w:t xml:space="preserve">сети </w:t>
      </w:r>
      <w:r>
        <w:rPr>
          <w:rFonts w:ascii="Times New Roman" w:hAnsi="Times New Roman"/>
          <w:sz w:val="24"/>
          <w:szCs w:val="24"/>
        </w:rPr>
        <w:t xml:space="preserve">связи с платежной системой </w:t>
      </w:r>
      <w:r w:rsidRPr="006F411F">
        <w:rPr>
          <w:rFonts w:ascii="Times New Roman" w:hAnsi="Times New Roman"/>
          <w:sz w:val="24"/>
          <w:szCs w:val="24"/>
        </w:rPr>
        <w:t>развернут второй, отличный от общего для Группы МБ, комплекс антивирусной защиты</w:t>
      </w:r>
      <w:r>
        <w:rPr>
          <w:rFonts w:ascii="Times New Roman" w:hAnsi="Times New Roman"/>
          <w:sz w:val="24"/>
          <w:szCs w:val="24"/>
        </w:rPr>
        <w:t>.</w:t>
      </w:r>
    </w:p>
    <w:p w14:paraId="27F3D587" w14:textId="77777777" w:rsidR="00022875" w:rsidRDefault="00022875" w:rsidP="009E4D5C">
      <w:pPr>
        <w:autoSpaceDN w:val="0"/>
        <w:ind w:firstLine="360"/>
        <w:jc w:val="both"/>
        <w:rPr>
          <w:rFonts w:ascii="Times New Roman" w:hAnsi="Times New Roman"/>
          <w:sz w:val="24"/>
          <w:szCs w:val="24"/>
        </w:rPr>
      </w:pPr>
    </w:p>
    <w:p w14:paraId="5053689E" w14:textId="77777777" w:rsidR="00022875" w:rsidRPr="006F411F" w:rsidRDefault="00022875" w:rsidP="009E4D5C">
      <w:pPr>
        <w:autoSpaceDN w:val="0"/>
        <w:ind w:firstLine="360"/>
        <w:jc w:val="both"/>
        <w:rPr>
          <w:rFonts w:ascii="Times New Roman" w:hAnsi="Times New Roman"/>
          <w:sz w:val="24"/>
          <w:szCs w:val="24"/>
        </w:rPr>
      </w:pPr>
      <w:r w:rsidRPr="006F411F">
        <w:rPr>
          <w:rFonts w:ascii="Times New Roman" w:hAnsi="Times New Roman"/>
          <w:sz w:val="24"/>
          <w:szCs w:val="24"/>
        </w:rPr>
        <w:t xml:space="preserve">Активно внедряется технология виртуализации для серверных систем. </w:t>
      </w:r>
      <w:r>
        <w:rPr>
          <w:rFonts w:ascii="Times New Roman" w:hAnsi="Times New Roman"/>
          <w:sz w:val="24"/>
          <w:szCs w:val="24"/>
        </w:rPr>
        <w:t>За 2017г. количество виртуальных серверов увеличилось в 2 раза и составляет</w:t>
      </w:r>
      <w:r w:rsidRPr="006F411F">
        <w:rPr>
          <w:rFonts w:ascii="Times New Roman" w:hAnsi="Times New Roman"/>
          <w:sz w:val="24"/>
          <w:szCs w:val="24"/>
        </w:rPr>
        <w:t xml:space="preserve"> 30 </w:t>
      </w:r>
      <w:r>
        <w:rPr>
          <w:rFonts w:ascii="Times New Roman" w:hAnsi="Times New Roman"/>
          <w:sz w:val="24"/>
          <w:szCs w:val="24"/>
        </w:rPr>
        <w:t>шт</w:t>
      </w:r>
      <w:r w:rsidRPr="006F411F">
        <w:rPr>
          <w:rFonts w:ascii="Times New Roman" w:hAnsi="Times New Roman"/>
          <w:sz w:val="24"/>
          <w:szCs w:val="24"/>
        </w:rPr>
        <w:t>.</w:t>
      </w:r>
    </w:p>
    <w:p w14:paraId="2AE167AA" w14:textId="77777777" w:rsidR="00022875" w:rsidRPr="00055D28" w:rsidRDefault="00022875" w:rsidP="009E4D5C">
      <w:pPr>
        <w:autoSpaceDN w:val="0"/>
        <w:ind w:firstLine="360"/>
        <w:jc w:val="both"/>
        <w:rPr>
          <w:rFonts w:ascii="Times New Roman" w:hAnsi="Times New Roman"/>
          <w:sz w:val="24"/>
          <w:szCs w:val="24"/>
        </w:rPr>
      </w:pPr>
      <w:r>
        <w:rPr>
          <w:rFonts w:ascii="Times New Roman" w:hAnsi="Times New Roman"/>
          <w:sz w:val="24"/>
          <w:szCs w:val="24"/>
        </w:rPr>
        <w:t>Проведенный в 2017г. нагрузочный тест, как и в 2016 году, подтвердил работоспособность ПТК Банка НКЦ (АО) при нагрузке, вдвое превосходящей текущую.</w:t>
      </w:r>
    </w:p>
    <w:p w14:paraId="2452BEAC" w14:textId="77777777" w:rsidR="00022875" w:rsidRDefault="00022875" w:rsidP="009E4D5C">
      <w:pPr>
        <w:autoSpaceDN w:val="0"/>
        <w:ind w:firstLine="360"/>
        <w:jc w:val="both"/>
        <w:rPr>
          <w:rFonts w:ascii="Times New Roman" w:hAnsi="Times New Roman"/>
          <w:sz w:val="24"/>
          <w:szCs w:val="24"/>
        </w:rPr>
      </w:pPr>
    </w:p>
    <w:p w14:paraId="1569A521" w14:textId="5208A022" w:rsidR="00022875" w:rsidRDefault="00022875" w:rsidP="009E4D5C">
      <w:pPr>
        <w:autoSpaceDN w:val="0"/>
        <w:ind w:firstLine="360"/>
        <w:jc w:val="both"/>
        <w:rPr>
          <w:rFonts w:ascii="Times New Roman" w:hAnsi="Times New Roman"/>
          <w:sz w:val="24"/>
          <w:szCs w:val="24"/>
        </w:rPr>
      </w:pPr>
      <w:r>
        <w:rPr>
          <w:rFonts w:ascii="Times New Roman" w:hAnsi="Times New Roman"/>
          <w:sz w:val="24"/>
          <w:szCs w:val="24"/>
        </w:rPr>
        <w:lastRenderedPageBreak/>
        <w:t>В целом   технологическая платформа НКЦ развивалась поступательно,</w:t>
      </w:r>
      <w:r w:rsidRPr="003D1209">
        <w:rPr>
          <w:rFonts w:ascii="Times New Roman" w:hAnsi="Times New Roman"/>
          <w:sz w:val="24"/>
          <w:szCs w:val="24"/>
        </w:rPr>
        <w:t xml:space="preserve"> </w:t>
      </w:r>
      <w:r>
        <w:rPr>
          <w:rFonts w:ascii="Times New Roman" w:hAnsi="Times New Roman"/>
          <w:sz w:val="24"/>
          <w:szCs w:val="24"/>
        </w:rPr>
        <w:t xml:space="preserve">с учетом самых современных технологий и </w:t>
      </w:r>
      <w:r>
        <w:rPr>
          <w:rFonts w:ascii="Times New Roman" w:hAnsi="Times New Roman"/>
          <w:sz w:val="24"/>
          <w:szCs w:val="24"/>
          <w:lang w:val="en-US"/>
        </w:rPr>
        <w:t>IT</w:t>
      </w:r>
      <w:r>
        <w:rPr>
          <w:rFonts w:ascii="Times New Roman" w:hAnsi="Times New Roman"/>
          <w:sz w:val="24"/>
          <w:szCs w:val="24"/>
        </w:rPr>
        <w:t xml:space="preserve"> решений, что позволяет создать значительный запас проч</w:t>
      </w:r>
      <w:r w:rsidR="0035690E">
        <w:rPr>
          <w:rFonts w:ascii="Times New Roman" w:hAnsi="Times New Roman"/>
          <w:sz w:val="24"/>
          <w:szCs w:val="24"/>
        </w:rPr>
        <w:t xml:space="preserve">ности и надежности бизнеса НКЦ </w:t>
      </w:r>
      <w:r>
        <w:rPr>
          <w:rFonts w:ascii="Times New Roman" w:hAnsi="Times New Roman"/>
          <w:sz w:val="24"/>
          <w:szCs w:val="24"/>
        </w:rPr>
        <w:t>и обеспечивает его устойчивое развитие.</w:t>
      </w:r>
    </w:p>
    <w:p w14:paraId="14E6BF8F" w14:textId="77777777" w:rsidR="00722C56" w:rsidRDefault="00722C56" w:rsidP="009E4D5C">
      <w:pPr>
        <w:autoSpaceDN w:val="0"/>
        <w:ind w:firstLine="360"/>
        <w:jc w:val="both"/>
        <w:rPr>
          <w:rFonts w:ascii="Times New Roman" w:hAnsi="Times New Roman"/>
          <w:sz w:val="24"/>
          <w:szCs w:val="24"/>
        </w:rPr>
      </w:pPr>
    </w:p>
    <w:p w14:paraId="1EDFE636" w14:textId="0E8F5B7E" w:rsidR="00722C56" w:rsidRPr="003221B6" w:rsidRDefault="00722C56" w:rsidP="00722C56">
      <w:pPr>
        <w:widowControl w:val="0"/>
        <w:overflowPunct w:val="0"/>
        <w:autoSpaceDE w:val="0"/>
        <w:autoSpaceDN w:val="0"/>
        <w:adjustRightInd w:val="0"/>
        <w:ind w:firstLine="360"/>
        <w:jc w:val="center"/>
        <w:textAlignment w:val="baseline"/>
        <w:outlineLvl w:val="0"/>
        <w:rPr>
          <w:rFonts w:asciiTheme="minorHAnsi" w:hAnsiTheme="minorHAnsi" w:cstheme="minorBidi"/>
          <w:b/>
          <w:sz w:val="32"/>
          <w:szCs w:val="32"/>
        </w:rPr>
      </w:pPr>
      <w:bookmarkStart w:id="36" w:name="_Toc510776683"/>
      <w:r w:rsidRPr="003221B6">
        <w:rPr>
          <w:rFonts w:ascii="Times New Roman" w:eastAsia="Times New Roman" w:hAnsi="Times New Roman" w:cs="Arial"/>
          <w:b/>
          <w:sz w:val="32"/>
          <w:szCs w:val="32"/>
          <w:lang w:eastAsia="ru-RU"/>
        </w:rPr>
        <w:t>10.Основные финансовые результаты</w:t>
      </w:r>
      <w:bookmarkEnd w:id="36"/>
    </w:p>
    <w:tbl>
      <w:tblPr>
        <w:tblW w:w="9263" w:type="dxa"/>
        <w:tblInd w:w="93" w:type="dxa"/>
        <w:tblLook w:val="04A0" w:firstRow="1" w:lastRow="0" w:firstColumn="1" w:lastColumn="0" w:noHBand="0" w:noVBand="1"/>
      </w:tblPr>
      <w:tblGrid>
        <w:gridCol w:w="5431"/>
        <w:gridCol w:w="3832"/>
      </w:tblGrid>
      <w:tr w:rsidR="001A658F" w:rsidRPr="001A658F" w14:paraId="2252AB29" w14:textId="77777777" w:rsidTr="0090529D">
        <w:trPr>
          <w:trHeight w:val="300"/>
        </w:trPr>
        <w:tc>
          <w:tcPr>
            <w:tcW w:w="9263" w:type="dxa"/>
            <w:gridSpan w:val="2"/>
            <w:tcBorders>
              <w:top w:val="nil"/>
              <w:left w:val="nil"/>
              <w:bottom w:val="nil"/>
              <w:right w:val="nil"/>
            </w:tcBorders>
            <w:shd w:val="clear" w:color="auto" w:fill="auto"/>
            <w:noWrap/>
            <w:vAlign w:val="bottom"/>
            <w:hideMark/>
          </w:tcPr>
          <w:p w14:paraId="1B6E9CC8" w14:textId="77777777" w:rsidR="001A658F" w:rsidRPr="001A658F" w:rsidRDefault="001A658F" w:rsidP="001A658F">
            <w:pPr>
              <w:ind w:left="709"/>
              <w:jc w:val="center"/>
              <w:rPr>
                <w:rFonts w:ascii="Times New Roman" w:eastAsia="Times New Roman" w:hAnsi="Times New Roman"/>
                <w:b/>
                <w:iCs/>
                <w:color w:val="000000"/>
                <w:sz w:val="24"/>
                <w:szCs w:val="24"/>
                <w:lang w:eastAsia="ru-RU"/>
              </w:rPr>
            </w:pPr>
          </w:p>
          <w:p w14:paraId="7D815CA0" w14:textId="77777777" w:rsidR="001A658F" w:rsidRPr="001A658F" w:rsidRDefault="001A658F" w:rsidP="001A658F">
            <w:pPr>
              <w:ind w:left="709"/>
              <w:jc w:val="center"/>
              <w:rPr>
                <w:rFonts w:ascii="Times New Roman" w:eastAsia="Times New Roman" w:hAnsi="Times New Roman"/>
                <w:b/>
                <w:iCs/>
                <w:color w:val="000000"/>
                <w:sz w:val="24"/>
                <w:szCs w:val="24"/>
                <w:lang w:eastAsia="ru-RU"/>
              </w:rPr>
            </w:pPr>
            <w:r w:rsidRPr="001A658F">
              <w:rPr>
                <w:rFonts w:ascii="Times New Roman" w:eastAsia="Times New Roman" w:hAnsi="Times New Roman"/>
                <w:b/>
                <w:iCs/>
                <w:color w:val="000000"/>
                <w:sz w:val="24"/>
                <w:szCs w:val="24"/>
                <w:lang w:eastAsia="ru-RU"/>
              </w:rPr>
              <w:t xml:space="preserve">Основные финансовые результаты деятельности </w:t>
            </w:r>
          </w:p>
          <w:p w14:paraId="66CB5A43" w14:textId="33BBEFF7" w:rsidR="001A658F" w:rsidRPr="001A658F" w:rsidRDefault="009E4D5C" w:rsidP="001A658F">
            <w:pPr>
              <w:ind w:left="709"/>
              <w:jc w:val="center"/>
              <w:rPr>
                <w:rFonts w:ascii="Times New Roman" w:eastAsia="Times New Roman" w:hAnsi="Times New Roman"/>
                <w:b/>
                <w:iCs/>
                <w:color w:val="000000"/>
                <w:sz w:val="24"/>
                <w:szCs w:val="24"/>
                <w:lang w:eastAsia="ru-RU"/>
              </w:rPr>
            </w:pPr>
            <w:r>
              <w:rPr>
                <w:rFonts w:ascii="Times New Roman" w:eastAsia="Times New Roman" w:hAnsi="Times New Roman"/>
                <w:b/>
                <w:iCs/>
                <w:color w:val="000000"/>
                <w:sz w:val="24"/>
                <w:szCs w:val="24"/>
                <w:lang w:eastAsia="ru-RU"/>
              </w:rPr>
              <w:t>(</w:t>
            </w:r>
            <w:r w:rsidR="001A658F" w:rsidRPr="001A658F">
              <w:rPr>
                <w:rFonts w:ascii="Times New Roman" w:eastAsia="Times New Roman" w:hAnsi="Times New Roman"/>
                <w:b/>
                <w:iCs/>
                <w:color w:val="000000"/>
                <w:sz w:val="24"/>
                <w:szCs w:val="24"/>
                <w:lang w:eastAsia="ru-RU"/>
              </w:rPr>
              <w:t>по состоянию на 01.01.2018 г.</w:t>
            </w:r>
            <w:r>
              <w:rPr>
                <w:rFonts w:ascii="Times New Roman" w:eastAsia="Times New Roman" w:hAnsi="Times New Roman"/>
                <w:b/>
                <w:iCs/>
                <w:color w:val="000000"/>
                <w:sz w:val="24"/>
                <w:szCs w:val="24"/>
                <w:lang w:eastAsia="ru-RU"/>
              </w:rPr>
              <w:t>)</w:t>
            </w:r>
            <w:r w:rsidR="001A658F" w:rsidRPr="001A658F">
              <w:rPr>
                <w:rFonts w:ascii="Times New Roman" w:eastAsia="Times New Roman" w:hAnsi="Times New Roman"/>
                <w:b/>
                <w:iCs/>
                <w:color w:val="000000"/>
                <w:sz w:val="24"/>
                <w:szCs w:val="24"/>
                <w:lang w:eastAsia="ru-RU"/>
              </w:rPr>
              <w:t xml:space="preserve"> </w:t>
            </w:r>
          </w:p>
        </w:tc>
      </w:tr>
      <w:tr w:rsidR="001A658F" w:rsidRPr="001A658F" w14:paraId="127FD347" w14:textId="77777777" w:rsidTr="0090529D">
        <w:trPr>
          <w:trHeight w:val="315"/>
        </w:trPr>
        <w:tc>
          <w:tcPr>
            <w:tcW w:w="5431" w:type="dxa"/>
            <w:tcBorders>
              <w:top w:val="nil"/>
              <w:left w:val="nil"/>
              <w:bottom w:val="nil"/>
              <w:right w:val="nil"/>
            </w:tcBorders>
            <w:shd w:val="clear" w:color="auto" w:fill="auto"/>
            <w:noWrap/>
            <w:vAlign w:val="bottom"/>
            <w:hideMark/>
          </w:tcPr>
          <w:p w14:paraId="587D102C" w14:textId="77777777" w:rsidR="001A658F" w:rsidRPr="001A658F" w:rsidRDefault="001A658F" w:rsidP="001A658F">
            <w:pPr>
              <w:ind w:left="709"/>
              <w:jc w:val="center"/>
              <w:rPr>
                <w:rFonts w:ascii="Times New Roman" w:eastAsia="Times New Roman" w:hAnsi="Times New Roman"/>
                <w:b/>
                <w:color w:val="000000"/>
                <w:sz w:val="28"/>
                <w:szCs w:val="28"/>
                <w:lang w:eastAsia="ru-RU"/>
              </w:rPr>
            </w:pPr>
          </w:p>
        </w:tc>
        <w:tc>
          <w:tcPr>
            <w:tcW w:w="3832" w:type="dxa"/>
            <w:tcBorders>
              <w:top w:val="nil"/>
              <w:left w:val="nil"/>
              <w:bottom w:val="nil"/>
              <w:right w:val="nil"/>
            </w:tcBorders>
            <w:shd w:val="clear" w:color="auto" w:fill="auto"/>
            <w:noWrap/>
            <w:vAlign w:val="bottom"/>
            <w:hideMark/>
          </w:tcPr>
          <w:p w14:paraId="50E23E60" w14:textId="77777777" w:rsidR="001A658F" w:rsidRPr="001A658F" w:rsidRDefault="001A658F" w:rsidP="001A658F">
            <w:pPr>
              <w:ind w:left="709"/>
              <w:jc w:val="right"/>
              <w:rPr>
                <w:rFonts w:ascii="Times New Roman" w:eastAsia="Times New Roman" w:hAnsi="Times New Roman"/>
                <w:b/>
                <w:color w:val="000000"/>
                <w:sz w:val="28"/>
                <w:szCs w:val="28"/>
                <w:lang w:eastAsia="ru-RU"/>
              </w:rPr>
            </w:pPr>
            <w:r w:rsidRPr="001A658F">
              <w:rPr>
                <w:rFonts w:ascii="Times New Roman" w:eastAsia="Times New Roman" w:hAnsi="Times New Roman"/>
                <w:b/>
                <w:iCs/>
                <w:color w:val="000000"/>
                <w:sz w:val="24"/>
                <w:szCs w:val="24"/>
                <w:lang w:eastAsia="ru-RU"/>
              </w:rPr>
              <w:t>(тыс. руб.)</w:t>
            </w:r>
          </w:p>
        </w:tc>
      </w:tr>
      <w:tr w:rsidR="001A658F" w:rsidRPr="001A658F" w14:paraId="6C813DFC" w14:textId="77777777" w:rsidTr="0090529D">
        <w:trPr>
          <w:trHeight w:val="315"/>
        </w:trPr>
        <w:tc>
          <w:tcPr>
            <w:tcW w:w="5431" w:type="dxa"/>
            <w:tcBorders>
              <w:top w:val="nil"/>
              <w:left w:val="nil"/>
              <w:right w:val="nil"/>
            </w:tcBorders>
            <w:shd w:val="clear" w:color="auto" w:fill="auto"/>
            <w:noWrap/>
            <w:vAlign w:val="bottom"/>
            <w:hideMark/>
          </w:tcPr>
          <w:p w14:paraId="4CD8FB92" w14:textId="77777777" w:rsidR="001A658F" w:rsidRPr="001A658F" w:rsidRDefault="001A658F" w:rsidP="001A658F">
            <w:pPr>
              <w:ind w:left="709"/>
              <w:jc w:val="both"/>
              <w:rPr>
                <w:rFonts w:ascii="Times New Roman" w:eastAsia="Times New Roman" w:hAnsi="Times New Roman"/>
                <w:color w:val="000000"/>
                <w:sz w:val="24"/>
                <w:szCs w:val="24"/>
                <w:lang w:eastAsia="ru-RU"/>
              </w:rPr>
            </w:pPr>
          </w:p>
        </w:tc>
        <w:tc>
          <w:tcPr>
            <w:tcW w:w="3832" w:type="dxa"/>
            <w:tcBorders>
              <w:top w:val="nil"/>
              <w:left w:val="nil"/>
              <w:right w:val="nil"/>
            </w:tcBorders>
            <w:shd w:val="clear" w:color="auto" w:fill="auto"/>
            <w:noWrap/>
            <w:vAlign w:val="bottom"/>
            <w:hideMark/>
          </w:tcPr>
          <w:p w14:paraId="3B37F365" w14:textId="77777777" w:rsidR="001A658F" w:rsidRPr="001A658F" w:rsidRDefault="001A658F" w:rsidP="001A658F">
            <w:pPr>
              <w:ind w:left="709"/>
              <w:jc w:val="both"/>
              <w:rPr>
                <w:rFonts w:ascii="Times New Roman" w:eastAsia="Times New Roman" w:hAnsi="Times New Roman"/>
                <w:color w:val="000000"/>
                <w:sz w:val="24"/>
                <w:szCs w:val="24"/>
                <w:lang w:eastAsia="ru-RU"/>
              </w:rPr>
            </w:pPr>
          </w:p>
        </w:tc>
      </w:tr>
      <w:tr w:rsidR="001A658F" w:rsidRPr="001A658F" w14:paraId="067E9E41" w14:textId="77777777" w:rsidTr="0090529D">
        <w:trPr>
          <w:trHeight w:val="315"/>
        </w:trPr>
        <w:tc>
          <w:tcPr>
            <w:tcW w:w="5431" w:type="dxa"/>
            <w:shd w:val="clear" w:color="auto" w:fill="auto"/>
            <w:noWrap/>
            <w:vAlign w:val="bottom"/>
            <w:hideMark/>
          </w:tcPr>
          <w:p w14:paraId="3533D3A6" w14:textId="77777777" w:rsidR="001A658F" w:rsidRPr="001A658F" w:rsidRDefault="001A658F" w:rsidP="001A658F">
            <w:pPr>
              <w:ind w:left="709"/>
              <w:jc w:val="both"/>
              <w:rPr>
                <w:rFonts w:ascii="Times New Roman" w:eastAsia="Times New Roman" w:hAnsi="Times New Roman"/>
                <w:b/>
                <w:bCs/>
                <w:sz w:val="24"/>
                <w:szCs w:val="24"/>
                <w:lang w:eastAsia="ru-RU"/>
              </w:rPr>
            </w:pPr>
            <w:r w:rsidRPr="001A658F">
              <w:rPr>
                <w:rFonts w:ascii="Times New Roman" w:eastAsia="Times New Roman" w:hAnsi="Times New Roman"/>
                <w:b/>
                <w:bCs/>
                <w:sz w:val="24"/>
                <w:szCs w:val="24"/>
                <w:lang w:eastAsia="ru-RU"/>
              </w:rPr>
              <w:t>Собственные средства (капитал)</w:t>
            </w:r>
          </w:p>
        </w:tc>
        <w:tc>
          <w:tcPr>
            <w:tcW w:w="3832" w:type="dxa"/>
            <w:shd w:val="clear" w:color="auto" w:fill="auto"/>
            <w:noWrap/>
            <w:vAlign w:val="bottom"/>
            <w:hideMark/>
          </w:tcPr>
          <w:p w14:paraId="204B5EC0" w14:textId="77777777" w:rsidR="001A658F" w:rsidRPr="001A658F" w:rsidRDefault="001A658F" w:rsidP="001A658F">
            <w:pPr>
              <w:ind w:left="709"/>
              <w:jc w:val="center"/>
              <w:rPr>
                <w:rFonts w:ascii="Times New Roman" w:eastAsia="Times New Roman" w:hAnsi="Times New Roman"/>
                <w:b/>
                <w:bCs/>
                <w:sz w:val="24"/>
                <w:szCs w:val="24"/>
                <w:highlight w:val="yellow"/>
                <w:lang w:eastAsia="ru-RU"/>
              </w:rPr>
            </w:pPr>
            <w:r w:rsidRPr="001A658F">
              <w:rPr>
                <w:rFonts w:ascii="Times New Roman" w:eastAsia="Times New Roman" w:hAnsi="Times New Roman"/>
                <w:b/>
                <w:bCs/>
                <w:sz w:val="24"/>
                <w:szCs w:val="24"/>
                <w:lang w:eastAsia="ru-RU"/>
              </w:rPr>
              <w:t>45 959 393</w:t>
            </w:r>
          </w:p>
        </w:tc>
      </w:tr>
      <w:tr w:rsidR="001A658F" w:rsidRPr="001A658F" w14:paraId="2CF99519" w14:textId="77777777" w:rsidTr="0090529D">
        <w:trPr>
          <w:trHeight w:val="300"/>
        </w:trPr>
        <w:tc>
          <w:tcPr>
            <w:tcW w:w="5431" w:type="dxa"/>
            <w:shd w:val="clear" w:color="auto" w:fill="auto"/>
            <w:noWrap/>
            <w:vAlign w:val="bottom"/>
            <w:hideMark/>
          </w:tcPr>
          <w:p w14:paraId="4289E76C" w14:textId="77777777" w:rsidR="001A658F" w:rsidRPr="001A658F" w:rsidRDefault="001A658F" w:rsidP="001A658F">
            <w:pPr>
              <w:ind w:left="709"/>
              <w:jc w:val="both"/>
              <w:rPr>
                <w:rFonts w:ascii="Times New Roman" w:eastAsia="Times New Roman" w:hAnsi="Times New Roman"/>
                <w:b/>
                <w:bCs/>
                <w:sz w:val="24"/>
                <w:szCs w:val="24"/>
                <w:lang w:eastAsia="ru-RU"/>
              </w:rPr>
            </w:pPr>
            <w:r w:rsidRPr="001A658F">
              <w:rPr>
                <w:rFonts w:ascii="Times New Roman" w:eastAsia="Times New Roman" w:hAnsi="Times New Roman"/>
                <w:b/>
                <w:bCs/>
                <w:sz w:val="24"/>
                <w:szCs w:val="24"/>
                <w:lang w:eastAsia="ru-RU"/>
              </w:rPr>
              <w:t>Чистые доходы, всего,</w:t>
            </w:r>
          </w:p>
        </w:tc>
        <w:tc>
          <w:tcPr>
            <w:tcW w:w="3832" w:type="dxa"/>
            <w:shd w:val="clear" w:color="auto" w:fill="auto"/>
            <w:noWrap/>
            <w:vAlign w:val="bottom"/>
            <w:hideMark/>
          </w:tcPr>
          <w:p w14:paraId="3F8002D6" w14:textId="77777777" w:rsidR="001A658F" w:rsidRPr="001A658F" w:rsidRDefault="001A658F" w:rsidP="001A658F">
            <w:pPr>
              <w:ind w:left="709"/>
              <w:jc w:val="center"/>
              <w:rPr>
                <w:rFonts w:ascii="Times New Roman" w:eastAsia="Times New Roman" w:hAnsi="Times New Roman"/>
                <w:b/>
                <w:bCs/>
                <w:sz w:val="24"/>
                <w:szCs w:val="24"/>
                <w:lang w:eastAsia="ru-RU"/>
              </w:rPr>
            </w:pPr>
            <w:r w:rsidRPr="001A658F">
              <w:rPr>
                <w:rFonts w:ascii="Times New Roman" w:eastAsia="Times New Roman" w:hAnsi="Times New Roman"/>
                <w:b/>
                <w:bCs/>
                <w:sz w:val="24"/>
                <w:szCs w:val="24"/>
                <w:lang w:eastAsia="ru-RU"/>
              </w:rPr>
              <w:t>21 708 668</w:t>
            </w:r>
          </w:p>
        </w:tc>
      </w:tr>
      <w:tr w:rsidR="001A658F" w:rsidRPr="001A658F" w14:paraId="60A3F2FA" w14:textId="77777777" w:rsidTr="0090529D">
        <w:trPr>
          <w:trHeight w:val="300"/>
        </w:trPr>
        <w:tc>
          <w:tcPr>
            <w:tcW w:w="5431" w:type="dxa"/>
            <w:shd w:val="clear" w:color="auto" w:fill="auto"/>
            <w:noWrap/>
            <w:vAlign w:val="bottom"/>
            <w:hideMark/>
          </w:tcPr>
          <w:p w14:paraId="7DD9B340" w14:textId="77777777" w:rsidR="001A658F" w:rsidRPr="001A658F" w:rsidRDefault="001A658F" w:rsidP="001A658F">
            <w:pPr>
              <w:ind w:left="709"/>
              <w:jc w:val="both"/>
              <w:rPr>
                <w:rFonts w:ascii="Times New Roman" w:eastAsia="Times New Roman" w:hAnsi="Times New Roman"/>
                <w:b/>
                <w:bCs/>
                <w:sz w:val="24"/>
                <w:szCs w:val="24"/>
                <w:lang w:eastAsia="ru-RU"/>
              </w:rPr>
            </w:pPr>
            <w:r w:rsidRPr="001A658F">
              <w:rPr>
                <w:rFonts w:ascii="Times New Roman" w:eastAsia="Times New Roman" w:hAnsi="Times New Roman"/>
                <w:b/>
                <w:bCs/>
                <w:sz w:val="24"/>
                <w:szCs w:val="24"/>
                <w:lang w:eastAsia="ru-RU"/>
              </w:rPr>
              <w:t>Операционные расходы</w:t>
            </w:r>
          </w:p>
        </w:tc>
        <w:tc>
          <w:tcPr>
            <w:tcW w:w="3832" w:type="dxa"/>
            <w:shd w:val="clear" w:color="auto" w:fill="auto"/>
            <w:noWrap/>
            <w:vAlign w:val="bottom"/>
            <w:hideMark/>
          </w:tcPr>
          <w:p w14:paraId="23BE8FEB" w14:textId="77777777" w:rsidR="001A658F" w:rsidRPr="001A658F" w:rsidRDefault="001A658F" w:rsidP="001A658F">
            <w:pPr>
              <w:ind w:left="709"/>
              <w:jc w:val="center"/>
              <w:rPr>
                <w:rFonts w:ascii="Times New Roman" w:eastAsia="Times New Roman" w:hAnsi="Times New Roman"/>
                <w:b/>
                <w:bCs/>
                <w:sz w:val="24"/>
                <w:szCs w:val="24"/>
                <w:lang w:eastAsia="ru-RU"/>
              </w:rPr>
            </w:pPr>
            <w:r w:rsidRPr="001A658F">
              <w:rPr>
                <w:rFonts w:ascii="Times New Roman" w:eastAsia="Times New Roman" w:hAnsi="Times New Roman"/>
                <w:b/>
                <w:bCs/>
                <w:sz w:val="24"/>
                <w:szCs w:val="24"/>
                <w:lang w:eastAsia="ru-RU"/>
              </w:rPr>
              <w:t xml:space="preserve">  1 386 400</w:t>
            </w:r>
          </w:p>
        </w:tc>
      </w:tr>
      <w:tr w:rsidR="001A658F" w:rsidRPr="001A658F" w14:paraId="669D7204" w14:textId="77777777" w:rsidTr="0090529D">
        <w:trPr>
          <w:trHeight w:val="300"/>
        </w:trPr>
        <w:tc>
          <w:tcPr>
            <w:tcW w:w="5431" w:type="dxa"/>
            <w:shd w:val="clear" w:color="auto" w:fill="auto"/>
            <w:noWrap/>
            <w:vAlign w:val="bottom"/>
            <w:hideMark/>
          </w:tcPr>
          <w:p w14:paraId="0CAD3B0A" w14:textId="77777777" w:rsidR="001A658F" w:rsidRPr="001A658F" w:rsidRDefault="001A658F" w:rsidP="001A658F">
            <w:pPr>
              <w:ind w:left="709"/>
              <w:jc w:val="both"/>
              <w:rPr>
                <w:rFonts w:ascii="Times New Roman" w:eastAsia="Times New Roman" w:hAnsi="Times New Roman"/>
                <w:b/>
                <w:bCs/>
                <w:sz w:val="24"/>
                <w:szCs w:val="24"/>
                <w:lang w:eastAsia="ru-RU"/>
              </w:rPr>
            </w:pPr>
            <w:r w:rsidRPr="001A658F">
              <w:rPr>
                <w:rFonts w:ascii="Times New Roman" w:eastAsia="Times New Roman" w:hAnsi="Times New Roman"/>
                <w:b/>
                <w:bCs/>
                <w:sz w:val="24"/>
                <w:szCs w:val="24"/>
                <w:lang w:eastAsia="ru-RU"/>
              </w:rPr>
              <w:t>Прибыль до налогообложения</w:t>
            </w:r>
          </w:p>
        </w:tc>
        <w:tc>
          <w:tcPr>
            <w:tcW w:w="3832" w:type="dxa"/>
            <w:shd w:val="clear" w:color="auto" w:fill="auto"/>
            <w:noWrap/>
            <w:vAlign w:val="bottom"/>
            <w:hideMark/>
          </w:tcPr>
          <w:p w14:paraId="6CBE966B" w14:textId="77777777" w:rsidR="001A658F" w:rsidRPr="001A658F" w:rsidRDefault="001A658F" w:rsidP="001A658F">
            <w:pPr>
              <w:ind w:left="709"/>
              <w:jc w:val="center"/>
              <w:rPr>
                <w:rFonts w:ascii="Times New Roman" w:eastAsia="Times New Roman" w:hAnsi="Times New Roman"/>
                <w:b/>
                <w:bCs/>
                <w:sz w:val="24"/>
                <w:szCs w:val="24"/>
                <w:lang w:eastAsia="ru-RU"/>
              </w:rPr>
            </w:pPr>
            <w:r w:rsidRPr="001A658F">
              <w:rPr>
                <w:rFonts w:ascii="Times New Roman" w:eastAsia="Times New Roman" w:hAnsi="Times New Roman"/>
                <w:b/>
                <w:bCs/>
                <w:sz w:val="24"/>
                <w:szCs w:val="24"/>
                <w:lang w:eastAsia="ru-RU"/>
              </w:rPr>
              <w:t>20 322 268</w:t>
            </w:r>
          </w:p>
        </w:tc>
      </w:tr>
      <w:tr w:rsidR="001A658F" w:rsidRPr="001A658F" w14:paraId="5F3981C6" w14:textId="77777777" w:rsidTr="0090529D">
        <w:trPr>
          <w:trHeight w:val="300"/>
        </w:trPr>
        <w:tc>
          <w:tcPr>
            <w:tcW w:w="5431" w:type="dxa"/>
            <w:shd w:val="clear" w:color="auto" w:fill="auto"/>
            <w:noWrap/>
            <w:vAlign w:val="bottom"/>
          </w:tcPr>
          <w:p w14:paraId="412BFA11" w14:textId="77777777" w:rsidR="001A658F" w:rsidRPr="001A658F" w:rsidRDefault="001A658F" w:rsidP="001A658F">
            <w:pPr>
              <w:ind w:left="709"/>
              <w:jc w:val="both"/>
              <w:rPr>
                <w:rFonts w:ascii="Times New Roman" w:eastAsia="Times New Roman" w:hAnsi="Times New Roman"/>
                <w:b/>
                <w:bCs/>
                <w:sz w:val="24"/>
                <w:szCs w:val="24"/>
                <w:lang w:eastAsia="ru-RU"/>
              </w:rPr>
            </w:pPr>
            <w:r w:rsidRPr="001A658F">
              <w:rPr>
                <w:rFonts w:ascii="Times New Roman" w:eastAsia="Times New Roman" w:hAnsi="Times New Roman"/>
                <w:b/>
                <w:bCs/>
                <w:sz w:val="24"/>
                <w:szCs w:val="24"/>
                <w:lang w:eastAsia="ru-RU"/>
              </w:rPr>
              <w:t>Начисленные (уплаченные) налоги</w:t>
            </w:r>
          </w:p>
        </w:tc>
        <w:tc>
          <w:tcPr>
            <w:tcW w:w="3832" w:type="dxa"/>
            <w:shd w:val="clear" w:color="auto" w:fill="auto"/>
            <w:noWrap/>
            <w:vAlign w:val="bottom"/>
          </w:tcPr>
          <w:p w14:paraId="4F252642" w14:textId="77777777" w:rsidR="001A658F" w:rsidRPr="001A658F" w:rsidRDefault="001A658F" w:rsidP="001A658F">
            <w:pPr>
              <w:ind w:left="709"/>
              <w:jc w:val="center"/>
              <w:rPr>
                <w:rFonts w:ascii="Times New Roman" w:eastAsia="Times New Roman" w:hAnsi="Times New Roman"/>
                <w:b/>
                <w:bCs/>
                <w:sz w:val="24"/>
                <w:szCs w:val="24"/>
                <w:lang w:eastAsia="ru-RU"/>
              </w:rPr>
            </w:pPr>
            <w:r w:rsidRPr="001A658F">
              <w:rPr>
                <w:rFonts w:ascii="Times New Roman" w:eastAsia="Times New Roman" w:hAnsi="Times New Roman"/>
                <w:b/>
                <w:bCs/>
                <w:sz w:val="24"/>
                <w:szCs w:val="24"/>
                <w:lang w:eastAsia="ru-RU"/>
              </w:rPr>
              <w:t xml:space="preserve">  3 835 165</w:t>
            </w:r>
          </w:p>
        </w:tc>
      </w:tr>
      <w:tr w:rsidR="001A658F" w:rsidRPr="001A658F" w14:paraId="76D94382" w14:textId="77777777" w:rsidTr="0090529D">
        <w:trPr>
          <w:trHeight w:val="300"/>
        </w:trPr>
        <w:tc>
          <w:tcPr>
            <w:tcW w:w="5431" w:type="dxa"/>
            <w:shd w:val="clear" w:color="auto" w:fill="auto"/>
            <w:noWrap/>
            <w:vAlign w:val="bottom"/>
          </w:tcPr>
          <w:p w14:paraId="3C3473EE" w14:textId="77777777" w:rsidR="001A658F" w:rsidRPr="001A658F" w:rsidRDefault="001A658F" w:rsidP="001A658F">
            <w:pPr>
              <w:ind w:left="709"/>
              <w:jc w:val="both"/>
              <w:rPr>
                <w:rFonts w:ascii="Times New Roman" w:eastAsia="Times New Roman" w:hAnsi="Times New Roman"/>
                <w:b/>
                <w:bCs/>
                <w:sz w:val="24"/>
                <w:szCs w:val="24"/>
                <w:lang w:eastAsia="ru-RU"/>
              </w:rPr>
            </w:pPr>
            <w:r w:rsidRPr="001A658F">
              <w:rPr>
                <w:rFonts w:ascii="Times New Roman" w:eastAsia="Times New Roman" w:hAnsi="Times New Roman"/>
                <w:b/>
                <w:bCs/>
                <w:sz w:val="24"/>
                <w:szCs w:val="24"/>
                <w:lang w:eastAsia="ru-RU"/>
              </w:rPr>
              <w:t>Прибыль после налогообложения</w:t>
            </w:r>
          </w:p>
        </w:tc>
        <w:tc>
          <w:tcPr>
            <w:tcW w:w="3832" w:type="dxa"/>
            <w:shd w:val="clear" w:color="auto" w:fill="auto"/>
            <w:noWrap/>
            <w:vAlign w:val="bottom"/>
          </w:tcPr>
          <w:p w14:paraId="4350339F" w14:textId="77777777" w:rsidR="001A658F" w:rsidRPr="001A658F" w:rsidRDefault="001A658F" w:rsidP="001A658F">
            <w:pPr>
              <w:ind w:left="709"/>
              <w:jc w:val="center"/>
              <w:rPr>
                <w:rFonts w:ascii="Times New Roman" w:eastAsia="Times New Roman" w:hAnsi="Times New Roman"/>
                <w:b/>
                <w:bCs/>
                <w:sz w:val="24"/>
                <w:szCs w:val="24"/>
                <w:lang w:eastAsia="ru-RU"/>
              </w:rPr>
            </w:pPr>
            <w:r w:rsidRPr="001A658F">
              <w:rPr>
                <w:rFonts w:ascii="Times New Roman" w:eastAsia="Times New Roman" w:hAnsi="Times New Roman"/>
                <w:b/>
                <w:bCs/>
                <w:sz w:val="24"/>
                <w:szCs w:val="24"/>
                <w:lang w:eastAsia="ru-RU"/>
              </w:rPr>
              <w:t>16 487 104</w:t>
            </w:r>
          </w:p>
        </w:tc>
      </w:tr>
    </w:tbl>
    <w:p w14:paraId="07FFCFE3" w14:textId="77777777" w:rsidR="001A658F" w:rsidRPr="001A658F" w:rsidRDefault="001A658F" w:rsidP="001A658F">
      <w:pPr>
        <w:rPr>
          <w:rFonts w:ascii="Times New Roman" w:eastAsia="Times New Roman" w:hAnsi="Times New Roman"/>
          <w:sz w:val="24"/>
          <w:szCs w:val="24"/>
          <w:lang w:eastAsia="ru-RU"/>
        </w:rPr>
      </w:pPr>
    </w:p>
    <w:p w14:paraId="7BD6DC1A" w14:textId="77777777" w:rsidR="001A658F" w:rsidRPr="001A658F" w:rsidRDefault="001A658F" w:rsidP="001A658F">
      <w:pPr>
        <w:jc w:val="center"/>
        <w:rPr>
          <w:rFonts w:ascii="Times New Roman" w:eastAsia="Times New Roman" w:hAnsi="Times New Roman"/>
          <w:b/>
          <w:i/>
          <w:sz w:val="24"/>
          <w:szCs w:val="24"/>
          <w:lang w:eastAsia="ru-RU"/>
        </w:rPr>
      </w:pPr>
    </w:p>
    <w:p w14:paraId="7CC6CAD3" w14:textId="77777777" w:rsidR="001A658F" w:rsidRPr="001A658F" w:rsidRDefault="001A658F" w:rsidP="001A658F">
      <w:pPr>
        <w:jc w:val="center"/>
        <w:rPr>
          <w:rFonts w:ascii="Times New Roman" w:eastAsia="Times New Roman" w:hAnsi="Times New Roman"/>
          <w:b/>
          <w:i/>
          <w:sz w:val="24"/>
          <w:szCs w:val="24"/>
          <w:lang w:eastAsia="ru-RU"/>
        </w:rPr>
      </w:pPr>
      <w:r w:rsidRPr="001A658F">
        <w:rPr>
          <w:rFonts w:ascii="Times New Roman" w:eastAsia="Times New Roman" w:hAnsi="Times New Roman"/>
          <w:b/>
          <w:i/>
          <w:sz w:val="24"/>
          <w:szCs w:val="24"/>
          <w:lang w:eastAsia="ru-RU"/>
        </w:rPr>
        <w:t xml:space="preserve">Динамика изменений финансовых результатов </w:t>
      </w:r>
    </w:p>
    <w:p w14:paraId="71600ABE" w14:textId="77777777" w:rsidR="001A658F" w:rsidRPr="001A658F" w:rsidRDefault="001A658F" w:rsidP="001A658F">
      <w:pPr>
        <w:jc w:val="right"/>
        <w:rPr>
          <w:rFonts w:ascii="Times New Roman" w:eastAsia="Times New Roman" w:hAnsi="Times New Roman"/>
          <w:b/>
          <w:i/>
          <w:sz w:val="24"/>
          <w:szCs w:val="24"/>
          <w:lang w:eastAsia="ru-RU"/>
        </w:rPr>
      </w:pPr>
      <w:r w:rsidRPr="001A658F">
        <w:rPr>
          <w:rFonts w:ascii="Times New Roman" w:eastAsia="Times New Roman" w:hAnsi="Times New Roman"/>
          <w:b/>
          <w:i/>
          <w:sz w:val="24"/>
          <w:szCs w:val="24"/>
          <w:lang w:eastAsia="ru-RU"/>
        </w:rPr>
        <w:t>(тыс. руб.)</w:t>
      </w:r>
    </w:p>
    <w:p w14:paraId="0C89123D" w14:textId="77777777" w:rsidR="001A658F" w:rsidRPr="001A658F" w:rsidRDefault="001A658F" w:rsidP="001A658F">
      <w:pPr>
        <w:rPr>
          <w:rFonts w:ascii="Times New Roman" w:eastAsia="Times New Roman" w:hAnsi="Times New Roman"/>
          <w:sz w:val="24"/>
          <w:szCs w:val="24"/>
          <w:lang w:eastAsia="ru-RU"/>
        </w:rPr>
      </w:pPr>
    </w:p>
    <w:tbl>
      <w:tblPr>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276"/>
        <w:gridCol w:w="1417"/>
        <w:gridCol w:w="1422"/>
      </w:tblGrid>
      <w:tr w:rsidR="001A658F" w:rsidRPr="001A658F" w14:paraId="7C1F7867" w14:textId="77777777" w:rsidTr="0090529D">
        <w:trPr>
          <w:trHeight w:val="564"/>
        </w:trPr>
        <w:tc>
          <w:tcPr>
            <w:tcW w:w="5245" w:type="dxa"/>
            <w:shd w:val="clear" w:color="000000" w:fill="FFFFFF"/>
            <w:vAlign w:val="center"/>
            <w:hideMark/>
          </w:tcPr>
          <w:p w14:paraId="018D6157" w14:textId="77777777" w:rsidR="001A658F" w:rsidRPr="001A658F" w:rsidRDefault="001A658F" w:rsidP="001A658F">
            <w:pPr>
              <w:jc w:val="center"/>
              <w:rPr>
                <w:rFonts w:ascii="Times New Roman" w:eastAsia="Times New Roman" w:hAnsi="Times New Roman"/>
                <w:b/>
                <w:bCs/>
                <w:color w:val="000000"/>
                <w:lang w:eastAsia="ru-RU"/>
              </w:rPr>
            </w:pPr>
            <w:r w:rsidRPr="001A658F">
              <w:rPr>
                <w:rFonts w:ascii="Times New Roman" w:eastAsia="Times New Roman" w:hAnsi="Times New Roman"/>
                <w:b/>
                <w:bCs/>
                <w:color w:val="000000"/>
                <w:lang w:eastAsia="ru-RU"/>
              </w:rPr>
              <w:t>Показатели</w:t>
            </w:r>
          </w:p>
        </w:tc>
        <w:tc>
          <w:tcPr>
            <w:tcW w:w="1276" w:type="dxa"/>
            <w:shd w:val="clear" w:color="000000" w:fill="FFFFFF"/>
            <w:vAlign w:val="center"/>
            <w:hideMark/>
          </w:tcPr>
          <w:p w14:paraId="27DBFC68" w14:textId="77777777" w:rsidR="001A658F" w:rsidRPr="001A658F" w:rsidRDefault="001A658F" w:rsidP="001A658F">
            <w:pPr>
              <w:jc w:val="center"/>
              <w:rPr>
                <w:rFonts w:ascii="Times New Roman" w:eastAsia="Times New Roman" w:hAnsi="Times New Roman"/>
                <w:b/>
                <w:bCs/>
                <w:color w:val="000000"/>
                <w:lang w:eastAsia="ru-RU"/>
              </w:rPr>
            </w:pPr>
            <w:r w:rsidRPr="001A658F">
              <w:rPr>
                <w:rFonts w:ascii="Times New Roman" w:eastAsia="Times New Roman" w:hAnsi="Times New Roman"/>
                <w:b/>
                <w:bCs/>
                <w:color w:val="000000"/>
                <w:lang w:eastAsia="ru-RU"/>
              </w:rPr>
              <w:t>изменение 2017/2016</w:t>
            </w:r>
          </w:p>
        </w:tc>
        <w:tc>
          <w:tcPr>
            <w:tcW w:w="1417" w:type="dxa"/>
            <w:shd w:val="clear" w:color="000000" w:fill="FFFFFF"/>
            <w:vAlign w:val="center"/>
            <w:hideMark/>
          </w:tcPr>
          <w:p w14:paraId="3D6EE54B" w14:textId="77777777" w:rsidR="001A658F" w:rsidRPr="001A658F" w:rsidRDefault="001A658F" w:rsidP="001A658F">
            <w:pPr>
              <w:jc w:val="center"/>
              <w:rPr>
                <w:rFonts w:ascii="Times New Roman" w:eastAsia="Times New Roman" w:hAnsi="Times New Roman"/>
                <w:b/>
                <w:bCs/>
                <w:color w:val="000000"/>
                <w:lang w:eastAsia="ru-RU"/>
              </w:rPr>
            </w:pPr>
            <w:r w:rsidRPr="001A658F">
              <w:rPr>
                <w:rFonts w:ascii="Times New Roman" w:eastAsia="Times New Roman" w:hAnsi="Times New Roman"/>
                <w:b/>
                <w:bCs/>
                <w:color w:val="000000"/>
                <w:lang w:eastAsia="ru-RU"/>
              </w:rPr>
              <w:t>2017</w:t>
            </w:r>
          </w:p>
        </w:tc>
        <w:tc>
          <w:tcPr>
            <w:tcW w:w="1422" w:type="dxa"/>
            <w:shd w:val="clear" w:color="000000" w:fill="FFFFFF"/>
            <w:vAlign w:val="center"/>
            <w:hideMark/>
          </w:tcPr>
          <w:p w14:paraId="625F4679" w14:textId="77777777" w:rsidR="001A658F" w:rsidRPr="001A658F" w:rsidRDefault="001A658F" w:rsidP="001A658F">
            <w:pPr>
              <w:jc w:val="center"/>
              <w:rPr>
                <w:rFonts w:ascii="Times New Roman" w:eastAsia="Times New Roman" w:hAnsi="Times New Roman"/>
                <w:b/>
                <w:bCs/>
                <w:color w:val="000000"/>
                <w:lang w:eastAsia="ru-RU"/>
              </w:rPr>
            </w:pPr>
            <w:r w:rsidRPr="001A658F">
              <w:rPr>
                <w:rFonts w:ascii="Times New Roman" w:eastAsia="Times New Roman" w:hAnsi="Times New Roman"/>
                <w:b/>
                <w:bCs/>
                <w:color w:val="000000"/>
                <w:lang w:eastAsia="ru-RU"/>
              </w:rPr>
              <w:t>2016</w:t>
            </w:r>
          </w:p>
        </w:tc>
      </w:tr>
      <w:tr w:rsidR="001A658F" w:rsidRPr="001A658F" w14:paraId="35FBFDD3" w14:textId="77777777" w:rsidTr="0090529D">
        <w:trPr>
          <w:trHeight w:val="300"/>
        </w:trPr>
        <w:tc>
          <w:tcPr>
            <w:tcW w:w="5245" w:type="dxa"/>
            <w:shd w:val="clear" w:color="000000" w:fill="FFFFFF"/>
            <w:vAlign w:val="center"/>
            <w:hideMark/>
          </w:tcPr>
          <w:p w14:paraId="5E5B0F90" w14:textId="77777777" w:rsidR="001A658F" w:rsidRPr="001A658F" w:rsidRDefault="001A658F" w:rsidP="001A658F">
            <w:pP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Процентные доходы всего</w:t>
            </w:r>
          </w:p>
        </w:tc>
        <w:tc>
          <w:tcPr>
            <w:tcW w:w="1276" w:type="dxa"/>
            <w:shd w:val="clear" w:color="000000" w:fill="FFFFFF"/>
            <w:vAlign w:val="center"/>
            <w:hideMark/>
          </w:tcPr>
          <w:p w14:paraId="6670E2CC"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51%</w:t>
            </w:r>
          </w:p>
        </w:tc>
        <w:tc>
          <w:tcPr>
            <w:tcW w:w="1417" w:type="dxa"/>
            <w:shd w:val="clear" w:color="000000" w:fill="FFFFFF"/>
            <w:vAlign w:val="center"/>
            <w:hideMark/>
          </w:tcPr>
          <w:p w14:paraId="13B9A3FF"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158 084 511</w:t>
            </w:r>
          </w:p>
        </w:tc>
        <w:tc>
          <w:tcPr>
            <w:tcW w:w="1422" w:type="dxa"/>
            <w:shd w:val="clear" w:color="000000" w:fill="FFFFFF"/>
            <w:noWrap/>
            <w:vAlign w:val="center"/>
            <w:hideMark/>
          </w:tcPr>
          <w:p w14:paraId="53D53917"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104 996 458</w:t>
            </w:r>
          </w:p>
        </w:tc>
      </w:tr>
      <w:tr w:rsidR="001A658F" w:rsidRPr="001A658F" w14:paraId="308C0581" w14:textId="77777777" w:rsidTr="0090529D">
        <w:trPr>
          <w:trHeight w:val="300"/>
        </w:trPr>
        <w:tc>
          <w:tcPr>
            <w:tcW w:w="5245" w:type="dxa"/>
            <w:shd w:val="clear" w:color="000000" w:fill="FFFFFF"/>
            <w:vAlign w:val="center"/>
            <w:hideMark/>
          </w:tcPr>
          <w:p w14:paraId="1F4552A8" w14:textId="77777777" w:rsidR="001A658F" w:rsidRPr="001A658F" w:rsidRDefault="001A658F" w:rsidP="001A658F">
            <w:pP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Процентные расходы всего</w:t>
            </w:r>
          </w:p>
        </w:tc>
        <w:tc>
          <w:tcPr>
            <w:tcW w:w="1276" w:type="dxa"/>
            <w:shd w:val="clear" w:color="000000" w:fill="FFFFFF"/>
            <w:vAlign w:val="center"/>
            <w:hideMark/>
          </w:tcPr>
          <w:p w14:paraId="4180CA0D"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69%</w:t>
            </w:r>
          </w:p>
        </w:tc>
        <w:tc>
          <w:tcPr>
            <w:tcW w:w="1417" w:type="dxa"/>
            <w:shd w:val="clear" w:color="000000" w:fill="FFFFFF"/>
            <w:vAlign w:val="center"/>
            <w:hideMark/>
          </w:tcPr>
          <w:p w14:paraId="04D43875"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145 828 861</w:t>
            </w:r>
          </w:p>
        </w:tc>
        <w:tc>
          <w:tcPr>
            <w:tcW w:w="1422" w:type="dxa"/>
            <w:shd w:val="clear" w:color="000000" w:fill="FFFFFF"/>
            <w:noWrap/>
            <w:vAlign w:val="center"/>
            <w:hideMark/>
          </w:tcPr>
          <w:p w14:paraId="5C868AE9"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86 199 398</w:t>
            </w:r>
          </w:p>
        </w:tc>
      </w:tr>
      <w:tr w:rsidR="001A658F" w:rsidRPr="001A658F" w14:paraId="45D158CF" w14:textId="77777777" w:rsidTr="0090529D">
        <w:trPr>
          <w:trHeight w:val="540"/>
        </w:trPr>
        <w:tc>
          <w:tcPr>
            <w:tcW w:w="5245" w:type="dxa"/>
            <w:shd w:val="clear" w:color="auto" w:fill="auto"/>
            <w:vAlign w:val="center"/>
            <w:hideMark/>
          </w:tcPr>
          <w:p w14:paraId="06BBFF2E" w14:textId="77777777" w:rsidR="001A658F" w:rsidRPr="001A658F" w:rsidRDefault="001A658F" w:rsidP="001A658F">
            <w:pPr>
              <w:rPr>
                <w:rFonts w:ascii="Times New Roman" w:eastAsia="Times New Roman" w:hAnsi="Times New Roman"/>
                <w:b/>
                <w:bCs/>
                <w:color w:val="000000"/>
                <w:sz w:val="20"/>
                <w:szCs w:val="20"/>
                <w:lang w:eastAsia="ru-RU"/>
              </w:rPr>
            </w:pPr>
            <w:r w:rsidRPr="001A658F">
              <w:rPr>
                <w:rFonts w:ascii="Times New Roman" w:eastAsia="Times New Roman" w:hAnsi="Times New Roman"/>
                <w:b/>
                <w:bCs/>
                <w:color w:val="000000"/>
                <w:sz w:val="20"/>
                <w:szCs w:val="20"/>
                <w:lang w:eastAsia="ru-RU"/>
              </w:rPr>
              <w:t>Чистые процентные доходы (отрицательная процентная маржа)</w:t>
            </w:r>
          </w:p>
        </w:tc>
        <w:tc>
          <w:tcPr>
            <w:tcW w:w="1276" w:type="dxa"/>
            <w:shd w:val="clear" w:color="000000" w:fill="FFFFFF"/>
            <w:vAlign w:val="center"/>
            <w:hideMark/>
          </w:tcPr>
          <w:p w14:paraId="75394EF7"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-35%</w:t>
            </w:r>
          </w:p>
        </w:tc>
        <w:tc>
          <w:tcPr>
            <w:tcW w:w="1417" w:type="dxa"/>
            <w:shd w:val="clear" w:color="000000" w:fill="FFFFFF"/>
            <w:vAlign w:val="center"/>
            <w:hideMark/>
          </w:tcPr>
          <w:p w14:paraId="32974FF8" w14:textId="77777777" w:rsidR="001A658F" w:rsidRPr="001A658F" w:rsidRDefault="001A658F" w:rsidP="001A658F">
            <w:pPr>
              <w:jc w:val="right"/>
              <w:rPr>
                <w:rFonts w:ascii="Times New Roman" w:eastAsia="Times New Roman" w:hAnsi="Times New Roman"/>
                <w:b/>
                <w:bCs/>
                <w:color w:val="000000"/>
                <w:sz w:val="20"/>
                <w:szCs w:val="20"/>
                <w:lang w:eastAsia="ru-RU"/>
              </w:rPr>
            </w:pPr>
            <w:r w:rsidRPr="001A658F">
              <w:rPr>
                <w:rFonts w:ascii="Times New Roman" w:eastAsia="Times New Roman" w:hAnsi="Times New Roman"/>
                <w:b/>
                <w:bCs/>
                <w:color w:val="000000"/>
                <w:sz w:val="20"/>
                <w:szCs w:val="20"/>
                <w:lang w:eastAsia="ru-RU"/>
              </w:rPr>
              <w:t>12 255 650</w:t>
            </w:r>
          </w:p>
        </w:tc>
        <w:tc>
          <w:tcPr>
            <w:tcW w:w="1422" w:type="dxa"/>
            <w:shd w:val="clear" w:color="000000" w:fill="FFFFFF"/>
            <w:noWrap/>
            <w:vAlign w:val="center"/>
            <w:hideMark/>
          </w:tcPr>
          <w:p w14:paraId="71E3A8D8" w14:textId="77777777" w:rsidR="001A658F" w:rsidRPr="001A658F" w:rsidRDefault="001A658F" w:rsidP="001A658F">
            <w:pPr>
              <w:jc w:val="right"/>
              <w:rPr>
                <w:rFonts w:ascii="Times New Roman" w:eastAsia="Times New Roman" w:hAnsi="Times New Roman"/>
                <w:b/>
                <w:bCs/>
                <w:color w:val="000000"/>
                <w:sz w:val="20"/>
                <w:szCs w:val="20"/>
                <w:lang w:eastAsia="ru-RU"/>
              </w:rPr>
            </w:pPr>
            <w:r w:rsidRPr="001A658F">
              <w:rPr>
                <w:rFonts w:ascii="Times New Roman" w:eastAsia="Times New Roman" w:hAnsi="Times New Roman"/>
                <w:b/>
                <w:bCs/>
                <w:color w:val="000000"/>
                <w:sz w:val="20"/>
                <w:szCs w:val="20"/>
                <w:lang w:eastAsia="ru-RU"/>
              </w:rPr>
              <w:t>18 797 060</w:t>
            </w:r>
          </w:p>
        </w:tc>
      </w:tr>
      <w:tr w:rsidR="001A658F" w:rsidRPr="001A658F" w14:paraId="77E1A748" w14:textId="77777777" w:rsidTr="0090529D">
        <w:trPr>
          <w:trHeight w:val="1042"/>
        </w:trPr>
        <w:tc>
          <w:tcPr>
            <w:tcW w:w="5245" w:type="dxa"/>
            <w:shd w:val="clear" w:color="auto" w:fill="auto"/>
            <w:vAlign w:val="center"/>
            <w:hideMark/>
          </w:tcPr>
          <w:p w14:paraId="0B48DE3C" w14:textId="77777777" w:rsidR="001A658F" w:rsidRPr="001A658F" w:rsidRDefault="001A658F" w:rsidP="001A658F">
            <w:pP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Изменение резерва на возможные потери по ссудам, ссудной и приравненной к ней задолженности, средствам, размещенным на корреспондентских счетах, а также начисленным процентным доходам, всего, в том числе:</w:t>
            </w:r>
          </w:p>
        </w:tc>
        <w:tc>
          <w:tcPr>
            <w:tcW w:w="1276" w:type="dxa"/>
            <w:shd w:val="clear" w:color="000000" w:fill="FFFFFF"/>
            <w:vAlign w:val="center"/>
            <w:hideMark/>
          </w:tcPr>
          <w:p w14:paraId="05825FE5"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-51%</w:t>
            </w:r>
          </w:p>
        </w:tc>
        <w:tc>
          <w:tcPr>
            <w:tcW w:w="1417" w:type="dxa"/>
            <w:shd w:val="clear" w:color="000000" w:fill="FFFFFF"/>
            <w:vAlign w:val="center"/>
            <w:hideMark/>
          </w:tcPr>
          <w:p w14:paraId="75A57B3A"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30</w:t>
            </w:r>
          </w:p>
        </w:tc>
        <w:tc>
          <w:tcPr>
            <w:tcW w:w="1422" w:type="dxa"/>
            <w:shd w:val="clear" w:color="auto" w:fill="auto"/>
            <w:noWrap/>
            <w:vAlign w:val="center"/>
            <w:hideMark/>
          </w:tcPr>
          <w:p w14:paraId="68755242"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61</w:t>
            </w:r>
          </w:p>
        </w:tc>
      </w:tr>
      <w:tr w:rsidR="001A658F" w:rsidRPr="001A658F" w14:paraId="2850929B" w14:textId="77777777" w:rsidTr="0090529D">
        <w:trPr>
          <w:trHeight w:val="540"/>
        </w:trPr>
        <w:tc>
          <w:tcPr>
            <w:tcW w:w="5245" w:type="dxa"/>
            <w:shd w:val="clear" w:color="auto" w:fill="auto"/>
            <w:vAlign w:val="center"/>
            <w:hideMark/>
          </w:tcPr>
          <w:p w14:paraId="26DB7848" w14:textId="77777777" w:rsidR="001A658F" w:rsidRPr="001A658F" w:rsidRDefault="001A658F" w:rsidP="001A658F">
            <w:pPr>
              <w:rPr>
                <w:rFonts w:ascii="Times New Roman" w:eastAsia="Times New Roman" w:hAnsi="Times New Roman"/>
                <w:b/>
                <w:bCs/>
                <w:color w:val="000000"/>
                <w:sz w:val="20"/>
                <w:szCs w:val="20"/>
                <w:lang w:eastAsia="ru-RU"/>
              </w:rPr>
            </w:pPr>
            <w:r w:rsidRPr="001A658F">
              <w:rPr>
                <w:rFonts w:ascii="Times New Roman" w:eastAsia="Times New Roman" w:hAnsi="Times New Roman"/>
                <w:b/>
                <w:bCs/>
                <w:color w:val="000000"/>
                <w:sz w:val="20"/>
                <w:szCs w:val="20"/>
                <w:lang w:eastAsia="ru-RU"/>
              </w:rPr>
              <w:t>Чистые процентные доходы после создания резерва на возможные потери</w:t>
            </w:r>
          </w:p>
        </w:tc>
        <w:tc>
          <w:tcPr>
            <w:tcW w:w="1276" w:type="dxa"/>
            <w:shd w:val="clear" w:color="000000" w:fill="FFFFFF"/>
            <w:vAlign w:val="center"/>
            <w:hideMark/>
          </w:tcPr>
          <w:p w14:paraId="4CA23733"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-35%</w:t>
            </w:r>
          </w:p>
        </w:tc>
        <w:tc>
          <w:tcPr>
            <w:tcW w:w="1417" w:type="dxa"/>
            <w:shd w:val="clear" w:color="000000" w:fill="FFFFFF"/>
            <w:vAlign w:val="center"/>
            <w:hideMark/>
          </w:tcPr>
          <w:p w14:paraId="062C7F97" w14:textId="77777777" w:rsidR="001A658F" w:rsidRPr="001A658F" w:rsidRDefault="001A658F" w:rsidP="001A658F">
            <w:pPr>
              <w:jc w:val="right"/>
              <w:rPr>
                <w:rFonts w:ascii="Times New Roman" w:eastAsia="Times New Roman" w:hAnsi="Times New Roman"/>
                <w:b/>
                <w:bCs/>
                <w:color w:val="000000"/>
                <w:sz w:val="20"/>
                <w:szCs w:val="20"/>
                <w:lang w:eastAsia="ru-RU"/>
              </w:rPr>
            </w:pPr>
            <w:r w:rsidRPr="001A658F">
              <w:rPr>
                <w:rFonts w:ascii="Times New Roman" w:eastAsia="Times New Roman" w:hAnsi="Times New Roman"/>
                <w:b/>
                <w:bCs/>
                <w:color w:val="000000"/>
                <w:sz w:val="20"/>
                <w:szCs w:val="20"/>
                <w:lang w:eastAsia="ru-RU"/>
              </w:rPr>
              <w:t>12 255 680</w:t>
            </w:r>
          </w:p>
        </w:tc>
        <w:tc>
          <w:tcPr>
            <w:tcW w:w="1422" w:type="dxa"/>
            <w:shd w:val="clear" w:color="000000" w:fill="FFFFFF"/>
            <w:noWrap/>
            <w:vAlign w:val="center"/>
            <w:hideMark/>
          </w:tcPr>
          <w:p w14:paraId="74277215" w14:textId="77777777" w:rsidR="001A658F" w:rsidRPr="001A658F" w:rsidRDefault="001A658F" w:rsidP="001A658F">
            <w:pPr>
              <w:jc w:val="right"/>
              <w:rPr>
                <w:rFonts w:ascii="Times New Roman" w:eastAsia="Times New Roman" w:hAnsi="Times New Roman"/>
                <w:b/>
                <w:bCs/>
                <w:color w:val="000000"/>
                <w:sz w:val="20"/>
                <w:szCs w:val="20"/>
                <w:lang w:eastAsia="ru-RU"/>
              </w:rPr>
            </w:pPr>
            <w:r w:rsidRPr="001A658F">
              <w:rPr>
                <w:rFonts w:ascii="Times New Roman" w:eastAsia="Times New Roman" w:hAnsi="Times New Roman"/>
                <w:b/>
                <w:bCs/>
                <w:color w:val="000000"/>
                <w:sz w:val="20"/>
                <w:szCs w:val="20"/>
                <w:lang w:eastAsia="ru-RU"/>
              </w:rPr>
              <w:t>18 797 121</w:t>
            </w:r>
          </w:p>
        </w:tc>
      </w:tr>
      <w:tr w:rsidR="001A658F" w:rsidRPr="001A658F" w14:paraId="281F34BC" w14:textId="77777777" w:rsidTr="0090529D">
        <w:trPr>
          <w:trHeight w:val="804"/>
        </w:trPr>
        <w:tc>
          <w:tcPr>
            <w:tcW w:w="5245" w:type="dxa"/>
            <w:shd w:val="clear" w:color="auto" w:fill="auto"/>
            <w:vAlign w:val="center"/>
            <w:hideMark/>
          </w:tcPr>
          <w:p w14:paraId="36150B44" w14:textId="77777777" w:rsidR="001A658F" w:rsidRPr="001A658F" w:rsidRDefault="001A658F" w:rsidP="001A658F">
            <w:pP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Чистые доходы от операций с финансовыми активами, оцениваемыми по справедливой стоимости через прибыль или убыток</w:t>
            </w:r>
          </w:p>
        </w:tc>
        <w:tc>
          <w:tcPr>
            <w:tcW w:w="1276" w:type="dxa"/>
            <w:shd w:val="clear" w:color="000000" w:fill="FFFFFF"/>
            <w:vAlign w:val="center"/>
            <w:hideMark/>
          </w:tcPr>
          <w:p w14:paraId="605E0A11"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-367%</w:t>
            </w:r>
          </w:p>
        </w:tc>
        <w:tc>
          <w:tcPr>
            <w:tcW w:w="1417" w:type="dxa"/>
            <w:shd w:val="clear" w:color="000000" w:fill="FFFFFF"/>
            <w:vAlign w:val="center"/>
            <w:hideMark/>
          </w:tcPr>
          <w:p w14:paraId="12B50A44"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-1 277 040</w:t>
            </w:r>
          </w:p>
        </w:tc>
        <w:tc>
          <w:tcPr>
            <w:tcW w:w="1422" w:type="dxa"/>
            <w:shd w:val="clear" w:color="000000" w:fill="FFFFFF"/>
            <w:noWrap/>
            <w:vAlign w:val="center"/>
            <w:hideMark/>
          </w:tcPr>
          <w:p w14:paraId="46578F3F"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478 177</w:t>
            </w:r>
          </w:p>
        </w:tc>
      </w:tr>
      <w:tr w:rsidR="001A658F" w:rsidRPr="001A658F" w14:paraId="3219556E" w14:textId="77777777" w:rsidTr="0090529D">
        <w:trPr>
          <w:trHeight w:val="722"/>
        </w:trPr>
        <w:tc>
          <w:tcPr>
            <w:tcW w:w="5245" w:type="dxa"/>
            <w:shd w:val="clear" w:color="auto" w:fill="auto"/>
            <w:vAlign w:val="center"/>
            <w:hideMark/>
          </w:tcPr>
          <w:p w14:paraId="5036E9C3" w14:textId="77777777" w:rsidR="001A658F" w:rsidRPr="001A658F" w:rsidRDefault="001A658F" w:rsidP="001A658F">
            <w:pP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Чистые доходы от операций с финансовыми обязательствами, оцениваемыми по справедливой стоимости через прибыль или убыток</w:t>
            </w:r>
          </w:p>
        </w:tc>
        <w:tc>
          <w:tcPr>
            <w:tcW w:w="1276" w:type="dxa"/>
            <w:shd w:val="clear" w:color="000000" w:fill="FFFFFF"/>
            <w:vAlign w:val="center"/>
            <w:hideMark/>
          </w:tcPr>
          <w:p w14:paraId="65B2B308"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-100%</w:t>
            </w:r>
          </w:p>
        </w:tc>
        <w:tc>
          <w:tcPr>
            <w:tcW w:w="1417" w:type="dxa"/>
            <w:shd w:val="clear" w:color="000000" w:fill="FFFFFF"/>
            <w:vAlign w:val="center"/>
            <w:hideMark/>
          </w:tcPr>
          <w:p w14:paraId="138B27E7"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-60</w:t>
            </w:r>
          </w:p>
        </w:tc>
        <w:tc>
          <w:tcPr>
            <w:tcW w:w="1422" w:type="dxa"/>
            <w:shd w:val="clear" w:color="000000" w:fill="FFFFFF"/>
            <w:noWrap/>
            <w:vAlign w:val="center"/>
            <w:hideMark/>
          </w:tcPr>
          <w:p w14:paraId="5C869545"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-21 601</w:t>
            </w:r>
          </w:p>
        </w:tc>
      </w:tr>
      <w:tr w:rsidR="001A658F" w:rsidRPr="001A658F" w14:paraId="35697164" w14:textId="77777777" w:rsidTr="0090529D">
        <w:trPr>
          <w:trHeight w:val="421"/>
        </w:trPr>
        <w:tc>
          <w:tcPr>
            <w:tcW w:w="5245" w:type="dxa"/>
            <w:shd w:val="clear" w:color="auto" w:fill="auto"/>
            <w:vAlign w:val="center"/>
            <w:hideMark/>
          </w:tcPr>
          <w:p w14:paraId="10EF1CE1" w14:textId="77777777" w:rsidR="001A658F" w:rsidRPr="001A658F" w:rsidRDefault="001A658F" w:rsidP="001A658F">
            <w:pP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Чистые доходы от операций с ценными бумагами, имеющимися в наличии для продажи</w:t>
            </w:r>
          </w:p>
        </w:tc>
        <w:tc>
          <w:tcPr>
            <w:tcW w:w="1276" w:type="dxa"/>
            <w:shd w:val="clear" w:color="000000" w:fill="FFFFFF"/>
            <w:vAlign w:val="center"/>
            <w:hideMark/>
          </w:tcPr>
          <w:p w14:paraId="403394E4"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-47%</w:t>
            </w:r>
          </w:p>
        </w:tc>
        <w:tc>
          <w:tcPr>
            <w:tcW w:w="1417" w:type="dxa"/>
            <w:shd w:val="clear" w:color="000000" w:fill="FFFFFF"/>
            <w:vAlign w:val="center"/>
            <w:hideMark/>
          </w:tcPr>
          <w:p w14:paraId="15E3CEAA"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840 645</w:t>
            </w:r>
          </w:p>
        </w:tc>
        <w:tc>
          <w:tcPr>
            <w:tcW w:w="1422" w:type="dxa"/>
            <w:shd w:val="clear" w:color="000000" w:fill="FFFFFF"/>
            <w:noWrap/>
            <w:vAlign w:val="center"/>
            <w:hideMark/>
          </w:tcPr>
          <w:p w14:paraId="5F7C0F72"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1 595 316</w:t>
            </w:r>
          </w:p>
        </w:tc>
      </w:tr>
      <w:tr w:rsidR="001A658F" w:rsidRPr="001A658F" w14:paraId="1DF27249" w14:textId="77777777" w:rsidTr="0090529D">
        <w:trPr>
          <w:trHeight w:val="309"/>
        </w:trPr>
        <w:tc>
          <w:tcPr>
            <w:tcW w:w="5245" w:type="dxa"/>
            <w:shd w:val="clear" w:color="auto" w:fill="auto"/>
            <w:vAlign w:val="center"/>
            <w:hideMark/>
          </w:tcPr>
          <w:p w14:paraId="292FCF2A" w14:textId="77777777" w:rsidR="001A658F" w:rsidRPr="001A658F" w:rsidRDefault="001A658F" w:rsidP="001A658F">
            <w:pP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Чистые доходы от операций с иностранной валютой</w:t>
            </w:r>
          </w:p>
        </w:tc>
        <w:tc>
          <w:tcPr>
            <w:tcW w:w="1276" w:type="dxa"/>
            <w:shd w:val="clear" w:color="000000" w:fill="FFFFFF"/>
            <w:vAlign w:val="center"/>
            <w:hideMark/>
          </w:tcPr>
          <w:p w14:paraId="2A2B3CD3"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-23%</w:t>
            </w:r>
          </w:p>
        </w:tc>
        <w:tc>
          <w:tcPr>
            <w:tcW w:w="1417" w:type="dxa"/>
            <w:shd w:val="clear" w:color="000000" w:fill="FFFFFF"/>
            <w:vAlign w:val="center"/>
            <w:hideMark/>
          </w:tcPr>
          <w:p w14:paraId="57C937D4"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-2 985 816</w:t>
            </w:r>
          </w:p>
        </w:tc>
        <w:tc>
          <w:tcPr>
            <w:tcW w:w="1422" w:type="dxa"/>
            <w:shd w:val="clear" w:color="000000" w:fill="FFFFFF"/>
            <w:noWrap/>
            <w:vAlign w:val="center"/>
            <w:hideMark/>
          </w:tcPr>
          <w:p w14:paraId="5D6F9D4D"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-3 895 006</w:t>
            </w:r>
          </w:p>
        </w:tc>
      </w:tr>
      <w:tr w:rsidR="001A658F" w:rsidRPr="001A658F" w14:paraId="65C95984" w14:textId="77777777" w:rsidTr="0090529D">
        <w:trPr>
          <w:trHeight w:val="286"/>
        </w:trPr>
        <w:tc>
          <w:tcPr>
            <w:tcW w:w="5245" w:type="dxa"/>
            <w:shd w:val="clear" w:color="auto" w:fill="auto"/>
            <w:vAlign w:val="center"/>
            <w:hideMark/>
          </w:tcPr>
          <w:p w14:paraId="79170FCA" w14:textId="77777777" w:rsidR="001A658F" w:rsidRPr="001A658F" w:rsidRDefault="001A658F" w:rsidP="001A658F">
            <w:pP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Чистые доходы от переоценки иностранной валюты</w:t>
            </w:r>
          </w:p>
        </w:tc>
        <w:tc>
          <w:tcPr>
            <w:tcW w:w="1276" w:type="dxa"/>
            <w:shd w:val="clear" w:color="000000" w:fill="FFFFFF"/>
            <w:vAlign w:val="center"/>
            <w:hideMark/>
          </w:tcPr>
          <w:p w14:paraId="04C5BE35"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52%</w:t>
            </w:r>
          </w:p>
        </w:tc>
        <w:tc>
          <w:tcPr>
            <w:tcW w:w="1417" w:type="dxa"/>
            <w:shd w:val="clear" w:color="000000" w:fill="FFFFFF"/>
            <w:vAlign w:val="center"/>
            <w:hideMark/>
          </w:tcPr>
          <w:p w14:paraId="311EBA9E"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4 661 411</w:t>
            </w:r>
          </w:p>
        </w:tc>
        <w:tc>
          <w:tcPr>
            <w:tcW w:w="1422" w:type="dxa"/>
            <w:shd w:val="clear" w:color="000000" w:fill="FFFFFF"/>
            <w:noWrap/>
            <w:vAlign w:val="center"/>
            <w:hideMark/>
          </w:tcPr>
          <w:p w14:paraId="02E9FE31"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3 074 608</w:t>
            </w:r>
          </w:p>
        </w:tc>
      </w:tr>
      <w:tr w:rsidR="001A658F" w:rsidRPr="001A658F" w14:paraId="22B0197A" w14:textId="77777777" w:rsidTr="0090529D">
        <w:trPr>
          <w:trHeight w:val="275"/>
        </w:trPr>
        <w:tc>
          <w:tcPr>
            <w:tcW w:w="5245" w:type="dxa"/>
            <w:shd w:val="clear" w:color="auto" w:fill="auto"/>
            <w:vAlign w:val="center"/>
            <w:hideMark/>
          </w:tcPr>
          <w:p w14:paraId="787C143D" w14:textId="77777777" w:rsidR="001A658F" w:rsidRPr="001A658F" w:rsidRDefault="001A658F" w:rsidP="001A658F">
            <w:pP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Чистые доходы от операций с драгоценными металлами</w:t>
            </w:r>
          </w:p>
        </w:tc>
        <w:tc>
          <w:tcPr>
            <w:tcW w:w="1276" w:type="dxa"/>
            <w:shd w:val="clear" w:color="000000" w:fill="FFFFFF"/>
            <w:vAlign w:val="center"/>
            <w:hideMark/>
          </w:tcPr>
          <w:p w14:paraId="4B215F98"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16%</w:t>
            </w:r>
          </w:p>
        </w:tc>
        <w:tc>
          <w:tcPr>
            <w:tcW w:w="1417" w:type="dxa"/>
            <w:shd w:val="clear" w:color="000000" w:fill="FFFFFF"/>
            <w:vAlign w:val="center"/>
            <w:hideMark/>
          </w:tcPr>
          <w:p w14:paraId="5A5D38BD"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633</w:t>
            </w:r>
          </w:p>
        </w:tc>
        <w:tc>
          <w:tcPr>
            <w:tcW w:w="1422" w:type="dxa"/>
            <w:shd w:val="clear" w:color="000000" w:fill="FFFFFF"/>
            <w:noWrap/>
            <w:vAlign w:val="center"/>
            <w:hideMark/>
          </w:tcPr>
          <w:p w14:paraId="4556816D"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546</w:t>
            </w:r>
          </w:p>
        </w:tc>
      </w:tr>
      <w:tr w:rsidR="001A658F" w:rsidRPr="001A658F" w14:paraId="5D20F227" w14:textId="77777777" w:rsidTr="0090529D">
        <w:trPr>
          <w:trHeight w:val="300"/>
        </w:trPr>
        <w:tc>
          <w:tcPr>
            <w:tcW w:w="5245" w:type="dxa"/>
            <w:shd w:val="clear" w:color="auto" w:fill="auto"/>
            <w:vAlign w:val="center"/>
            <w:hideMark/>
          </w:tcPr>
          <w:p w14:paraId="58CE1FDB" w14:textId="77777777" w:rsidR="001A658F" w:rsidRPr="001A658F" w:rsidRDefault="001A658F" w:rsidP="001A658F">
            <w:pP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Комиссионные доходы</w:t>
            </w:r>
          </w:p>
        </w:tc>
        <w:tc>
          <w:tcPr>
            <w:tcW w:w="1276" w:type="dxa"/>
            <w:shd w:val="clear" w:color="000000" w:fill="FFFFFF"/>
            <w:vAlign w:val="center"/>
            <w:hideMark/>
          </w:tcPr>
          <w:p w14:paraId="76A8F9C9"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17%</w:t>
            </w:r>
          </w:p>
        </w:tc>
        <w:tc>
          <w:tcPr>
            <w:tcW w:w="1417" w:type="dxa"/>
            <w:shd w:val="clear" w:color="000000" w:fill="FFFFFF"/>
            <w:vAlign w:val="center"/>
            <w:hideMark/>
          </w:tcPr>
          <w:p w14:paraId="4B837D12"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8 407 742</w:t>
            </w:r>
          </w:p>
        </w:tc>
        <w:tc>
          <w:tcPr>
            <w:tcW w:w="1422" w:type="dxa"/>
            <w:shd w:val="clear" w:color="000000" w:fill="FFFFFF"/>
            <w:noWrap/>
            <w:vAlign w:val="center"/>
            <w:hideMark/>
          </w:tcPr>
          <w:p w14:paraId="0E61E87E"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7 165 115</w:t>
            </w:r>
          </w:p>
        </w:tc>
      </w:tr>
      <w:tr w:rsidR="001A658F" w:rsidRPr="001A658F" w14:paraId="4036B427" w14:textId="77777777" w:rsidTr="0090529D">
        <w:trPr>
          <w:trHeight w:val="300"/>
        </w:trPr>
        <w:tc>
          <w:tcPr>
            <w:tcW w:w="5245" w:type="dxa"/>
            <w:shd w:val="clear" w:color="auto" w:fill="auto"/>
            <w:vAlign w:val="center"/>
            <w:hideMark/>
          </w:tcPr>
          <w:p w14:paraId="53F6ADD7" w14:textId="77777777" w:rsidR="001A658F" w:rsidRPr="001A658F" w:rsidRDefault="001A658F" w:rsidP="001A658F">
            <w:pP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Комиссионные расходы</w:t>
            </w:r>
          </w:p>
        </w:tc>
        <w:tc>
          <w:tcPr>
            <w:tcW w:w="1276" w:type="dxa"/>
            <w:shd w:val="clear" w:color="000000" w:fill="FFFFFF"/>
            <w:vAlign w:val="center"/>
            <w:hideMark/>
          </w:tcPr>
          <w:p w14:paraId="3977EB9F"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40%</w:t>
            </w:r>
          </w:p>
        </w:tc>
        <w:tc>
          <w:tcPr>
            <w:tcW w:w="1417" w:type="dxa"/>
            <w:shd w:val="clear" w:color="000000" w:fill="FFFFFF"/>
            <w:vAlign w:val="center"/>
            <w:hideMark/>
          </w:tcPr>
          <w:p w14:paraId="4896F66C"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208 119</w:t>
            </w:r>
          </w:p>
        </w:tc>
        <w:tc>
          <w:tcPr>
            <w:tcW w:w="1422" w:type="dxa"/>
            <w:shd w:val="clear" w:color="000000" w:fill="FFFFFF"/>
            <w:noWrap/>
            <w:vAlign w:val="center"/>
            <w:hideMark/>
          </w:tcPr>
          <w:p w14:paraId="627867E5"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149 116</w:t>
            </w:r>
          </w:p>
        </w:tc>
      </w:tr>
      <w:tr w:rsidR="001A658F" w:rsidRPr="001A658F" w14:paraId="1817CAE1" w14:textId="77777777" w:rsidTr="0090529D">
        <w:trPr>
          <w:trHeight w:val="300"/>
        </w:trPr>
        <w:tc>
          <w:tcPr>
            <w:tcW w:w="5245" w:type="dxa"/>
            <w:shd w:val="clear" w:color="auto" w:fill="auto"/>
            <w:vAlign w:val="center"/>
            <w:hideMark/>
          </w:tcPr>
          <w:p w14:paraId="0DAA0E98" w14:textId="77777777" w:rsidR="001A658F" w:rsidRPr="001A658F" w:rsidRDefault="001A658F" w:rsidP="001A658F">
            <w:pP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Изменение резерва по прочим потерям</w:t>
            </w:r>
          </w:p>
        </w:tc>
        <w:tc>
          <w:tcPr>
            <w:tcW w:w="1276" w:type="dxa"/>
            <w:shd w:val="clear" w:color="000000" w:fill="FFFFFF"/>
            <w:vAlign w:val="center"/>
            <w:hideMark/>
          </w:tcPr>
          <w:p w14:paraId="4FFE8933"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-129%</w:t>
            </w:r>
          </w:p>
        </w:tc>
        <w:tc>
          <w:tcPr>
            <w:tcW w:w="1417" w:type="dxa"/>
            <w:shd w:val="clear" w:color="000000" w:fill="FFFFFF"/>
            <w:vAlign w:val="center"/>
            <w:hideMark/>
          </w:tcPr>
          <w:p w14:paraId="72E25B44"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-1 271</w:t>
            </w:r>
          </w:p>
        </w:tc>
        <w:tc>
          <w:tcPr>
            <w:tcW w:w="1422" w:type="dxa"/>
            <w:shd w:val="clear" w:color="000000" w:fill="FFFFFF"/>
            <w:noWrap/>
            <w:vAlign w:val="center"/>
            <w:hideMark/>
          </w:tcPr>
          <w:p w14:paraId="70D43590"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4 380</w:t>
            </w:r>
          </w:p>
        </w:tc>
      </w:tr>
      <w:tr w:rsidR="001A658F" w:rsidRPr="001A658F" w14:paraId="2DD94ADD" w14:textId="77777777" w:rsidTr="0090529D">
        <w:trPr>
          <w:trHeight w:val="300"/>
        </w:trPr>
        <w:tc>
          <w:tcPr>
            <w:tcW w:w="5245" w:type="dxa"/>
            <w:shd w:val="clear" w:color="auto" w:fill="auto"/>
            <w:vAlign w:val="center"/>
            <w:hideMark/>
          </w:tcPr>
          <w:p w14:paraId="63CECD10" w14:textId="77777777" w:rsidR="001A658F" w:rsidRPr="001A658F" w:rsidRDefault="001A658F" w:rsidP="001A658F">
            <w:pP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Прочие операционные доходы</w:t>
            </w:r>
          </w:p>
        </w:tc>
        <w:tc>
          <w:tcPr>
            <w:tcW w:w="1276" w:type="dxa"/>
            <w:shd w:val="clear" w:color="000000" w:fill="FFFFFF"/>
            <w:vAlign w:val="center"/>
            <w:hideMark/>
          </w:tcPr>
          <w:p w14:paraId="0F9DC8EA"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118%</w:t>
            </w:r>
          </w:p>
        </w:tc>
        <w:tc>
          <w:tcPr>
            <w:tcW w:w="1417" w:type="dxa"/>
            <w:shd w:val="clear" w:color="000000" w:fill="FFFFFF"/>
            <w:vAlign w:val="center"/>
            <w:hideMark/>
          </w:tcPr>
          <w:p w14:paraId="33317447"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14 863</w:t>
            </w:r>
          </w:p>
        </w:tc>
        <w:tc>
          <w:tcPr>
            <w:tcW w:w="1422" w:type="dxa"/>
            <w:shd w:val="clear" w:color="auto" w:fill="auto"/>
            <w:noWrap/>
            <w:vAlign w:val="center"/>
            <w:hideMark/>
          </w:tcPr>
          <w:p w14:paraId="0B469546"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6 820</w:t>
            </w:r>
          </w:p>
        </w:tc>
      </w:tr>
      <w:tr w:rsidR="001A658F" w:rsidRPr="001A658F" w14:paraId="65DC5752" w14:textId="77777777" w:rsidTr="0090529D">
        <w:trPr>
          <w:trHeight w:val="300"/>
        </w:trPr>
        <w:tc>
          <w:tcPr>
            <w:tcW w:w="5245" w:type="dxa"/>
            <w:shd w:val="clear" w:color="auto" w:fill="auto"/>
            <w:vAlign w:val="center"/>
            <w:hideMark/>
          </w:tcPr>
          <w:p w14:paraId="0419CF1D" w14:textId="77777777" w:rsidR="001A658F" w:rsidRPr="001A658F" w:rsidRDefault="001A658F" w:rsidP="001A658F">
            <w:pP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Чистые доходы (расходы)</w:t>
            </w:r>
          </w:p>
        </w:tc>
        <w:tc>
          <w:tcPr>
            <w:tcW w:w="1276" w:type="dxa"/>
            <w:shd w:val="clear" w:color="000000" w:fill="FFFFFF"/>
            <w:vAlign w:val="center"/>
            <w:hideMark/>
          </w:tcPr>
          <w:p w14:paraId="6D2B424E"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-20%</w:t>
            </w:r>
          </w:p>
        </w:tc>
        <w:tc>
          <w:tcPr>
            <w:tcW w:w="1417" w:type="dxa"/>
            <w:shd w:val="clear" w:color="000000" w:fill="FFFFFF"/>
            <w:vAlign w:val="center"/>
            <w:hideMark/>
          </w:tcPr>
          <w:p w14:paraId="2F9BA213"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21 708 668</w:t>
            </w:r>
          </w:p>
        </w:tc>
        <w:tc>
          <w:tcPr>
            <w:tcW w:w="1422" w:type="dxa"/>
            <w:shd w:val="clear" w:color="auto" w:fill="auto"/>
            <w:noWrap/>
            <w:vAlign w:val="center"/>
            <w:hideMark/>
          </w:tcPr>
          <w:p w14:paraId="00A57093"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27 056 360</w:t>
            </w:r>
          </w:p>
        </w:tc>
      </w:tr>
      <w:tr w:rsidR="001A658F" w:rsidRPr="001A658F" w14:paraId="772FDBBF" w14:textId="77777777" w:rsidTr="0090529D">
        <w:trPr>
          <w:trHeight w:val="300"/>
        </w:trPr>
        <w:tc>
          <w:tcPr>
            <w:tcW w:w="5245" w:type="dxa"/>
            <w:shd w:val="clear" w:color="auto" w:fill="auto"/>
            <w:vAlign w:val="center"/>
            <w:hideMark/>
          </w:tcPr>
          <w:p w14:paraId="510ECD2A" w14:textId="77777777" w:rsidR="001A658F" w:rsidRPr="001A658F" w:rsidRDefault="001A658F" w:rsidP="001A658F">
            <w:pP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Операционные расходы</w:t>
            </w:r>
          </w:p>
        </w:tc>
        <w:tc>
          <w:tcPr>
            <w:tcW w:w="1276" w:type="dxa"/>
            <w:shd w:val="clear" w:color="000000" w:fill="FFFFFF"/>
            <w:vAlign w:val="center"/>
            <w:hideMark/>
          </w:tcPr>
          <w:p w14:paraId="3FE1AA89"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16%</w:t>
            </w:r>
          </w:p>
        </w:tc>
        <w:tc>
          <w:tcPr>
            <w:tcW w:w="1417" w:type="dxa"/>
            <w:shd w:val="clear" w:color="000000" w:fill="FFFFFF"/>
            <w:vAlign w:val="center"/>
            <w:hideMark/>
          </w:tcPr>
          <w:p w14:paraId="4F582149"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1 386 400</w:t>
            </w:r>
          </w:p>
        </w:tc>
        <w:tc>
          <w:tcPr>
            <w:tcW w:w="1422" w:type="dxa"/>
            <w:shd w:val="clear" w:color="auto" w:fill="auto"/>
            <w:noWrap/>
            <w:vAlign w:val="center"/>
            <w:hideMark/>
          </w:tcPr>
          <w:p w14:paraId="0301CD5B"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1 198 218</w:t>
            </w:r>
          </w:p>
        </w:tc>
      </w:tr>
      <w:tr w:rsidR="001A658F" w:rsidRPr="001A658F" w14:paraId="3A3BD301" w14:textId="77777777" w:rsidTr="0090529D">
        <w:trPr>
          <w:trHeight w:val="300"/>
        </w:trPr>
        <w:tc>
          <w:tcPr>
            <w:tcW w:w="5245" w:type="dxa"/>
            <w:shd w:val="clear" w:color="auto" w:fill="auto"/>
            <w:vAlign w:val="center"/>
            <w:hideMark/>
          </w:tcPr>
          <w:p w14:paraId="020E175E" w14:textId="77777777" w:rsidR="001A658F" w:rsidRPr="001A658F" w:rsidRDefault="001A658F" w:rsidP="001A658F">
            <w:pPr>
              <w:rPr>
                <w:rFonts w:ascii="Times New Roman" w:eastAsia="Times New Roman" w:hAnsi="Times New Roman"/>
                <w:b/>
                <w:bCs/>
                <w:color w:val="000000"/>
                <w:sz w:val="20"/>
                <w:szCs w:val="20"/>
                <w:lang w:eastAsia="ru-RU"/>
              </w:rPr>
            </w:pPr>
            <w:r w:rsidRPr="001A658F">
              <w:rPr>
                <w:rFonts w:ascii="Times New Roman" w:eastAsia="Times New Roman" w:hAnsi="Times New Roman"/>
                <w:b/>
                <w:bCs/>
                <w:color w:val="000000"/>
                <w:sz w:val="20"/>
                <w:szCs w:val="20"/>
                <w:lang w:eastAsia="ru-RU"/>
              </w:rPr>
              <w:t>Прибыль (убыток) до налогообложения</w:t>
            </w:r>
          </w:p>
        </w:tc>
        <w:tc>
          <w:tcPr>
            <w:tcW w:w="1276" w:type="dxa"/>
            <w:shd w:val="clear" w:color="000000" w:fill="FFFFFF"/>
            <w:vAlign w:val="center"/>
            <w:hideMark/>
          </w:tcPr>
          <w:p w14:paraId="71A3279E"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-21%</w:t>
            </w:r>
          </w:p>
        </w:tc>
        <w:tc>
          <w:tcPr>
            <w:tcW w:w="1417" w:type="dxa"/>
            <w:shd w:val="clear" w:color="000000" w:fill="FFFFFF"/>
            <w:vAlign w:val="center"/>
            <w:hideMark/>
          </w:tcPr>
          <w:p w14:paraId="1B33DAA1" w14:textId="77777777" w:rsidR="001A658F" w:rsidRPr="001A658F" w:rsidRDefault="001A658F" w:rsidP="001A658F">
            <w:pPr>
              <w:jc w:val="right"/>
              <w:rPr>
                <w:rFonts w:ascii="Times New Roman" w:eastAsia="Times New Roman" w:hAnsi="Times New Roman"/>
                <w:b/>
                <w:bCs/>
                <w:color w:val="000000"/>
                <w:sz w:val="20"/>
                <w:szCs w:val="20"/>
                <w:lang w:eastAsia="ru-RU"/>
              </w:rPr>
            </w:pPr>
            <w:r w:rsidRPr="001A658F">
              <w:rPr>
                <w:rFonts w:ascii="Times New Roman" w:eastAsia="Times New Roman" w:hAnsi="Times New Roman"/>
                <w:b/>
                <w:bCs/>
                <w:color w:val="000000"/>
                <w:sz w:val="20"/>
                <w:szCs w:val="20"/>
                <w:lang w:eastAsia="ru-RU"/>
              </w:rPr>
              <w:t>20 322 268</w:t>
            </w:r>
          </w:p>
        </w:tc>
        <w:tc>
          <w:tcPr>
            <w:tcW w:w="1422" w:type="dxa"/>
            <w:shd w:val="clear" w:color="000000" w:fill="FFFFFF"/>
            <w:noWrap/>
            <w:vAlign w:val="center"/>
            <w:hideMark/>
          </w:tcPr>
          <w:p w14:paraId="2F571134" w14:textId="77777777" w:rsidR="001A658F" w:rsidRPr="001A658F" w:rsidRDefault="001A658F" w:rsidP="001A658F">
            <w:pPr>
              <w:jc w:val="right"/>
              <w:rPr>
                <w:rFonts w:ascii="Times New Roman" w:eastAsia="Times New Roman" w:hAnsi="Times New Roman"/>
                <w:b/>
                <w:bCs/>
                <w:color w:val="000000"/>
                <w:sz w:val="20"/>
                <w:szCs w:val="20"/>
                <w:lang w:eastAsia="ru-RU"/>
              </w:rPr>
            </w:pPr>
            <w:r w:rsidRPr="001A658F">
              <w:rPr>
                <w:rFonts w:ascii="Times New Roman" w:eastAsia="Times New Roman" w:hAnsi="Times New Roman"/>
                <w:b/>
                <w:bCs/>
                <w:color w:val="000000"/>
                <w:sz w:val="20"/>
                <w:szCs w:val="20"/>
                <w:lang w:eastAsia="ru-RU"/>
              </w:rPr>
              <w:t>25 858 142</w:t>
            </w:r>
          </w:p>
        </w:tc>
      </w:tr>
      <w:tr w:rsidR="001A658F" w:rsidRPr="001A658F" w14:paraId="0BA6E48A" w14:textId="77777777" w:rsidTr="0090529D">
        <w:trPr>
          <w:trHeight w:val="300"/>
        </w:trPr>
        <w:tc>
          <w:tcPr>
            <w:tcW w:w="5245" w:type="dxa"/>
            <w:shd w:val="clear" w:color="auto" w:fill="auto"/>
            <w:vAlign w:val="center"/>
            <w:hideMark/>
          </w:tcPr>
          <w:p w14:paraId="241AA269" w14:textId="77777777" w:rsidR="001A658F" w:rsidRPr="001A658F" w:rsidRDefault="001A658F" w:rsidP="001A658F">
            <w:pP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Возмещение (расход) по налогам</w:t>
            </w:r>
          </w:p>
        </w:tc>
        <w:tc>
          <w:tcPr>
            <w:tcW w:w="1276" w:type="dxa"/>
            <w:shd w:val="clear" w:color="000000" w:fill="FFFFFF"/>
            <w:vAlign w:val="center"/>
            <w:hideMark/>
          </w:tcPr>
          <w:p w14:paraId="2CD54FD7"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-22%</w:t>
            </w:r>
          </w:p>
        </w:tc>
        <w:tc>
          <w:tcPr>
            <w:tcW w:w="1417" w:type="dxa"/>
            <w:shd w:val="clear" w:color="000000" w:fill="FFFFFF"/>
            <w:vAlign w:val="center"/>
            <w:hideMark/>
          </w:tcPr>
          <w:p w14:paraId="0E64BFB4"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3 835 164</w:t>
            </w:r>
          </w:p>
        </w:tc>
        <w:tc>
          <w:tcPr>
            <w:tcW w:w="1422" w:type="dxa"/>
            <w:shd w:val="clear" w:color="000000" w:fill="FFFFFF"/>
            <w:noWrap/>
            <w:vAlign w:val="center"/>
            <w:hideMark/>
          </w:tcPr>
          <w:p w14:paraId="4A1B12A3" w14:textId="77777777" w:rsidR="001A658F" w:rsidRPr="001A658F" w:rsidRDefault="001A658F" w:rsidP="001A658F">
            <w:pPr>
              <w:jc w:val="right"/>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4 938 982</w:t>
            </w:r>
          </w:p>
        </w:tc>
      </w:tr>
      <w:tr w:rsidR="001A658F" w:rsidRPr="001A658F" w14:paraId="55B1BAA4" w14:textId="77777777" w:rsidTr="0090529D">
        <w:trPr>
          <w:trHeight w:val="300"/>
        </w:trPr>
        <w:tc>
          <w:tcPr>
            <w:tcW w:w="5245" w:type="dxa"/>
            <w:shd w:val="clear" w:color="auto" w:fill="auto"/>
            <w:vAlign w:val="center"/>
            <w:hideMark/>
          </w:tcPr>
          <w:p w14:paraId="1C9A3623" w14:textId="77777777" w:rsidR="001A658F" w:rsidRPr="001A658F" w:rsidRDefault="001A658F" w:rsidP="001A658F">
            <w:pPr>
              <w:rPr>
                <w:rFonts w:ascii="Times New Roman" w:eastAsia="Times New Roman" w:hAnsi="Times New Roman"/>
                <w:b/>
                <w:bCs/>
                <w:color w:val="000000"/>
                <w:sz w:val="20"/>
                <w:szCs w:val="20"/>
                <w:lang w:eastAsia="ru-RU"/>
              </w:rPr>
            </w:pPr>
            <w:r w:rsidRPr="001A658F">
              <w:rPr>
                <w:rFonts w:ascii="Times New Roman" w:eastAsia="Times New Roman" w:hAnsi="Times New Roman"/>
                <w:b/>
                <w:bCs/>
                <w:color w:val="000000"/>
                <w:sz w:val="20"/>
                <w:szCs w:val="20"/>
                <w:lang w:eastAsia="ru-RU"/>
              </w:rPr>
              <w:t>Прибыль (убыток) за отчетный период</w:t>
            </w:r>
          </w:p>
        </w:tc>
        <w:tc>
          <w:tcPr>
            <w:tcW w:w="1276" w:type="dxa"/>
            <w:shd w:val="clear" w:color="000000" w:fill="FFFFFF"/>
            <w:vAlign w:val="center"/>
            <w:hideMark/>
          </w:tcPr>
          <w:p w14:paraId="631B9270" w14:textId="77777777" w:rsidR="001A658F" w:rsidRPr="001A658F" w:rsidRDefault="001A658F" w:rsidP="001A658F">
            <w:pPr>
              <w:jc w:val="center"/>
              <w:rPr>
                <w:rFonts w:ascii="Times New Roman" w:eastAsia="Times New Roman" w:hAnsi="Times New Roman"/>
                <w:color w:val="000000"/>
                <w:sz w:val="20"/>
                <w:szCs w:val="20"/>
                <w:lang w:eastAsia="ru-RU"/>
              </w:rPr>
            </w:pPr>
            <w:r w:rsidRPr="001A658F">
              <w:rPr>
                <w:rFonts w:ascii="Times New Roman" w:eastAsia="Times New Roman" w:hAnsi="Times New Roman"/>
                <w:color w:val="000000"/>
                <w:sz w:val="20"/>
                <w:szCs w:val="20"/>
                <w:lang w:eastAsia="ru-RU"/>
              </w:rPr>
              <w:t>-21%</w:t>
            </w:r>
          </w:p>
        </w:tc>
        <w:tc>
          <w:tcPr>
            <w:tcW w:w="1417" w:type="dxa"/>
            <w:shd w:val="clear" w:color="000000" w:fill="FFFFFF"/>
            <w:vAlign w:val="center"/>
            <w:hideMark/>
          </w:tcPr>
          <w:p w14:paraId="33CDB598" w14:textId="77777777" w:rsidR="001A658F" w:rsidRPr="001A658F" w:rsidRDefault="001A658F" w:rsidP="001A658F">
            <w:pPr>
              <w:jc w:val="right"/>
              <w:rPr>
                <w:rFonts w:ascii="Times New Roman" w:eastAsia="Times New Roman" w:hAnsi="Times New Roman"/>
                <w:b/>
                <w:bCs/>
                <w:color w:val="000000"/>
                <w:sz w:val="20"/>
                <w:szCs w:val="20"/>
                <w:lang w:eastAsia="ru-RU"/>
              </w:rPr>
            </w:pPr>
            <w:r w:rsidRPr="001A658F">
              <w:rPr>
                <w:rFonts w:ascii="Times New Roman" w:eastAsia="Times New Roman" w:hAnsi="Times New Roman"/>
                <w:b/>
                <w:bCs/>
                <w:color w:val="000000"/>
                <w:sz w:val="20"/>
                <w:szCs w:val="20"/>
                <w:lang w:eastAsia="ru-RU"/>
              </w:rPr>
              <w:t>16 487 104</w:t>
            </w:r>
          </w:p>
        </w:tc>
        <w:tc>
          <w:tcPr>
            <w:tcW w:w="1422" w:type="dxa"/>
            <w:shd w:val="clear" w:color="000000" w:fill="FFFFFF"/>
            <w:noWrap/>
            <w:vAlign w:val="center"/>
            <w:hideMark/>
          </w:tcPr>
          <w:p w14:paraId="75BC5910" w14:textId="77777777" w:rsidR="001A658F" w:rsidRPr="001A658F" w:rsidRDefault="001A658F" w:rsidP="001A658F">
            <w:pPr>
              <w:jc w:val="right"/>
              <w:rPr>
                <w:rFonts w:ascii="Times New Roman" w:eastAsia="Times New Roman" w:hAnsi="Times New Roman"/>
                <w:b/>
                <w:bCs/>
                <w:color w:val="000000"/>
                <w:sz w:val="20"/>
                <w:szCs w:val="20"/>
                <w:lang w:eastAsia="ru-RU"/>
              </w:rPr>
            </w:pPr>
            <w:r w:rsidRPr="001A658F">
              <w:rPr>
                <w:rFonts w:ascii="Times New Roman" w:eastAsia="Times New Roman" w:hAnsi="Times New Roman"/>
                <w:b/>
                <w:bCs/>
                <w:color w:val="000000"/>
                <w:sz w:val="20"/>
                <w:szCs w:val="20"/>
                <w:lang w:eastAsia="ru-RU"/>
              </w:rPr>
              <w:t>20 919 160</w:t>
            </w:r>
          </w:p>
        </w:tc>
      </w:tr>
    </w:tbl>
    <w:p w14:paraId="1E51FAED" w14:textId="77777777" w:rsidR="001A658F" w:rsidRPr="001A658F" w:rsidRDefault="001A658F" w:rsidP="001A658F">
      <w:pPr>
        <w:rPr>
          <w:rFonts w:ascii="Times New Roman" w:eastAsia="Times New Roman" w:hAnsi="Times New Roman"/>
          <w:sz w:val="24"/>
          <w:szCs w:val="24"/>
          <w:lang w:eastAsia="ru-RU"/>
        </w:rPr>
      </w:pPr>
    </w:p>
    <w:p w14:paraId="4A14054D" w14:textId="77777777" w:rsidR="001A658F" w:rsidRPr="001A658F" w:rsidRDefault="001A658F" w:rsidP="001A658F">
      <w:pPr>
        <w:rPr>
          <w:rFonts w:ascii="Times New Roman" w:eastAsia="Times New Roman" w:hAnsi="Times New Roman"/>
          <w:sz w:val="24"/>
          <w:szCs w:val="24"/>
          <w:lang w:eastAsia="ru-RU"/>
        </w:rPr>
      </w:pPr>
    </w:p>
    <w:p w14:paraId="7D1C4571" w14:textId="77777777" w:rsidR="001A658F" w:rsidRPr="001A658F" w:rsidRDefault="001A658F" w:rsidP="001A658F">
      <w:pPr>
        <w:jc w:val="center"/>
        <w:rPr>
          <w:rFonts w:ascii="Times New Roman" w:eastAsia="Times New Roman" w:hAnsi="Times New Roman"/>
          <w:b/>
          <w:i/>
          <w:sz w:val="24"/>
          <w:szCs w:val="24"/>
          <w:lang w:eastAsia="ru-RU"/>
        </w:rPr>
      </w:pPr>
      <w:r w:rsidRPr="001A658F">
        <w:rPr>
          <w:rFonts w:ascii="Times New Roman" w:eastAsia="Times New Roman" w:hAnsi="Times New Roman"/>
          <w:b/>
          <w:i/>
          <w:sz w:val="24"/>
          <w:szCs w:val="24"/>
          <w:lang w:eastAsia="ru-RU"/>
        </w:rPr>
        <w:t>Динамика изменения собственных средств (капитала) НКО НКЦ (АО) и основных показателей, включаемых в расчет капитала (тыс. руб.)</w:t>
      </w:r>
    </w:p>
    <w:p w14:paraId="40A10486" w14:textId="77777777" w:rsidR="001A658F" w:rsidRPr="001A658F" w:rsidRDefault="001A658F" w:rsidP="001A658F">
      <w:pPr>
        <w:jc w:val="center"/>
        <w:rPr>
          <w:rFonts w:ascii="Times New Roman" w:eastAsia="Times New Roman" w:hAnsi="Times New Roman"/>
          <w:b/>
          <w:i/>
          <w:sz w:val="24"/>
          <w:szCs w:val="24"/>
          <w:lang w:eastAsia="ru-RU"/>
        </w:rPr>
      </w:pPr>
    </w:p>
    <w:p w14:paraId="7C3767E9" w14:textId="59252459" w:rsidR="001A658F" w:rsidRPr="001A658F" w:rsidRDefault="005E7F8F" w:rsidP="009E4D5C">
      <w:pPr>
        <w:jc w:val="both"/>
        <w:rPr>
          <w:rFonts w:ascii="Times New Roman" w:eastAsia="MS Mincho" w:hAnsi="Times New Roman"/>
          <w:noProof/>
          <w:snapToGrid w:val="0"/>
          <w:sz w:val="24"/>
          <w:szCs w:val="24"/>
          <w:lang w:eastAsia="x-none"/>
        </w:rPr>
      </w:pPr>
      <w:r>
        <w:rPr>
          <w:rFonts w:ascii="Times New Roman" w:eastAsia="MS Mincho" w:hAnsi="Times New Roman"/>
          <w:noProof/>
          <w:snapToGrid w:val="0"/>
          <w:sz w:val="24"/>
          <w:szCs w:val="24"/>
          <w:lang w:eastAsia="x-none"/>
        </w:rPr>
        <w:t xml:space="preserve">     </w:t>
      </w:r>
      <w:r w:rsidR="001A658F" w:rsidRPr="001A658F">
        <w:rPr>
          <w:rFonts w:ascii="Times New Roman" w:eastAsia="MS Mincho" w:hAnsi="Times New Roman"/>
          <w:noProof/>
          <w:snapToGrid w:val="0"/>
          <w:sz w:val="24"/>
          <w:szCs w:val="24"/>
          <w:lang w:eastAsia="x-none"/>
        </w:rPr>
        <w:t xml:space="preserve">НКЦ осуществляет управление капиталом, исходя из необходимости продолжения своей деятельности, соблюдения необходимого баланса между обеспечением финансовой устойчивости при любых экономических условиях функционирования его бизнеса, снижением издержек участников рынка и обеспечением прибыльности вложений акционеров на высоком уровне. </w:t>
      </w:r>
    </w:p>
    <w:p w14:paraId="06BA7511" w14:textId="77777777" w:rsidR="005E7F8F" w:rsidRDefault="005E7F8F" w:rsidP="009E4D5C">
      <w:pPr>
        <w:tabs>
          <w:tab w:val="left" w:pos="600"/>
        </w:tabs>
        <w:spacing w:after="240"/>
        <w:jc w:val="both"/>
        <w:rPr>
          <w:rFonts w:ascii="Times New Roman" w:eastAsia="MS Mincho" w:hAnsi="Times New Roman"/>
          <w:sz w:val="24"/>
          <w:szCs w:val="24"/>
          <w:lang w:eastAsia="ja-JP"/>
        </w:rPr>
      </w:pPr>
    </w:p>
    <w:p w14:paraId="749A50AD" w14:textId="3B991199" w:rsidR="001A658F" w:rsidRPr="001A658F" w:rsidRDefault="005E7F8F" w:rsidP="009E4D5C">
      <w:pPr>
        <w:tabs>
          <w:tab w:val="left" w:pos="600"/>
        </w:tabs>
        <w:spacing w:after="240"/>
        <w:jc w:val="both"/>
        <w:rPr>
          <w:rFonts w:ascii="Times New Roman" w:eastAsia="MS Mincho" w:hAnsi="Times New Roman"/>
          <w:sz w:val="24"/>
          <w:szCs w:val="24"/>
          <w:lang w:eastAsia="ja-JP"/>
        </w:rPr>
      </w:pPr>
      <w:r>
        <w:rPr>
          <w:rFonts w:ascii="Times New Roman" w:eastAsia="MS Mincho" w:hAnsi="Times New Roman"/>
          <w:sz w:val="24"/>
          <w:szCs w:val="24"/>
          <w:lang w:eastAsia="ja-JP"/>
        </w:rPr>
        <w:lastRenderedPageBreak/>
        <w:t xml:space="preserve">     </w:t>
      </w:r>
      <w:r w:rsidR="001A658F" w:rsidRPr="001A658F">
        <w:rPr>
          <w:rFonts w:ascii="Times New Roman" w:eastAsia="MS Mincho" w:hAnsi="Times New Roman"/>
          <w:sz w:val="24"/>
          <w:szCs w:val="24"/>
          <w:lang w:eastAsia="ja-JP"/>
        </w:rPr>
        <w:t>Являясь компанией в составе Группы «Московская Биржа», Общество в отчетный период осуществляло управление капиталом, руководствуясь задачами, определенными Стратегией Группы на 2016-2020 годы в области развития централизованного клиринга и повышения надежности центрального контрагента. Принимая во внимание необходимость соблюдения регулятивных требований к капиталу кредитных организаций, НКЦ осуществлял прогнозирование величины капитала с учетом прогнозов объема операций на биржевых рынках Группы и объемов депонируемых участниками клиринга средств для обеспечения исполнения обязательств по сделкам, а также с учетом величины рисков, принимаемых в связи с реализацией приоритетных проектов Московской Биржи, предусматривающих осуществление централизованного клиринга с участием центрального контрагента. При прогнозировании величины капитала и уровня его достаточности, НКЦ ориентировался также на планируемые выплаты дивидендов в соответствии с дивидендной политикой Группы.</w:t>
      </w:r>
    </w:p>
    <w:tbl>
      <w:tblPr>
        <w:tblStyle w:val="af3"/>
        <w:tblW w:w="9237" w:type="dxa"/>
        <w:tblInd w:w="108" w:type="dxa"/>
        <w:tblLook w:val="04A0" w:firstRow="1" w:lastRow="0" w:firstColumn="1" w:lastColumn="0" w:noHBand="0" w:noVBand="1"/>
      </w:tblPr>
      <w:tblGrid>
        <w:gridCol w:w="5131"/>
        <w:gridCol w:w="2004"/>
        <w:gridCol w:w="2102"/>
      </w:tblGrid>
      <w:tr w:rsidR="001A658F" w:rsidRPr="001A658F" w14:paraId="1603B1B2" w14:textId="77777777" w:rsidTr="0090529D">
        <w:tc>
          <w:tcPr>
            <w:tcW w:w="5131" w:type="dxa"/>
          </w:tcPr>
          <w:p w14:paraId="5F15E093" w14:textId="77777777" w:rsidR="001A658F" w:rsidRPr="001A658F" w:rsidRDefault="001A658F" w:rsidP="001A658F">
            <w:pPr>
              <w:widowControl w:val="0"/>
              <w:tabs>
                <w:tab w:val="left" w:pos="1056"/>
              </w:tabs>
              <w:autoSpaceDE w:val="0"/>
              <w:autoSpaceDN w:val="0"/>
              <w:adjustRightInd w:val="0"/>
              <w:spacing w:after="200" w:line="276" w:lineRule="auto"/>
              <w:jc w:val="center"/>
              <w:rPr>
                <w:rFonts w:ascii="Times New Roman" w:eastAsia="MS Mincho" w:hAnsi="Times New Roman"/>
                <w:b/>
                <w:sz w:val="24"/>
                <w:szCs w:val="24"/>
              </w:rPr>
            </w:pPr>
            <w:r w:rsidRPr="001A658F">
              <w:rPr>
                <w:rFonts w:ascii="Times New Roman" w:eastAsia="MS Mincho" w:hAnsi="Times New Roman"/>
                <w:b/>
                <w:sz w:val="24"/>
                <w:szCs w:val="24"/>
              </w:rPr>
              <w:t>Наименование статьи</w:t>
            </w:r>
          </w:p>
        </w:tc>
        <w:tc>
          <w:tcPr>
            <w:tcW w:w="2004" w:type="dxa"/>
          </w:tcPr>
          <w:p w14:paraId="65555E9C" w14:textId="77777777" w:rsidR="001A658F" w:rsidRPr="001A658F" w:rsidRDefault="001A658F" w:rsidP="001A658F">
            <w:pPr>
              <w:widowControl w:val="0"/>
              <w:autoSpaceDE w:val="0"/>
              <w:autoSpaceDN w:val="0"/>
              <w:adjustRightInd w:val="0"/>
              <w:spacing w:after="200" w:line="276" w:lineRule="auto"/>
              <w:jc w:val="center"/>
              <w:rPr>
                <w:rFonts w:ascii="Times New Roman" w:eastAsia="MS Mincho" w:hAnsi="Times New Roman"/>
                <w:b/>
                <w:sz w:val="24"/>
                <w:szCs w:val="24"/>
              </w:rPr>
            </w:pPr>
            <w:r w:rsidRPr="001A658F">
              <w:rPr>
                <w:rFonts w:ascii="Times New Roman" w:eastAsia="MS Mincho" w:hAnsi="Times New Roman"/>
                <w:b/>
                <w:sz w:val="24"/>
                <w:szCs w:val="24"/>
              </w:rPr>
              <w:t>01.01.2018</w:t>
            </w:r>
          </w:p>
        </w:tc>
        <w:tc>
          <w:tcPr>
            <w:tcW w:w="2102" w:type="dxa"/>
          </w:tcPr>
          <w:p w14:paraId="171B8681" w14:textId="77777777" w:rsidR="001A658F" w:rsidRPr="001A658F" w:rsidRDefault="001A658F" w:rsidP="001A658F">
            <w:pPr>
              <w:widowControl w:val="0"/>
              <w:autoSpaceDE w:val="0"/>
              <w:autoSpaceDN w:val="0"/>
              <w:adjustRightInd w:val="0"/>
              <w:spacing w:after="200" w:line="276" w:lineRule="auto"/>
              <w:jc w:val="center"/>
              <w:rPr>
                <w:rFonts w:ascii="Times New Roman" w:eastAsia="MS Mincho" w:hAnsi="Times New Roman"/>
                <w:b/>
                <w:sz w:val="24"/>
                <w:szCs w:val="24"/>
              </w:rPr>
            </w:pPr>
            <w:r w:rsidRPr="001A658F">
              <w:rPr>
                <w:rFonts w:ascii="Times New Roman" w:eastAsia="MS Mincho" w:hAnsi="Times New Roman"/>
                <w:b/>
                <w:sz w:val="24"/>
                <w:szCs w:val="24"/>
              </w:rPr>
              <w:t>01.01.2017</w:t>
            </w:r>
          </w:p>
        </w:tc>
      </w:tr>
      <w:tr w:rsidR="001A658F" w:rsidRPr="001A658F" w14:paraId="1B2503DA" w14:textId="77777777" w:rsidTr="0090529D">
        <w:tc>
          <w:tcPr>
            <w:tcW w:w="5131" w:type="dxa"/>
          </w:tcPr>
          <w:p w14:paraId="26C4C14C" w14:textId="77777777" w:rsidR="001A658F" w:rsidRPr="001A658F" w:rsidRDefault="001A658F" w:rsidP="001A658F">
            <w:pPr>
              <w:ind w:firstLine="708"/>
              <w:jc w:val="both"/>
              <w:rPr>
                <w:rFonts w:ascii="Times New Roman" w:eastAsia="MS Mincho" w:hAnsi="Times New Roman"/>
                <w:noProof/>
                <w:snapToGrid w:val="0"/>
                <w:sz w:val="24"/>
                <w:szCs w:val="24"/>
                <w:lang w:eastAsia="x-none"/>
              </w:rPr>
            </w:pPr>
            <w:r w:rsidRPr="001A658F">
              <w:rPr>
                <w:rFonts w:ascii="Times New Roman" w:eastAsia="MS Mincho" w:hAnsi="Times New Roman"/>
                <w:noProof/>
                <w:snapToGrid w:val="0"/>
                <w:sz w:val="24"/>
                <w:szCs w:val="24"/>
                <w:lang w:eastAsia="x-none"/>
              </w:rPr>
              <w:t>Собственные средства (Капитал), итого,</w:t>
            </w:r>
          </w:p>
        </w:tc>
        <w:tc>
          <w:tcPr>
            <w:tcW w:w="2004" w:type="dxa"/>
          </w:tcPr>
          <w:p w14:paraId="65384CF6" w14:textId="77777777" w:rsidR="001A658F" w:rsidRPr="001A658F" w:rsidRDefault="001A658F" w:rsidP="001A658F">
            <w:pPr>
              <w:ind w:firstLine="708"/>
              <w:jc w:val="both"/>
              <w:rPr>
                <w:rFonts w:ascii="Times New Roman" w:eastAsia="MS Mincho" w:hAnsi="Times New Roman"/>
                <w:noProof/>
                <w:snapToGrid w:val="0"/>
                <w:sz w:val="24"/>
                <w:szCs w:val="24"/>
                <w:highlight w:val="yellow"/>
                <w:lang w:eastAsia="x-none"/>
              </w:rPr>
            </w:pPr>
            <w:r w:rsidRPr="001A658F">
              <w:rPr>
                <w:rFonts w:ascii="Times New Roman" w:eastAsia="MS Mincho" w:hAnsi="Times New Roman"/>
                <w:noProof/>
                <w:snapToGrid w:val="0"/>
                <w:sz w:val="24"/>
                <w:szCs w:val="24"/>
                <w:lang w:eastAsia="x-none"/>
              </w:rPr>
              <w:t>45 959 393</w:t>
            </w:r>
          </w:p>
        </w:tc>
        <w:tc>
          <w:tcPr>
            <w:tcW w:w="2102" w:type="dxa"/>
          </w:tcPr>
          <w:p w14:paraId="3BED56BA" w14:textId="77777777" w:rsidR="001A658F" w:rsidRPr="001A658F" w:rsidRDefault="001A658F" w:rsidP="001A658F">
            <w:pPr>
              <w:ind w:firstLine="708"/>
              <w:jc w:val="both"/>
              <w:rPr>
                <w:rFonts w:ascii="Times New Roman" w:eastAsia="MS Mincho" w:hAnsi="Times New Roman"/>
                <w:noProof/>
                <w:snapToGrid w:val="0"/>
                <w:sz w:val="24"/>
                <w:szCs w:val="24"/>
                <w:lang w:eastAsia="x-none"/>
              </w:rPr>
            </w:pPr>
            <w:r w:rsidRPr="001A658F">
              <w:rPr>
                <w:rFonts w:ascii="Times New Roman" w:eastAsia="MS Mincho" w:hAnsi="Times New Roman"/>
                <w:noProof/>
                <w:snapToGrid w:val="0"/>
                <w:sz w:val="24"/>
                <w:szCs w:val="24"/>
                <w:lang w:eastAsia="x-none"/>
              </w:rPr>
              <w:t>46 515 470</w:t>
            </w:r>
          </w:p>
        </w:tc>
      </w:tr>
      <w:tr w:rsidR="001A658F" w:rsidRPr="001A658F" w14:paraId="6EFC118B" w14:textId="77777777" w:rsidTr="0090529D">
        <w:tc>
          <w:tcPr>
            <w:tcW w:w="5131" w:type="dxa"/>
          </w:tcPr>
          <w:p w14:paraId="76117358" w14:textId="77777777" w:rsidR="001A658F" w:rsidRPr="001A658F" w:rsidRDefault="001A658F" w:rsidP="001A658F">
            <w:pPr>
              <w:ind w:firstLine="708"/>
              <w:jc w:val="both"/>
              <w:rPr>
                <w:rFonts w:ascii="Times New Roman" w:eastAsia="MS Mincho" w:hAnsi="Times New Roman"/>
                <w:noProof/>
                <w:snapToGrid w:val="0"/>
                <w:sz w:val="24"/>
                <w:szCs w:val="24"/>
                <w:lang w:eastAsia="x-none"/>
              </w:rPr>
            </w:pPr>
            <w:r w:rsidRPr="001A658F">
              <w:rPr>
                <w:rFonts w:ascii="Times New Roman" w:eastAsia="MS Mincho" w:hAnsi="Times New Roman"/>
                <w:noProof/>
                <w:snapToGrid w:val="0"/>
                <w:sz w:val="24"/>
                <w:szCs w:val="24"/>
                <w:lang w:eastAsia="x-none"/>
              </w:rPr>
              <w:t>в т.ч.:</w:t>
            </w:r>
          </w:p>
        </w:tc>
        <w:tc>
          <w:tcPr>
            <w:tcW w:w="2004" w:type="dxa"/>
          </w:tcPr>
          <w:p w14:paraId="1682FD2B" w14:textId="77777777" w:rsidR="001A658F" w:rsidRPr="001A658F" w:rsidRDefault="001A658F" w:rsidP="001A658F">
            <w:pPr>
              <w:ind w:firstLine="708"/>
              <w:jc w:val="both"/>
              <w:rPr>
                <w:rFonts w:ascii="Times New Roman" w:eastAsia="MS Mincho" w:hAnsi="Times New Roman"/>
                <w:noProof/>
                <w:snapToGrid w:val="0"/>
                <w:sz w:val="24"/>
                <w:szCs w:val="24"/>
                <w:highlight w:val="yellow"/>
                <w:lang w:eastAsia="x-none"/>
              </w:rPr>
            </w:pPr>
          </w:p>
        </w:tc>
        <w:tc>
          <w:tcPr>
            <w:tcW w:w="2102" w:type="dxa"/>
          </w:tcPr>
          <w:p w14:paraId="3A371A63" w14:textId="77777777" w:rsidR="001A658F" w:rsidRPr="001A658F" w:rsidRDefault="001A658F" w:rsidP="001A658F">
            <w:pPr>
              <w:ind w:firstLine="708"/>
              <w:jc w:val="both"/>
              <w:rPr>
                <w:rFonts w:ascii="Times New Roman" w:eastAsia="MS Mincho" w:hAnsi="Times New Roman"/>
                <w:noProof/>
                <w:snapToGrid w:val="0"/>
                <w:sz w:val="24"/>
                <w:szCs w:val="24"/>
                <w:lang w:eastAsia="x-none"/>
              </w:rPr>
            </w:pPr>
          </w:p>
        </w:tc>
      </w:tr>
      <w:tr w:rsidR="001A658F" w:rsidRPr="001A658F" w14:paraId="6E75A4B2" w14:textId="77777777" w:rsidTr="0090529D">
        <w:tc>
          <w:tcPr>
            <w:tcW w:w="5131" w:type="dxa"/>
          </w:tcPr>
          <w:p w14:paraId="5739E992" w14:textId="77777777" w:rsidR="001A658F" w:rsidRPr="001A658F" w:rsidRDefault="001A658F" w:rsidP="001A658F">
            <w:pPr>
              <w:ind w:firstLine="708"/>
              <w:jc w:val="both"/>
              <w:rPr>
                <w:rFonts w:ascii="Times New Roman" w:eastAsia="MS Mincho" w:hAnsi="Times New Roman"/>
                <w:noProof/>
                <w:snapToGrid w:val="0"/>
                <w:sz w:val="24"/>
                <w:szCs w:val="24"/>
                <w:lang w:eastAsia="x-none"/>
              </w:rPr>
            </w:pPr>
            <w:r w:rsidRPr="001A658F">
              <w:rPr>
                <w:rFonts w:ascii="Times New Roman" w:eastAsia="MS Mincho" w:hAnsi="Times New Roman"/>
                <w:noProof/>
                <w:snapToGrid w:val="0"/>
                <w:sz w:val="24"/>
                <w:szCs w:val="24"/>
                <w:lang w:eastAsia="x-none"/>
              </w:rPr>
              <w:t>Базовый капитал</w:t>
            </w:r>
          </w:p>
        </w:tc>
        <w:tc>
          <w:tcPr>
            <w:tcW w:w="2004" w:type="dxa"/>
          </w:tcPr>
          <w:p w14:paraId="63C26B6A" w14:textId="77777777" w:rsidR="001A658F" w:rsidRPr="001A658F" w:rsidRDefault="001A658F" w:rsidP="001A658F">
            <w:pPr>
              <w:ind w:firstLine="708"/>
              <w:jc w:val="both"/>
              <w:rPr>
                <w:rFonts w:ascii="Times New Roman" w:eastAsia="MS Mincho" w:hAnsi="Times New Roman"/>
                <w:noProof/>
                <w:snapToGrid w:val="0"/>
                <w:sz w:val="24"/>
                <w:szCs w:val="24"/>
                <w:lang w:eastAsia="x-none"/>
              </w:rPr>
            </w:pPr>
            <w:r w:rsidRPr="001A658F">
              <w:rPr>
                <w:rFonts w:ascii="Times New Roman" w:eastAsia="MS Mincho" w:hAnsi="Times New Roman"/>
                <w:noProof/>
                <w:snapToGrid w:val="0"/>
                <w:sz w:val="24"/>
                <w:szCs w:val="24"/>
                <w:lang w:eastAsia="x-none"/>
              </w:rPr>
              <w:t>28 509 192</w:t>
            </w:r>
          </w:p>
        </w:tc>
        <w:tc>
          <w:tcPr>
            <w:tcW w:w="2102" w:type="dxa"/>
          </w:tcPr>
          <w:p w14:paraId="349FB87F" w14:textId="77777777" w:rsidR="001A658F" w:rsidRPr="001A658F" w:rsidRDefault="001A658F" w:rsidP="001A658F">
            <w:pPr>
              <w:ind w:firstLine="708"/>
              <w:jc w:val="both"/>
              <w:rPr>
                <w:rFonts w:ascii="Times New Roman" w:eastAsia="MS Mincho" w:hAnsi="Times New Roman"/>
                <w:noProof/>
                <w:snapToGrid w:val="0"/>
                <w:sz w:val="24"/>
                <w:szCs w:val="24"/>
                <w:lang w:eastAsia="x-none"/>
              </w:rPr>
            </w:pPr>
            <w:r w:rsidRPr="001A658F">
              <w:rPr>
                <w:rFonts w:ascii="Times New Roman" w:eastAsia="MS Mincho" w:hAnsi="Times New Roman"/>
                <w:noProof/>
                <w:snapToGrid w:val="0"/>
                <w:sz w:val="24"/>
                <w:szCs w:val="24"/>
                <w:lang w:eastAsia="x-none"/>
              </w:rPr>
              <w:t>25 361 995</w:t>
            </w:r>
          </w:p>
        </w:tc>
      </w:tr>
      <w:tr w:rsidR="001A658F" w:rsidRPr="001A658F" w14:paraId="5AA2A0C9" w14:textId="77777777" w:rsidTr="0090529D">
        <w:tc>
          <w:tcPr>
            <w:tcW w:w="5131" w:type="dxa"/>
          </w:tcPr>
          <w:p w14:paraId="323C2239" w14:textId="77777777" w:rsidR="001A658F" w:rsidRPr="001A658F" w:rsidRDefault="001A658F" w:rsidP="001A658F">
            <w:pPr>
              <w:ind w:firstLine="708"/>
              <w:jc w:val="both"/>
              <w:rPr>
                <w:rFonts w:ascii="Times New Roman" w:eastAsia="MS Mincho" w:hAnsi="Times New Roman"/>
                <w:noProof/>
                <w:snapToGrid w:val="0"/>
                <w:sz w:val="24"/>
                <w:szCs w:val="24"/>
                <w:lang w:eastAsia="x-none"/>
              </w:rPr>
            </w:pPr>
            <w:r w:rsidRPr="001A658F">
              <w:rPr>
                <w:rFonts w:ascii="Times New Roman" w:eastAsia="MS Mincho" w:hAnsi="Times New Roman"/>
                <w:noProof/>
                <w:snapToGrid w:val="0"/>
                <w:sz w:val="24"/>
                <w:szCs w:val="24"/>
                <w:lang w:eastAsia="x-none"/>
              </w:rPr>
              <w:t>Основной капитал</w:t>
            </w:r>
          </w:p>
        </w:tc>
        <w:tc>
          <w:tcPr>
            <w:tcW w:w="2004" w:type="dxa"/>
          </w:tcPr>
          <w:p w14:paraId="47F9AB5D" w14:textId="77777777" w:rsidR="001A658F" w:rsidRPr="001A658F" w:rsidRDefault="001A658F" w:rsidP="001A658F">
            <w:pPr>
              <w:ind w:firstLine="708"/>
              <w:jc w:val="both"/>
              <w:rPr>
                <w:rFonts w:ascii="Times New Roman" w:eastAsia="MS Mincho" w:hAnsi="Times New Roman"/>
                <w:noProof/>
                <w:snapToGrid w:val="0"/>
                <w:sz w:val="24"/>
                <w:szCs w:val="24"/>
                <w:lang w:eastAsia="x-none"/>
              </w:rPr>
            </w:pPr>
            <w:r w:rsidRPr="001A658F">
              <w:rPr>
                <w:rFonts w:ascii="Times New Roman" w:eastAsia="MS Mincho" w:hAnsi="Times New Roman"/>
                <w:noProof/>
                <w:snapToGrid w:val="0"/>
                <w:sz w:val="24"/>
                <w:szCs w:val="24"/>
                <w:lang w:eastAsia="x-none"/>
              </w:rPr>
              <w:t>28 509 192</w:t>
            </w:r>
          </w:p>
        </w:tc>
        <w:tc>
          <w:tcPr>
            <w:tcW w:w="2102" w:type="dxa"/>
          </w:tcPr>
          <w:p w14:paraId="502FF3A3" w14:textId="77777777" w:rsidR="001A658F" w:rsidRPr="001A658F" w:rsidRDefault="001A658F" w:rsidP="001A658F">
            <w:pPr>
              <w:ind w:firstLine="708"/>
              <w:jc w:val="both"/>
              <w:rPr>
                <w:rFonts w:ascii="Times New Roman" w:eastAsia="MS Mincho" w:hAnsi="Times New Roman"/>
                <w:noProof/>
                <w:snapToGrid w:val="0"/>
                <w:sz w:val="24"/>
                <w:szCs w:val="24"/>
                <w:lang w:eastAsia="x-none"/>
              </w:rPr>
            </w:pPr>
            <w:r w:rsidRPr="001A658F">
              <w:rPr>
                <w:rFonts w:ascii="Times New Roman" w:eastAsia="MS Mincho" w:hAnsi="Times New Roman"/>
                <w:noProof/>
                <w:snapToGrid w:val="0"/>
                <w:sz w:val="24"/>
                <w:szCs w:val="24"/>
                <w:lang w:eastAsia="x-none"/>
              </w:rPr>
              <w:t>25 361 995</w:t>
            </w:r>
          </w:p>
        </w:tc>
      </w:tr>
      <w:tr w:rsidR="001A658F" w:rsidRPr="001A658F" w14:paraId="18043C87" w14:textId="77777777" w:rsidTr="0090529D">
        <w:tc>
          <w:tcPr>
            <w:tcW w:w="5131" w:type="dxa"/>
          </w:tcPr>
          <w:p w14:paraId="2BFF206E" w14:textId="77777777" w:rsidR="001A658F" w:rsidRPr="001A658F" w:rsidRDefault="001A658F" w:rsidP="001A658F">
            <w:pPr>
              <w:ind w:firstLine="708"/>
              <w:jc w:val="both"/>
              <w:rPr>
                <w:rFonts w:ascii="Times New Roman" w:eastAsia="MS Mincho" w:hAnsi="Times New Roman"/>
                <w:noProof/>
                <w:snapToGrid w:val="0"/>
                <w:sz w:val="24"/>
                <w:szCs w:val="24"/>
                <w:lang w:eastAsia="x-none"/>
              </w:rPr>
            </w:pPr>
            <w:r w:rsidRPr="001A658F">
              <w:rPr>
                <w:rFonts w:ascii="Times New Roman" w:eastAsia="MS Mincho" w:hAnsi="Times New Roman"/>
                <w:noProof/>
                <w:snapToGrid w:val="0"/>
                <w:sz w:val="24"/>
                <w:szCs w:val="24"/>
                <w:lang w:eastAsia="x-none"/>
              </w:rPr>
              <w:t>Дополнительный капитал</w:t>
            </w:r>
          </w:p>
        </w:tc>
        <w:tc>
          <w:tcPr>
            <w:tcW w:w="2004" w:type="dxa"/>
          </w:tcPr>
          <w:p w14:paraId="758BD487" w14:textId="77777777" w:rsidR="001A658F" w:rsidRPr="001A658F" w:rsidRDefault="001A658F" w:rsidP="001A658F">
            <w:pPr>
              <w:ind w:firstLine="708"/>
              <w:jc w:val="both"/>
              <w:rPr>
                <w:rFonts w:ascii="Times New Roman" w:eastAsia="MS Mincho" w:hAnsi="Times New Roman"/>
                <w:noProof/>
                <w:snapToGrid w:val="0"/>
                <w:sz w:val="24"/>
                <w:szCs w:val="24"/>
                <w:highlight w:val="yellow"/>
                <w:lang w:eastAsia="x-none"/>
              </w:rPr>
            </w:pPr>
            <w:r w:rsidRPr="001A658F">
              <w:rPr>
                <w:rFonts w:ascii="Times New Roman" w:eastAsia="MS Mincho" w:hAnsi="Times New Roman"/>
                <w:noProof/>
                <w:snapToGrid w:val="0"/>
                <w:sz w:val="24"/>
                <w:szCs w:val="24"/>
                <w:lang w:eastAsia="x-none"/>
              </w:rPr>
              <w:t>17 450 201</w:t>
            </w:r>
          </w:p>
        </w:tc>
        <w:tc>
          <w:tcPr>
            <w:tcW w:w="2102" w:type="dxa"/>
          </w:tcPr>
          <w:p w14:paraId="10654492" w14:textId="77777777" w:rsidR="001A658F" w:rsidRPr="001A658F" w:rsidRDefault="001A658F" w:rsidP="001A658F">
            <w:pPr>
              <w:ind w:firstLine="708"/>
              <w:jc w:val="both"/>
              <w:rPr>
                <w:rFonts w:ascii="Times New Roman" w:eastAsia="MS Mincho" w:hAnsi="Times New Roman"/>
                <w:noProof/>
                <w:snapToGrid w:val="0"/>
                <w:sz w:val="24"/>
                <w:szCs w:val="24"/>
                <w:lang w:eastAsia="x-none"/>
              </w:rPr>
            </w:pPr>
            <w:r w:rsidRPr="001A658F">
              <w:rPr>
                <w:rFonts w:ascii="Times New Roman" w:eastAsia="MS Mincho" w:hAnsi="Times New Roman"/>
                <w:noProof/>
                <w:snapToGrid w:val="0"/>
                <w:sz w:val="24"/>
                <w:szCs w:val="24"/>
                <w:lang w:eastAsia="x-none"/>
              </w:rPr>
              <w:t>21 153 475</w:t>
            </w:r>
          </w:p>
        </w:tc>
      </w:tr>
    </w:tbl>
    <w:p w14:paraId="7592D650" w14:textId="77777777" w:rsidR="001A658F" w:rsidRPr="001A658F" w:rsidRDefault="001A658F" w:rsidP="001A658F">
      <w:pPr>
        <w:ind w:firstLine="476"/>
        <w:jc w:val="both"/>
        <w:rPr>
          <w:rFonts w:ascii="Times New Roman" w:eastAsia="Calibri" w:hAnsi="Times New Roman"/>
          <w:sz w:val="24"/>
          <w:szCs w:val="24"/>
        </w:rPr>
      </w:pPr>
      <w:bookmarkStart w:id="37" w:name="_Toc321828812"/>
      <w:bookmarkStart w:id="38" w:name="_Toc321829105"/>
      <w:bookmarkStart w:id="39" w:name="_Toc321829397"/>
      <w:bookmarkStart w:id="40" w:name="_Toc321829689"/>
      <w:bookmarkStart w:id="41" w:name="_Toc321829919"/>
      <w:bookmarkStart w:id="42" w:name="_Toc321837644"/>
      <w:bookmarkStart w:id="43" w:name="_Toc321845107"/>
      <w:bookmarkStart w:id="44" w:name="_Toc321912527"/>
      <w:bookmarkStart w:id="45" w:name="_Toc321828813"/>
      <w:bookmarkStart w:id="46" w:name="_Toc321829106"/>
      <w:bookmarkStart w:id="47" w:name="_Toc321829398"/>
      <w:bookmarkStart w:id="48" w:name="_Toc321829690"/>
      <w:bookmarkStart w:id="49" w:name="_Toc321829920"/>
      <w:bookmarkStart w:id="50" w:name="_Toc321837645"/>
      <w:bookmarkStart w:id="51" w:name="_Toc321845108"/>
      <w:bookmarkStart w:id="52" w:name="_Toc32191252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D34C203" w14:textId="77777777" w:rsidR="001A658F" w:rsidRPr="001A658F" w:rsidRDefault="001A658F" w:rsidP="001A658F">
      <w:pPr>
        <w:ind w:firstLine="476"/>
        <w:jc w:val="both"/>
        <w:rPr>
          <w:rFonts w:ascii="Times New Roman" w:eastAsia="Calibri" w:hAnsi="Times New Roman"/>
          <w:sz w:val="24"/>
          <w:szCs w:val="24"/>
        </w:rPr>
      </w:pPr>
      <w:r w:rsidRPr="001A658F">
        <w:rPr>
          <w:rFonts w:ascii="Times New Roman" w:eastAsia="Calibri" w:hAnsi="Times New Roman"/>
          <w:sz w:val="24"/>
          <w:szCs w:val="24"/>
        </w:rPr>
        <w:t>В отчетном периоде НКЦ в полном объеме выполнял все предусмотренные требования к достаточности капитала.</w:t>
      </w:r>
    </w:p>
    <w:p w14:paraId="0C03A5D0" w14:textId="77777777" w:rsidR="001A658F" w:rsidRPr="001A658F" w:rsidRDefault="001A658F" w:rsidP="001A658F">
      <w:pPr>
        <w:ind w:firstLine="476"/>
        <w:jc w:val="both"/>
        <w:rPr>
          <w:rFonts w:ascii="Times New Roman" w:eastAsia="Calibri" w:hAnsi="Times New Roman"/>
        </w:rPr>
      </w:pPr>
    </w:p>
    <w:tbl>
      <w:tblPr>
        <w:tblW w:w="978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1133"/>
        <w:gridCol w:w="1133"/>
        <w:gridCol w:w="1133"/>
        <w:gridCol w:w="1134"/>
        <w:gridCol w:w="1133"/>
        <w:gridCol w:w="1133"/>
        <w:gridCol w:w="1134"/>
      </w:tblGrid>
      <w:tr w:rsidR="001A658F" w:rsidRPr="001A658F" w14:paraId="6FF0F908" w14:textId="77777777" w:rsidTr="0090529D">
        <w:trPr>
          <w:trHeight w:val="242"/>
        </w:trPr>
        <w:tc>
          <w:tcPr>
            <w:tcW w:w="1849" w:type="dxa"/>
            <w:shd w:val="clear" w:color="auto" w:fill="auto"/>
            <w:vAlign w:val="center"/>
            <w:hideMark/>
          </w:tcPr>
          <w:p w14:paraId="02FCE34D" w14:textId="77777777" w:rsidR="001A658F" w:rsidRPr="001A658F" w:rsidRDefault="001A658F" w:rsidP="001A658F">
            <w:pPr>
              <w:jc w:val="center"/>
              <w:rPr>
                <w:rFonts w:ascii="Times New Roman" w:eastAsia="Times New Roman" w:hAnsi="Times New Roman"/>
                <w:b/>
                <w:bCs/>
                <w:color w:val="000000"/>
                <w:sz w:val="18"/>
                <w:szCs w:val="18"/>
                <w:lang w:val="en-US"/>
              </w:rPr>
            </w:pPr>
            <w:r w:rsidRPr="001A658F">
              <w:rPr>
                <w:rFonts w:ascii="Times New Roman" w:eastAsia="Times New Roman" w:hAnsi="Times New Roman"/>
                <w:b/>
                <w:bCs/>
                <w:color w:val="000000"/>
                <w:sz w:val="18"/>
                <w:szCs w:val="18"/>
              </w:rPr>
              <w:t>Год</w:t>
            </w:r>
          </w:p>
        </w:tc>
        <w:tc>
          <w:tcPr>
            <w:tcW w:w="1133" w:type="dxa"/>
            <w:shd w:val="clear" w:color="000000" w:fill="FFFFFF"/>
            <w:noWrap/>
            <w:vAlign w:val="center"/>
            <w:hideMark/>
          </w:tcPr>
          <w:p w14:paraId="3AA8A012" w14:textId="77777777" w:rsidR="001A658F" w:rsidRPr="001A658F" w:rsidRDefault="001A658F" w:rsidP="001A658F">
            <w:pPr>
              <w:jc w:val="center"/>
              <w:rPr>
                <w:rFonts w:ascii="Times New Roman" w:eastAsia="Times New Roman" w:hAnsi="Times New Roman"/>
                <w:b/>
                <w:bCs/>
                <w:color w:val="000000"/>
                <w:sz w:val="18"/>
                <w:szCs w:val="18"/>
                <w:lang w:val="en-US"/>
              </w:rPr>
            </w:pPr>
            <w:r w:rsidRPr="001A658F">
              <w:rPr>
                <w:rFonts w:ascii="Times New Roman" w:eastAsia="Times New Roman" w:hAnsi="Times New Roman"/>
                <w:b/>
                <w:bCs/>
                <w:color w:val="000000"/>
                <w:sz w:val="18"/>
                <w:szCs w:val="18"/>
                <w:lang w:val="en-US"/>
              </w:rPr>
              <w:t>2011</w:t>
            </w:r>
          </w:p>
        </w:tc>
        <w:tc>
          <w:tcPr>
            <w:tcW w:w="1133" w:type="dxa"/>
            <w:shd w:val="clear" w:color="000000" w:fill="FFFFFF"/>
            <w:noWrap/>
            <w:vAlign w:val="center"/>
            <w:hideMark/>
          </w:tcPr>
          <w:p w14:paraId="721194A0" w14:textId="77777777" w:rsidR="001A658F" w:rsidRPr="001A658F" w:rsidRDefault="001A658F" w:rsidP="001A658F">
            <w:pPr>
              <w:jc w:val="center"/>
              <w:rPr>
                <w:rFonts w:ascii="Times New Roman" w:eastAsia="Times New Roman" w:hAnsi="Times New Roman"/>
                <w:b/>
                <w:bCs/>
                <w:color w:val="000000"/>
                <w:sz w:val="18"/>
                <w:szCs w:val="18"/>
                <w:lang w:val="en-US"/>
              </w:rPr>
            </w:pPr>
            <w:r w:rsidRPr="001A658F">
              <w:rPr>
                <w:rFonts w:ascii="Times New Roman" w:eastAsia="Times New Roman" w:hAnsi="Times New Roman"/>
                <w:b/>
                <w:bCs/>
                <w:color w:val="000000"/>
                <w:sz w:val="18"/>
                <w:szCs w:val="18"/>
                <w:lang w:val="en-US"/>
              </w:rPr>
              <w:t>2012</w:t>
            </w:r>
          </w:p>
        </w:tc>
        <w:tc>
          <w:tcPr>
            <w:tcW w:w="1133" w:type="dxa"/>
            <w:shd w:val="clear" w:color="000000" w:fill="FFFFFF"/>
            <w:vAlign w:val="center"/>
            <w:hideMark/>
          </w:tcPr>
          <w:p w14:paraId="277FB6E9" w14:textId="77777777" w:rsidR="001A658F" w:rsidRPr="001A658F" w:rsidRDefault="001A658F" w:rsidP="001A658F">
            <w:pPr>
              <w:jc w:val="center"/>
              <w:rPr>
                <w:rFonts w:ascii="Times New Roman" w:eastAsia="Times New Roman" w:hAnsi="Times New Roman"/>
                <w:b/>
                <w:bCs/>
                <w:color w:val="000000"/>
                <w:sz w:val="18"/>
                <w:szCs w:val="18"/>
                <w:lang w:val="en-US"/>
              </w:rPr>
            </w:pPr>
            <w:r w:rsidRPr="001A658F">
              <w:rPr>
                <w:rFonts w:ascii="Times New Roman" w:eastAsia="Times New Roman" w:hAnsi="Times New Roman"/>
                <w:b/>
                <w:bCs/>
                <w:color w:val="000000"/>
                <w:sz w:val="18"/>
                <w:szCs w:val="18"/>
                <w:lang w:val="en-US"/>
              </w:rPr>
              <w:t>2013</w:t>
            </w:r>
          </w:p>
        </w:tc>
        <w:tc>
          <w:tcPr>
            <w:tcW w:w="1134" w:type="dxa"/>
            <w:shd w:val="clear" w:color="000000" w:fill="FFFFFF"/>
            <w:vAlign w:val="center"/>
            <w:hideMark/>
          </w:tcPr>
          <w:p w14:paraId="6998DAFD" w14:textId="77777777" w:rsidR="001A658F" w:rsidRPr="001A658F" w:rsidRDefault="001A658F" w:rsidP="001A658F">
            <w:pPr>
              <w:jc w:val="center"/>
              <w:rPr>
                <w:rFonts w:ascii="Times New Roman" w:eastAsia="Times New Roman" w:hAnsi="Times New Roman"/>
                <w:b/>
                <w:bCs/>
                <w:color w:val="000000"/>
                <w:sz w:val="18"/>
                <w:szCs w:val="18"/>
                <w:lang w:val="en-US"/>
              </w:rPr>
            </w:pPr>
            <w:r w:rsidRPr="001A658F">
              <w:rPr>
                <w:rFonts w:ascii="Times New Roman" w:eastAsia="Times New Roman" w:hAnsi="Times New Roman"/>
                <w:b/>
                <w:bCs/>
                <w:color w:val="000000"/>
                <w:sz w:val="18"/>
                <w:szCs w:val="18"/>
                <w:lang w:val="en-US"/>
              </w:rPr>
              <w:t>2014</w:t>
            </w:r>
          </w:p>
        </w:tc>
        <w:tc>
          <w:tcPr>
            <w:tcW w:w="1133" w:type="dxa"/>
            <w:shd w:val="clear" w:color="000000" w:fill="FFFFFF"/>
            <w:vAlign w:val="center"/>
          </w:tcPr>
          <w:p w14:paraId="28160DA7" w14:textId="77777777" w:rsidR="001A658F" w:rsidRPr="001A658F" w:rsidRDefault="001A658F" w:rsidP="001A658F">
            <w:pPr>
              <w:jc w:val="center"/>
              <w:rPr>
                <w:rFonts w:ascii="Times New Roman" w:eastAsia="Times New Roman" w:hAnsi="Times New Roman"/>
                <w:b/>
                <w:bCs/>
                <w:color w:val="000000"/>
                <w:sz w:val="18"/>
                <w:szCs w:val="18"/>
                <w:lang w:val="en-US"/>
              </w:rPr>
            </w:pPr>
            <w:r w:rsidRPr="001A658F">
              <w:rPr>
                <w:rFonts w:ascii="Times New Roman" w:eastAsia="Times New Roman" w:hAnsi="Times New Roman"/>
                <w:b/>
                <w:bCs/>
                <w:color w:val="000000"/>
                <w:sz w:val="18"/>
                <w:szCs w:val="18"/>
                <w:lang w:val="en-US"/>
              </w:rPr>
              <w:t>2015</w:t>
            </w:r>
          </w:p>
        </w:tc>
        <w:tc>
          <w:tcPr>
            <w:tcW w:w="1133" w:type="dxa"/>
            <w:shd w:val="clear" w:color="000000" w:fill="FFFFFF"/>
            <w:noWrap/>
            <w:vAlign w:val="center"/>
          </w:tcPr>
          <w:p w14:paraId="71168F2A" w14:textId="77777777" w:rsidR="001A658F" w:rsidRPr="001A658F" w:rsidRDefault="001A658F" w:rsidP="001A658F">
            <w:pPr>
              <w:jc w:val="center"/>
              <w:rPr>
                <w:rFonts w:ascii="Times New Roman" w:eastAsia="Times New Roman" w:hAnsi="Times New Roman"/>
                <w:b/>
                <w:bCs/>
                <w:color w:val="000000"/>
                <w:sz w:val="18"/>
                <w:szCs w:val="18"/>
                <w:lang w:val="en-US"/>
              </w:rPr>
            </w:pPr>
            <w:r w:rsidRPr="001A658F">
              <w:rPr>
                <w:rFonts w:ascii="Times New Roman" w:eastAsia="Times New Roman" w:hAnsi="Times New Roman"/>
                <w:b/>
                <w:bCs/>
                <w:color w:val="000000"/>
                <w:sz w:val="18"/>
                <w:szCs w:val="18"/>
              </w:rPr>
              <w:t>2016</w:t>
            </w:r>
          </w:p>
        </w:tc>
        <w:tc>
          <w:tcPr>
            <w:tcW w:w="1134" w:type="dxa"/>
            <w:shd w:val="clear" w:color="000000" w:fill="FFFFFF"/>
            <w:noWrap/>
            <w:vAlign w:val="center"/>
          </w:tcPr>
          <w:p w14:paraId="097F33C0" w14:textId="77777777" w:rsidR="001A658F" w:rsidRPr="001A658F" w:rsidRDefault="001A658F" w:rsidP="001A658F">
            <w:pPr>
              <w:jc w:val="center"/>
              <w:rPr>
                <w:rFonts w:ascii="Times New Roman" w:eastAsia="Times New Roman" w:hAnsi="Times New Roman"/>
                <w:b/>
                <w:bCs/>
                <w:color w:val="000000"/>
                <w:sz w:val="18"/>
                <w:szCs w:val="18"/>
                <w:lang w:val="en-US"/>
              </w:rPr>
            </w:pPr>
            <w:r w:rsidRPr="001A658F">
              <w:rPr>
                <w:rFonts w:ascii="Times New Roman" w:eastAsia="Times New Roman" w:hAnsi="Times New Roman"/>
                <w:b/>
                <w:bCs/>
                <w:color w:val="000000"/>
                <w:sz w:val="18"/>
                <w:szCs w:val="18"/>
              </w:rPr>
              <w:t>2017</w:t>
            </w:r>
          </w:p>
        </w:tc>
      </w:tr>
      <w:tr w:rsidR="001A658F" w:rsidRPr="001A658F" w14:paraId="348BB4C7" w14:textId="77777777" w:rsidTr="0090529D">
        <w:trPr>
          <w:trHeight w:val="651"/>
        </w:trPr>
        <w:tc>
          <w:tcPr>
            <w:tcW w:w="1849" w:type="dxa"/>
            <w:shd w:val="clear" w:color="auto" w:fill="auto"/>
            <w:vAlign w:val="center"/>
            <w:hideMark/>
          </w:tcPr>
          <w:p w14:paraId="0A8E8F29" w14:textId="77777777" w:rsidR="001A658F" w:rsidRPr="001A658F" w:rsidRDefault="001A658F" w:rsidP="001A658F">
            <w:pPr>
              <w:rPr>
                <w:rFonts w:ascii="Times New Roman" w:eastAsia="Times New Roman" w:hAnsi="Times New Roman"/>
                <w:b/>
                <w:bCs/>
                <w:color w:val="000000"/>
                <w:sz w:val="18"/>
                <w:szCs w:val="18"/>
                <w:lang w:val="en-US"/>
              </w:rPr>
            </w:pPr>
            <w:r w:rsidRPr="001A658F">
              <w:rPr>
                <w:rFonts w:ascii="Times New Roman" w:eastAsia="Times New Roman" w:hAnsi="Times New Roman"/>
                <w:b/>
                <w:bCs/>
                <w:color w:val="000000"/>
                <w:sz w:val="18"/>
                <w:szCs w:val="18"/>
              </w:rPr>
              <w:t>Собственные средства</w:t>
            </w:r>
            <w:r w:rsidRPr="001A658F">
              <w:rPr>
                <w:rFonts w:ascii="Times New Roman" w:eastAsia="Times New Roman" w:hAnsi="Times New Roman"/>
                <w:b/>
                <w:bCs/>
                <w:color w:val="000000"/>
                <w:sz w:val="18"/>
                <w:szCs w:val="18"/>
                <w:lang w:val="en-US"/>
              </w:rPr>
              <w:t xml:space="preserve"> </w:t>
            </w:r>
            <w:r w:rsidRPr="001A658F">
              <w:rPr>
                <w:rFonts w:ascii="Times New Roman" w:eastAsia="Times New Roman" w:hAnsi="Times New Roman"/>
                <w:b/>
                <w:bCs/>
                <w:color w:val="000000"/>
                <w:sz w:val="18"/>
                <w:szCs w:val="18"/>
              </w:rPr>
              <w:t>(капитал</w:t>
            </w:r>
            <w:r w:rsidRPr="001A658F">
              <w:rPr>
                <w:rFonts w:ascii="Times New Roman" w:eastAsia="Times New Roman" w:hAnsi="Times New Roman"/>
                <w:b/>
                <w:bCs/>
                <w:color w:val="000000"/>
                <w:sz w:val="18"/>
                <w:szCs w:val="18"/>
                <w:lang w:val="en-US"/>
              </w:rPr>
              <w:t>)</w:t>
            </w:r>
          </w:p>
        </w:tc>
        <w:tc>
          <w:tcPr>
            <w:tcW w:w="1133" w:type="dxa"/>
            <w:shd w:val="clear" w:color="000000" w:fill="FFFFFF"/>
            <w:noWrap/>
            <w:vAlign w:val="center"/>
            <w:hideMark/>
          </w:tcPr>
          <w:p w14:paraId="1A16D710"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color w:val="000000"/>
                <w:sz w:val="18"/>
                <w:szCs w:val="18"/>
                <w:lang w:val="en-US"/>
              </w:rPr>
              <w:t>9 999 913</w:t>
            </w:r>
          </w:p>
        </w:tc>
        <w:tc>
          <w:tcPr>
            <w:tcW w:w="1133" w:type="dxa"/>
            <w:shd w:val="clear" w:color="000000" w:fill="FFFFFF"/>
            <w:noWrap/>
            <w:vAlign w:val="center"/>
            <w:hideMark/>
          </w:tcPr>
          <w:p w14:paraId="79453901"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color w:val="000000"/>
                <w:sz w:val="18"/>
                <w:szCs w:val="18"/>
                <w:lang w:val="en-US"/>
              </w:rPr>
              <w:t>13 501 400</w:t>
            </w:r>
          </w:p>
        </w:tc>
        <w:tc>
          <w:tcPr>
            <w:tcW w:w="1133" w:type="dxa"/>
            <w:shd w:val="clear" w:color="000000" w:fill="FFFFFF"/>
            <w:noWrap/>
            <w:vAlign w:val="center"/>
            <w:hideMark/>
          </w:tcPr>
          <w:p w14:paraId="6FA8E468"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color w:val="000000"/>
                <w:sz w:val="18"/>
                <w:szCs w:val="18"/>
                <w:lang w:val="en-US"/>
              </w:rPr>
              <w:t>28 839 271</w:t>
            </w:r>
          </w:p>
        </w:tc>
        <w:tc>
          <w:tcPr>
            <w:tcW w:w="1134" w:type="dxa"/>
            <w:shd w:val="clear" w:color="000000" w:fill="FFFFFF"/>
            <w:noWrap/>
            <w:vAlign w:val="center"/>
            <w:hideMark/>
          </w:tcPr>
          <w:p w14:paraId="3D4F4C2A"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color w:val="000000"/>
                <w:sz w:val="18"/>
                <w:szCs w:val="18"/>
                <w:lang w:val="en-US"/>
              </w:rPr>
              <w:t>38 542 136</w:t>
            </w:r>
          </w:p>
        </w:tc>
        <w:tc>
          <w:tcPr>
            <w:tcW w:w="1133" w:type="dxa"/>
            <w:shd w:val="clear" w:color="000000" w:fill="FFFFFF"/>
            <w:noWrap/>
            <w:vAlign w:val="center"/>
          </w:tcPr>
          <w:p w14:paraId="2629ADC4"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color w:val="000000"/>
                <w:sz w:val="18"/>
                <w:szCs w:val="18"/>
                <w:lang w:val="en-US"/>
              </w:rPr>
              <w:t>54 130 884</w:t>
            </w:r>
          </w:p>
        </w:tc>
        <w:tc>
          <w:tcPr>
            <w:tcW w:w="1133" w:type="dxa"/>
            <w:shd w:val="clear" w:color="000000" w:fill="FFFFFF"/>
            <w:noWrap/>
            <w:vAlign w:val="center"/>
          </w:tcPr>
          <w:p w14:paraId="27FC0F1F"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color w:val="000000"/>
                <w:sz w:val="18"/>
                <w:szCs w:val="18"/>
                <w:lang w:val="en-US"/>
              </w:rPr>
              <w:t>46 515 470</w:t>
            </w:r>
          </w:p>
        </w:tc>
        <w:tc>
          <w:tcPr>
            <w:tcW w:w="1134" w:type="dxa"/>
            <w:shd w:val="clear" w:color="000000" w:fill="FFFFFF"/>
            <w:noWrap/>
            <w:vAlign w:val="center"/>
          </w:tcPr>
          <w:p w14:paraId="0BDCE6B7" w14:textId="77777777" w:rsidR="001A658F" w:rsidRPr="001A658F" w:rsidRDefault="001A658F" w:rsidP="001A658F">
            <w:pPr>
              <w:jc w:val="center"/>
              <w:rPr>
                <w:rFonts w:ascii="Times New Roman" w:eastAsia="Times New Roman" w:hAnsi="Times New Roman"/>
                <w:bCs/>
                <w:color w:val="000000"/>
                <w:sz w:val="18"/>
                <w:szCs w:val="18"/>
                <w:highlight w:val="yellow"/>
              </w:rPr>
            </w:pPr>
            <w:r w:rsidRPr="001A658F">
              <w:rPr>
                <w:rFonts w:ascii="Times New Roman" w:eastAsia="Times New Roman" w:hAnsi="Times New Roman"/>
                <w:bCs/>
                <w:color w:val="000000"/>
                <w:sz w:val="18"/>
                <w:szCs w:val="18"/>
              </w:rPr>
              <w:t>45 959 393</w:t>
            </w:r>
          </w:p>
        </w:tc>
      </w:tr>
      <w:tr w:rsidR="001A658F" w:rsidRPr="001A658F" w14:paraId="4B6AAF79" w14:textId="77777777" w:rsidTr="0090529D">
        <w:trPr>
          <w:trHeight w:val="242"/>
        </w:trPr>
        <w:tc>
          <w:tcPr>
            <w:tcW w:w="1849" w:type="dxa"/>
            <w:shd w:val="clear" w:color="auto" w:fill="auto"/>
            <w:vAlign w:val="center"/>
            <w:hideMark/>
          </w:tcPr>
          <w:p w14:paraId="6EA2F5E8" w14:textId="77777777" w:rsidR="001A658F" w:rsidRPr="001A658F" w:rsidRDefault="001A658F" w:rsidP="001A658F">
            <w:pPr>
              <w:rPr>
                <w:rFonts w:ascii="Times New Roman" w:eastAsia="Times New Roman" w:hAnsi="Times New Roman"/>
                <w:b/>
                <w:bCs/>
                <w:color w:val="000000"/>
                <w:sz w:val="18"/>
                <w:szCs w:val="18"/>
                <w:lang w:val="en-US"/>
              </w:rPr>
            </w:pPr>
            <w:r w:rsidRPr="001A658F">
              <w:rPr>
                <w:rFonts w:ascii="Times New Roman" w:eastAsia="Times New Roman" w:hAnsi="Times New Roman"/>
                <w:b/>
                <w:bCs/>
                <w:color w:val="000000"/>
                <w:sz w:val="18"/>
                <w:szCs w:val="18"/>
              </w:rPr>
              <w:t xml:space="preserve">Нераспределенная прибыль </w:t>
            </w:r>
          </w:p>
        </w:tc>
        <w:tc>
          <w:tcPr>
            <w:tcW w:w="1133" w:type="dxa"/>
            <w:shd w:val="clear" w:color="000000" w:fill="FFFFFF"/>
            <w:noWrap/>
            <w:vAlign w:val="center"/>
            <w:hideMark/>
          </w:tcPr>
          <w:p w14:paraId="7CC0A749"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color w:val="000000"/>
                <w:sz w:val="18"/>
                <w:szCs w:val="18"/>
                <w:lang w:val="en-US"/>
              </w:rPr>
              <w:t>3 615 799</w:t>
            </w:r>
          </w:p>
        </w:tc>
        <w:tc>
          <w:tcPr>
            <w:tcW w:w="1133" w:type="dxa"/>
            <w:shd w:val="clear" w:color="000000" w:fill="FFFFFF"/>
            <w:noWrap/>
            <w:vAlign w:val="center"/>
            <w:hideMark/>
          </w:tcPr>
          <w:p w14:paraId="05DE8BD7"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color w:val="000000"/>
                <w:sz w:val="18"/>
                <w:szCs w:val="18"/>
                <w:lang w:val="en-US"/>
              </w:rPr>
              <w:t>7 034 380</w:t>
            </w:r>
          </w:p>
        </w:tc>
        <w:tc>
          <w:tcPr>
            <w:tcW w:w="1133" w:type="dxa"/>
            <w:shd w:val="clear" w:color="000000" w:fill="FFFFFF"/>
            <w:noWrap/>
            <w:vAlign w:val="center"/>
            <w:hideMark/>
          </w:tcPr>
          <w:p w14:paraId="45A7755F"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color w:val="000000"/>
                <w:sz w:val="18"/>
                <w:szCs w:val="18"/>
                <w:lang w:val="en-US"/>
              </w:rPr>
              <w:t>13 350 109</w:t>
            </w:r>
          </w:p>
        </w:tc>
        <w:tc>
          <w:tcPr>
            <w:tcW w:w="1134" w:type="dxa"/>
            <w:shd w:val="clear" w:color="000000" w:fill="FFFFFF"/>
            <w:noWrap/>
            <w:vAlign w:val="center"/>
            <w:hideMark/>
          </w:tcPr>
          <w:p w14:paraId="444E952E"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color w:val="000000"/>
                <w:sz w:val="18"/>
                <w:szCs w:val="18"/>
                <w:lang w:val="en-US"/>
              </w:rPr>
              <w:t>20 914 899</w:t>
            </w:r>
          </w:p>
        </w:tc>
        <w:tc>
          <w:tcPr>
            <w:tcW w:w="1133" w:type="dxa"/>
            <w:shd w:val="clear" w:color="000000" w:fill="FFFFFF"/>
            <w:noWrap/>
            <w:vAlign w:val="center"/>
          </w:tcPr>
          <w:p w14:paraId="15BDCD1F"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sz w:val="18"/>
                <w:szCs w:val="18"/>
                <w:lang w:val="en-US"/>
              </w:rPr>
              <w:t>43 766 172</w:t>
            </w:r>
          </w:p>
        </w:tc>
        <w:tc>
          <w:tcPr>
            <w:tcW w:w="1133" w:type="dxa"/>
            <w:shd w:val="clear" w:color="000000" w:fill="FFFFFF"/>
            <w:noWrap/>
            <w:vAlign w:val="center"/>
          </w:tcPr>
          <w:p w14:paraId="2D72D5B6"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sz w:val="18"/>
                <w:szCs w:val="18"/>
                <w:lang w:val="en-US"/>
              </w:rPr>
              <w:t>39 367 617</w:t>
            </w:r>
          </w:p>
        </w:tc>
        <w:tc>
          <w:tcPr>
            <w:tcW w:w="1134" w:type="dxa"/>
            <w:shd w:val="clear" w:color="000000" w:fill="FFFFFF"/>
            <w:noWrap/>
            <w:vAlign w:val="center"/>
          </w:tcPr>
          <w:p w14:paraId="297D6A7B" w14:textId="77777777" w:rsidR="001A658F" w:rsidRPr="001A658F" w:rsidRDefault="001A658F" w:rsidP="001A658F">
            <w:pPr>
              <w:jc w:val="center"/>
              <w:rPr>
                <w:rFonts w:ascii="Times New Roman" w:eastAsia="Times New Roman" w:hAnsi="Times New Roman"/>
                <w:bCs/>
                <w:color w:val="000000"/>
                <w:sz w:val="18"/>
                <w:szCs w:val="18"/>
                <w:highlight w:val="yellow"/>
              </w:rPr>
            </w:pPr>
            <w:r w:rsidRPr="001A658F">
              <w:rPr>
                <w:rFonts w:ascii="Times New Roman" w:eastAsia="Times New Roman" w:hAnsi="Times New Roman"/>
                <w:bCs/>
                <w:color w:val="000000"/>
                <w:sz w:val="18"/>
                <w:szCs w:val="18"/>
                <w:lang w:val="en-US"/>
              </w:rPr>
              <w:t>38</w:t>
            </w:r>
            <w:r w:rsidRPr="001A658F">
              <w:rPr>
                <w:rFonts w:ascii="Times New Roman" w:eastAsia="Times New Roman" w:hAnsi="Times New Roman"/>
                <w:bCs/>
                <w:color w:val="000000"/>
                <w:sz w:val="18"/>
                <w:szCs w:val="18"/>
              </w:rPr>
              <w:t> </w:t>
            </w:r>
            <w:r w:rsidRPr="001A658F">
              <w:rPr>
                <w:rFonts w:ascii="Times New Roman" w:eastAsia="Times New Roman" w:hAnsi="Times New Roman"/>
                <w:bCs/>
                <w:color w:val="000000"/>
                <w:sz w:val="18"/>
                <w:szCs w:val="18"/>
                <w:lang w:val="en-US"/>
              </w:rPr>
              <w:t>883</w:t>
            </w:r>
            <w:r w:rsidRPr="001A658F">
              <w:rPr>
                <w:rFonts w:ascii="Times New Roman" w:eastAsia="Times New Roman" w:hAnsi="Times New Roman"/>
                <w:bCs/>
                <w:color w:val="000000"/>
                <w:sz w:val="18"/>
                <w:szCs w:val="18"/>
              </w:rPr>
              <w:t> </w:t>
            </w:r>
            <w:r w:rsidRPr="001A658F">
              <w:rPr>
                <w:rFonts w:ascii="Times New Roman" w:eastAsia="Times New Roman" w:hAnsi="Times New Roman"/>
                <w:bCs/>
                <w:color w:val="000000"/>
                <w:sz w:val="18"/>
                <w:szCs w:val="18"/>
                <w:lang w:val="en-US"/>
              </w:rPr>
              <w:t>965</w:t>
            </w:r>
          </w:p>
        </w:tc>
      </w:tr>
      <w:tr w:rsidR="001A658F" w:rsidRPr="001A658F" w14:paraId="4A1DC0AF" w14:textId="77777777" w:rsidTr="0090529D">
        <w:trPr>
          <w:trHeight w:val="439"/>
        </w:trPr>
        <w:tc>
          <w:tcPr>
            <w:tcW w:w="1849" w:type="dxa"/>
            <w:shd w:val="clear" w:color="auto" w:fill="auto"/>
            <w:vAlign w:val="center"/>
            <w:hideMark/>
          </w:tcPr>
          <w:p w14:paraId="56DA9709" w14:textId="77777777" w:rsidR="001A658F" w:rsidRPr="001A658F" w:rsidRDefault="001A658F" w:rsidP="001A658F">
            <w:pPr>
              <w:rPr>
                <w:rFonts w:ascii="Times New Roman" w:eastAsia="Times New Roman" w:hAnsi="Times New Roman"/>
                <w:b/>
                <w:bCs/>
                <w:color w:val="000000"/>
                <w:sz w:val="18"/>
                <w:szCs w:val="18"/>
                <w:lang w:val="en-US"/>
              </w:rPr>
            </w:pPr>
            <w:r w:rsidRPr="001A658F">
              <w:rPr>
                <w:rFonts w:ascii="Times New Roman" w:eastAsia="Times New Roman" w:hAnsi="Times New Roman"/>
                <w:b/>
                <w:bCs/>
                <w:color w:val="000000"/>
                <w:sz w:val="18"/>
                <w:szCs w:val="18"/>
              </w:rPr>
              <w:t>Уставный капитал</w:t>
            </w:r>
          </w:p>
        </w:tc>
        <w:tc>
          <w:tcPr>
            <w:tcW w:w="1133" w:type="dxa"/>
            <w:shd w:val="clear" w:color="000000" w:fill="FFFFFF"/>
            <w:noWrap/>
            <w:vAlign w:val="center"/>
            <w:hideMark/>
          </w:tcPr>
          <w:p w14:paraId="1AE12B8F"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color w:val="000000"/>
                <w:sz w:val="18"/>
                <w:szCs w:val="18"/>
                <w:lang w:val="en-US"/>
              </w:rPr>
              <w:t>6 170 000</w:t>
            </w:r>
          </w:p>
        </w:tc>
        <w:tc>
          <w:tcPr>
            <w:tcW w:w="1133" w:type="dxa"/>
            <w:shd w:val="clear" w:color="000000" w:fill="FFFFFF"/>
            <w:noWrap/>
            <w:vAlign w:val="center"/>
            <w:hideMark/>
          </w:tcPr>
          <w:p w14:paraId="4B50C705"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color w:val="000000"/>
                <w:sz w:val="18"/>
                <w:szCs w:val="18"/>
                <w:lang w:val="en-US"/>
              </w:rPr>
              <w:t>6 170 000</w:t>
            </w:r>
          </w:p>
        </w:tc>
        <w:tc>
          <w:tcPr>
            <w:tcW w:w="1133" w:type="dxa"/>
            <w:shd w:val="clear" w:color="000000" w:fill="FFFFFF"/>
            <w:noWrap/>
            <w:vAlign w:val="center"/>
            <w:hideMark/>
          </w:tcPr>
          <w:p w14:paraId="74EFDBE3"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color w:val="000000"/>
                <w:sz w:val="18"/>
                <w:szCs w:val="18"/>
                <w:lang w:val="en-US"/>
              </w:rPr>
              <w:t>15 170 000</w:t>
            </w:r>
          </w:p>
        </w:tc>
        <w:tc>
          <w:tcPr>
            <w:tcW w:w="1134" w:type="dxa"/>
            <w:shd w:val="clear" w:color="000000" w:fill="FFFFFF"/>
            <w:noWrap/>
            <w:vAlign w:val="center"/>
            <w:hideMark/>
          </w:tcPr>
          <w:p w14:paraId="30D381D6"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color w:val="000000"/>
                <w:sz w:val="18"/>
                <w:szCs w:val="18"/>
                <w:lang w:val="en-US"/>
              </w:rPr>
              <w:t>16 670 000</w:t>
            </w:r>
          </w:p>
        </w:tc>
        <w:tc>
          <w:tcPr>
            <w:tcW w:w="1133" w:type="dxa"/>
            <w:shd w:val="clear" w:color="000000" w:fill="FFFFFF"/>
            <w:noWrap/>
            <w:vAlign w:val="center"/>
          </w:tcPr>
          <w:p w14:paraId="3D28B7A6"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color w:val="000000"/>
                <w:sz w:val="18"/>
                <w:szCs w:val="18"/>
                <w:lang w:val="en-US"/>
              </w:rPr>
              <w:t>16 670 000</w:t>
            </w:r>
          </w:p>
        </w:tc>
        <w:tc>
          <w:tcPr>
            <w:tcW w:w="1133" w:type="dxa"/>
            <w:shd w:val="clear" w:color="000000" w:fill="FFFFFF"/>
            <w:noWrap/>
            <w:vAlign w:val="center"/>
          </w:tcPr>
          <w:p w14:paraId="5E1A2B07" w14:textId="77777777" w:rsidR="001A658F" w:rsidRPr="001A658F" w:rsidRDefault="001A658F" w:rsidP="001A658F">
            <w:pPr>
              <w:jc w:val="center"/>
              <w:rPr>
                <w:rFonts w:ascii="Times New Roman" w:eastAsia="Times New Roman" w:hAnsi="Times New Roman"/>
                <w:bCs/>
                <w:color w:val="000000"/>
                <w:sz w:val="18"/>
                <w:szCs w:val="18"/>
                <w:lang w:val="en-US"/>
              </w:rPr>
            </w:pPr>
            <w:r w:rsidRPr="001A658F">
              <w:rPr>
                <w:rFonts w:ascii="Times New Roman" w:eastAsia="Times New Roman" w:hAnsi="Times New Roman"/>
                <w:bCs/>
                <w:color w:val="000000"/>
                <w:sz w:val="18"/>
                <w:szCs w:val="18"/>
                <w:lang w:val="en-US"/>
              </w:rPr>
              <w:t>16 670 00</w:t>
            </w:r>
          </w:p>
        </w:tc>
        <w:tc>
          <w:tcPr>
            <w:tcW w:w="1134" w:type="dxa"/>
            <w:shd w:val="clear" w:color="000000" w:fill="FFFFFF"/>
            <w:noWrap/>
            <w:vAlign w:val="center"/>
          </w:tcPr>
          <w:p w14:paraId="2CF18F93" w14:textId="77777777" w:rsidR="001A658F" w:rsidRPr="001A658F" w:rsidRDefault="001A658F" w:rsidP="001A658F">
            <w:pPr>
              <w:jc w:val="center"/>
              <w:rPr>
                <w:rFonts w:ascii="Times New Roman" w:eastAsia="Times New Roman" w:hAnsi="Times New Roman"/>
                <w:bCs/>
                <w:color w:val="000000"/>
                <w:sz w:val="18"/>
                <w:szCs w:val="18"/>
                <w:highlight w:val="yellow"/>
                <w:lang w:val="en-US"/>
              </w:rPr>
            </w:pPr>
            <w:r w:rsidRPr="001A658F">
              <w:rPr>
                <w:rFonts w:ascii="Times New Roman" w:eastAsia="Times New Roman" w:hAnsi="Times New Roman"/>
                <w:bCs/>
                <w:color w:val="000000"/>
                <w:sz w:val="18"/>
                <w:szCs w:val="18"/>
                <w:lang w:val="en-US"/>
              </w:rPr>
              <w:t>16 670 00</w:t>
            </w:r>
          </w:p>
        </w:tc>
      </w:tr>
      <w:tr w:rsidR="001A658F" w:rsidRPr="001A658F" w14:paraId="20C64EDF" w14:textId="77777777" w:rsidTr="0090529D">
        <w:trPr>
          <w:trHeight w:val="439"/>
        </w:trPr>
        <w:tc>
          <w:tcPr>
            <w:tcW w:w="1849" w:type="dxa"/>
            <w:shd w:val="clear" w:color="auto" w:fill="auto"/>
            <w:vAlign w:val="center"/>
            <w:hideMark/>
          </w:tcPr>
          <w:p w14:paraId="7275E1F2" w14:textId="77777777" w:rsidR="001A658F" w:rsidRPr="001A658F" w:rsidRDefault="001A658F" w:rsidP="001A658F">
            <w:pPr>
              <w:rPr>
                <w:rFonts w:ascii="Times New Roman" w:eastAsia="Times New Roman" w:hAnsi="Times New Roman"/>
                <w:b/>
                <w:bCs/>
                <w:color w:val="000000"/>
                <w:sz w:val="18"/>
                <w:szCs w:val="18"/>
              </w:rPr>
            </w:pPr>
            <w:r w:rsidRPr="001A658F">
              <w:rPr>
                <w:rFonts w:ascii="Times New Roman" w:eastAsia="Times New Roman" w:hAnsi="Times New Roman"/>
                <w:b/>
                <w:bCs/>
                <w:color w:val="000000"/>
                <w:sz w:val="18"/>
                <w:szCs w:val="18"/>
              </w:rPr>
              <w:t>Резервный фонд</w:t>
            </w:r>
          </w:p>
        </w:tc>
        <w:tc>
          <w:tcPr>
            <w:tcW w:w="1133" w:type="dxa"/>
            <w:shd w:val="clear" w:color="auto" w:fill="auto"/>
            <w:noWrap/>
            <w:vAlign w:val="bottom"/>
            <w:hideMark/>
          </w:tcPr>
          <w:p w14:paraId="2F6A0217" w14:textId="77777777" w:rsidR="001A658F" w:rsidRPr="001A658F" w:rsidRDefault="001A658F" w:rsidP="001A658F">
            <w:pPr>
              <w:jc w:val="center"/>
              <w:rPr>
                <w:rFonts w:ascii="Times New Roman" w:eastAsia="Times New Roman" w:hAnsi="Times New Roman"/>
                <w:bCs/>
                <w:color w:val="000000"/>
                <w:sz w:val="18"/>
                <w:szCs w:val="18"/>
              </w:rPr>
            </w:pPr>
            <w:r w:rsidRPr="001A658F">
              <w:rPr>
                <w:rFonts w:ascii="Times New Roman" w:eastAsia="Times New Roman" w:hAnsi="Times New Roman"/>
                <w:bCs/>
                <w:color w:val="000000"/>
                <w:sz w:val="18"/>
                <w:szCs w:val="18"/>
              </w:rPr>
              <w:t>308 500</w:t>
            </w:r>
          </w:p>
        </w:tc>
        <w:tc>
          <w:tcPr>
            <w:tcW w:w="1133" w:type="dxa"/>
            <w:shd w:val="clear" w:color="auto" w:fill="auto"/>
            <w:noWrap/>
            <w:vAlign w:val="bottom"/>
            <w:hideMark/>
          </w:tcPr>
          <w:p w14:paraId="10DF0BE4" w14:textId="77777777" w:rsidR="001A658F" w:rsidRPr="001A658F" w:rsidRDefault="001A658F" w:rsidP="001A658F">
            <w:pPr>
              <w:jc w:val="center"/>
              <w:rPr>
                <w:rFonts w:ascii="Times New Roman" w:eastAsia="Times New Roman" w:hAnsi="Times New Roman"/>
                <w:bCs/>
                <w:color w:val="000000"/>
                <w:sz w:val="18"/>
                <w:szCs w:val="18"/>
              </w:rPr>
            </w:pPr>
            <w:r w:rsidRPr="001A658F">
              <w:rPr>
                <w:rFonts w:ascii="Times New Roman" w:eastAsia="Times New Roman" w:hAnsi="Times New Roman"/>
                <w:bCs/>
                <w:color w:val="000000"/>
                <w:sz w:val="18"/>
                <w:szCs w:val="18"/>
              </w:rPr>
              <w:t>308 500</w:t>
            </w:r>
          </w:p>
        </w:tc>
        <w:tc>
          <w:tcPr>
            <w:tcW w:w="1133" w:type="dxa"/>
            <w:shd w:val="clear" w:color="auto" w:fill="auto"/>
            <w:noWrap/>
            <w:vAlign w:val="bottom"/>
            <w:hideMark/>
          </w:tcPr>
          <w:p w14:paraId="57D7F402" w14:textId="77777777" w:rsidR="001A658F" w:rsidRPr="001A658F" w:rsidRDefault="001A658F" w:rsidP="001A658F">
            <w:pPr>
              <w:jc w:val="center"/>
              <w:rPr>
                <w:rFonts w:ascii="Times New Roman" w:eastAsia="Times New Roman" w:hAnsi="Times New Roman"/>
                <w:bCs/>
                <w:color w:val="000000"/>
                <w:sz w:val="18"/>
                <w:szCs w:val="18"/>
              </w:rPr>
            </w:pPr>
            <w:r w:rsidRPr="001A658F">
              <w:rPr>
                <w:rFonts w:ascii="Times New Roman" w:eastAsia="Times New Roman" w:hAnsi="Times New Roman"/>
                <w:bCs/>
                <w:color w:val="000000"/>
                <w:sz w:val="18"/>
                <w:szCs w:val="18"/>
              </w:rPr>
              <w:t>966 775</w:t>
            </w:r>
          </w:p>
        </w:tc>
        <w:tc>
          <w:tcPr>
            <w:tcW w:w="1134" w:type="dxa"/>
            <w:shd w:val="clear" w:color="auto" w:fill="auto"/>
            <w:noWrap/>
            <w:vAlign w:val="bottom"/>
            <w:hideMark/>
          </w:tcPr>
          <w:p w14:paraId="12B8C3D3" w14:textId="77777777" w:rsidR="001A658F" w:rsidRPr="001A658F" w:rsidRDefault="001A658F" w:rsidP="001A658F">
            <w:pPr>
              <w:jc w:val="center"/>
              <w:rPr>
                <w:rFonts w:ascii="Times New Roman" w:eastAsia="Times New Roman" w:hAnsi="Times New Roman"/>
                <w:bCs/>
                <w:color w:val="000000"/>
                <w:sz w:val="18"/>
                <w:szCs w:val="18"/>
              </w:rPr>
            </w:pPr>
            <w:r w:rsidRPr="001A658F">
              <w:rPr>
                <w:rFonts w:ascii="Times New Roman" w:eastAsia="Times New Roman" w:hAnsi="Times New Roman"/>
                <w:bCs/>
                <w:color w:val="000000"/>
                <w:sz w:val="18"/>
                <w:szCs w:val="18"/>
              </w:rPr>
              <w:t>966 775</w:t>
            </w:r>
          </w:p>
        </w:tc>
        <w:tc>
          <w:tcPr>
            <w:tcW w:w="1133" w:type="dxa"/>
            <w:shd w:val="clear" w:color="auto" w:fill="auto"/>
            <w:noWrap/>
            <w:vAlign w:val="bottom"/>
          </w:tcPr>
          <w:p w14:paraId="553D39FC" w14:textId="77777777" w:rsidR="001A658F" w:rsidRPr="001A658F" w:rsidRDefault="001A658F" w:rsidP="001A658F">
            <w:pPr>
              <w:jc w:val="center"/>
              <w:rPr>
                <w:rFonts w:ascii="Times New Roman" w:eastAsia="Times New Roman" w:hAnsi="Times New Roman"/>
                <w:bCs/>
                <w:color w:val="000000"/>
                <w:sz w:val="18"/>
                <w:szCs w:val="18"/>
              </w:rPr>
            </w:pPr>
            <w:r w:rsidRPr="001A658F">
              <w:rPr>
                <w:rFonts w:ascii="Times New Roman" w:eastAsia="Times New Roman" w:hAnsi="Times New Roman"/>
                <w:bCs/>
                <w:color w:val="000000"/>
                <w:sz w:val="18"/>
                <w:szCs w:val="18"/>
              </w:rPr>
              <w:t>966 775</w:t>
            </w:r>
          </w:p>
        </w:tc>
        <w:tc>
          <w:tcPr>
            <w:tcW w:w="1133" w:type="dxa"/>
            <w:shd w:val="clear" w:color="auto" w:fill="auto"/>
            <w:noWrap/>
            <w:vAlign w:val="bottom"/>
          </w:tcPr>
          <w:p w14:paraId="28E66B90" w14:textId="77777777" w:rsidR="001A658F" w:rsidRPr="001A658F" w:rsidRDefault="001A658F" w:rsidP="001A658F">
            <w:pPr>
              <w:jc w:val="center"/>
              <w:rPr>
                <w:rFonts w:ascii="Times New Roman" w:eastAsia="Times New Roman" w:hAnsi="Times New Roman"/>
                <w:bCs/>
                <w:color w:val="000000"/>
                <w:sz w:val="18"/>
                <w:szCs w:val="18"/>
              </w:rPr>
            </w:pPr>
            <w:r w:rsidRPr="001A658F">
              <w:rPr>
                <w:rFonts w:ascii="Times New Roman" w:eastAsia="Times New Roman" w:hAnsi="Times New Roman"/>
                <w:bCs/>
                <w:color w:val="000000"/>
                <w:sz w:val="18"/>
                <w:szCs w:val="18"/>
              </w:rPr>
              <w:t>966 775</w:t>
            </w:r>
          </w:p>
        </w:tc>
        <w:tc>
          <w:tcPr>
            <w:tcW w:w="1134" w:type="dxa"/>
            <w:shd w:val="clear" w:color="auto" w:fill="auto"/>
            <w:noWrap/>
            <w:vAlign w:val="bottom"/>
          </w:tcPr>
          <w:p w14:paraId="2AB9462F" w14:textId="77777777" w:rsidR="001A658F" w:rsidRPr="001A658F" w:rsidRDefault="001A658F" w:rsidP="001A658F">
            <w:pPr>
              <w:jc w:val="center"/>
              <w:rPr>
                <w:rFonts w:ascii="Times New Roman" w:eastAsia="Times New Roman" w:hAnsi="Times New Roman"/>
                <w:bCs/>
                <w:color w:val="000000"/>
                <w:sz w:val="18"/>
                <w:szCs w:val="18"/>
              </w:rPr>
            </w:pPr>
            <w:r w:rsidRPr="001A658F">
              <w:rPr>
                <w:rFonts w:ascii="Times New Roman" w:eastAsia="Times New Roman" w:hAnsi="Times New Roman"/>
                <w:bCs/>
                <w:color w:val="000000"/>
                <w:sz w:val="18"/>
                <w:szCs w:val="18"/>
              </w:rPr>
              <w:t>966 775</w:t>
            </w:r>
          </w:p>
        </w:tc>
      </w:tr>
      <w:tr w:rsidR="001A658F" w:rsidRPr="001A658F" w14:paraId="287E1282" w14:textId="77777777" w:rsidTr="0090529D">
        <w:trPr>
          <w:trHeight w:val="242"/>
        </w:trPr>
        <w:tc>
          <w:tcPr>
            <w:tcW w:w="9782" w:type="dxa"/>
            <w:gridSpan w:val="8"/>
          </w:tcPr>
          <w:p w14:paraId="72CC73A9" w14:textId="77777777" w:rsidR="001A658F" w:rsidRPr="001A658F" w:rsidRDefault="001A658F" w:rsidP="001A658F">
            <w:pPr>
              <w:rPr>
                <w:rFonts w:ascii="Times New Roman" w:eastAsia="Times New Roman" w:hAnsi="Times New Roman"/>
                <w:b/>
                <w:bCs/>
                <w:color w:val="000000"/>
                <w:sz w:val="18"/>
                <w:szCs w:val="18"/>
              </w:rPr>
            </w:pPr>
            <w:r w:rsidRPr="001A658F">
              <w:rPr>
                <w:rFonts w:ascii="Times New Roman" w:eastAsia="Times New Roman" w:hAnsi="Times New Roman"/>
                <w:b/>
                <w:bCs/>
                <w:color w:val="000000"/>
                <w:sz w:val="18"/>
                <w:szCs w:val="18"/>
              </w:rPr>
              <w:t>Источники, уменьшающие собственные средства (капитал), в том числе:</w:t>
            </w:r>
          </w:p>
        </w:tc>
      </w:tr>
      <w:tr w:rsidR="001A658F" w:rsidRPr="001A658F" w14:paraId="7371CBD5" w14:textId="77777777" w:rsidTr="0090529D">
        <w:trPr>
          <w:trHeight w:val="424"/>
        </w:trPr>
        <w:tc>
          <w:tcPr>
            <w:tcW w:w="1849" w:type="dxa"/>
            <w:shd w:val="clear" w:color="auto" w:fill="auto"/>
            <w:vAlign w:val="center"/>
            <w:hideMark/>
          </w:tcPr>
          <w:p w14:paraId="0798BF4D" w14:textId="77777777" w:rsidR="001A658F" w:rsidRPr="001A658F" w:rsidRDefault="001A658F" w:rsidP="001A658F">
            <w:pPr>
              <w:rPr>
                <w:rFonts w:ascii="Times New Roman" w:eastAsia="Times New Roman" w:hAnsi="Times New Roman"/>
                <w:b/>
                <w:bCs/>
                <w:color w:val="000000"/>
                <w:sz w:val="18"/>
                <w:szCs w:val="18"/>
                <w:lang w:val="en-US"/>
              </w:rPr>
            </w:pPr>
            <w:r w:rsidRPr="001A658F">
              <w:rPr>
                <w:rFonts w:ascii="Times New Roman" w:eastAsia="Times New Roman" w:hAnsi="Times New Roman"/>
                <w:b/>
                <w:bCs/>
                <w:color w:val="000000"/>
                <w:sz w:val="18"/>
                <w:szCs w:val="18"/>
              </w:rPr>
              <w:t>Выделенный капитал</w:t>
            </w:r>
          </w:p>
        </w:tc>
        <w:tc>
          <w:tcPr>
            <w:tcW w:w="1133" w:type="dxa"/>
            <w:shd w:val="clear" w:color="auto" w:fill="auto"/>
            <w:noWrap/>
            <w:vAlign w:val="bottom"/>
            <w:hideMark/>
          </w:tcPr>
          <w:p w14:paraId="09EF97AF" w14:textId="77777777" w:rsidR="001A658F" w:rsidRPr="001A658F" w:rsidRDefault="001A658F" w:rsidP="001A658F">
            <w:pPr>
              <w:jc w:val="right"/>
              <w:rPr>
                <w:rFonts w:ascii="Times New Roman" w:eastAsia="Times New Roman" w:hAnsi="Times New Roman"/>
                <w:color w:val="000000"/>
                <w:sz w:val="18"/>
                <w:szCs w:val="18"/>
                <w:lang w:val="en-US"/>
              </w:rPr>
            </w:pPr>
            <w:r w:rsidRPr="001A658F">
              <w:rPr>
                <w:rFonts w:ascii="Times New Roman" w:eastAsia="Times New Roman" w:hAnsi="Times New Roman"/>
                <w:color w:val="000000"/>
                <w:sz w:val="18"/>
                <w:szCs w:val="18"/>
                <w:lang w:val="en-US"/>
              </w:rPr>
              <w:t>0</w:t>
            </w:r>
          </w:p>
        </w:tc>
        <w:tc>
          <w:tcPr>
            <w:tcW w:w="1133" w:type="dxa"/>
            <w:shd w:val="clear" w:color="auto" w:fill="auto"/>
            <w:noWrap/>
            <w:vAlign w:val="bottom"/>
            <w:hideMark/>
          </w:tcPr>
          <w:p w14:paraId="479ADC95" w14:textId="77777777" w:rsidR="001A658F" w:rsidRPr="001A658F" w:rsidRDefault="001A658F" w:rsidP="001A658F">
            <w:pPr>
              <w:jc w:val="right"/>
              <w:rPr>
                <w:rFonts w:ascii="Times New Roman" w:eastAsia="Times New Roman" w:hAnsi="Times New Roman"/>
                <w:color w:val="000000"/>
                <w:sz w:val="18"/>
                <w:szCs w:val="18"/>
                <w:lang w:val="en-US"/>
              </w:rPr>
            </w:pPr>
            <w:r w:rsidRPr="001A658F">
              <w:rPr>
                <w:rFonts w:ascii="Times New Roman" w:eastAsia="Times New Roman" w:hAnsi="Times New Roman"/>
                <w:color w:val="000000"/>
                <w:sz w:val="18"/>
                <w:szCs w:val="18"/>
                <w:lang w:val="en-US"/>
              </w:rPr>
              <w:t>0</w:t>
            </w:r>
          </w:p>
        </w:tc>
        <w:tc>
          <w:tcPr>
            <w:tcW w:w="1133" w:type="dxa"/>
            <w:shd w:val="clear" w:color="auto" w:fill="auto"/>
            <w:noWrap/>
            <w:vAlign w:val="bottom"/>
            <w:hideMark/>
          </w:tcPr>
          <w:p w14:paraId="1B0D08F6" w14:textId="77777777" w:rsidR="001A658F" w:rsidRPr="001A658F" w:rsidRDefault="001A658F" w:rsidP="001A658F">
            <w:pPr>
              <w:jc w:val="right"/>
              <w:rPr>
                <w:rFonts w:ascii="Times New Roman" w:eastAsia="Times New Roman" w:hAnsi="Times New Roman"/>
                <w:color w:val="000000"/>
                <w:sz w:val="18"/>
                <w:szCs w:val="18"/>
                <w:lang w:val="en-US"/>
              </w:rPr>
            </w:pPr>
            <w:r w:rsidRPr="001A658F">
              <w:rPr>
                <w:rFonts w:ascii="Times New Roman" w:eastAsia="Times New Roman" w:hAnsi="Times New Roman"/>
                <w:color w:val="000000"/>
                <w:sz w:val="18"/>
                <w:szCs w:val="18"/>
                <w:lang w:val="en-US"/>
              </w:rPr>
              <w:t>0</w:t>
            </w:r>
          </w:p>
        </w:tc>
        <w:tc>
          <w:tcPr>
            <w:tcW w:w="1134" w:type="dxa"/>
            <w:shd w:val="clear" w:color="auto" w:fill="auto"/>
            <w:noWrap/>
            <w:vAlign w:val="bottom"/>
            <w:hideMark/>
          </w:tcPr>
          <w:p w14:paraId="5E1D8E1F" w14:textId="77777777" w:rsidR="001A658F" w:rsidRPr="001A658F" w:rsidRDefault="001A658F" w:rsidP="001A658F">
            <w:pPr>
              <w:jc w:val="right"/>
              <w:rPr>
                <w:rFonts w:ascii="Times New Roman" w:eastAsia="Times New Roman" w:hAnsi="Times New Roman"/>
                <w:color w:val="000000"/>
                <w:sz w:val="18"/>
                <w:szCs w:val="18"/>
                <w:lang w:val="en-US"/>
              </w:rPr>
            </w:pPr>
            <w:r w:rsidRPr="001A658F">
              <w:rPr>
                <w:rFonts w:ascii="Times New Roman" w:eastAsia="Times New Roman" w:hAnsi="Times New Roman"/>
                <w:color w:val="000000"/>
                <w:sz w:val="18"/>
                <w:szCs w:val="18"/>
                <w:lang w:val="en-US"/>
              </w:rPr>
              <w:t>0</w:t>
            </w:r>
          </w:p>
        </w:tc>
        <w:tc>
          <w:tcPr>
            <w:tcW w:w="1133" w:type="dxa"/>
            <w:shd w:val="clear" w:color="auto" w:fill="auto"/>
            <w:noWrap/>
            <w:vAlign w:val="bottom"/>
          </w:tcPr>
          <w:p w14:paraId="2EE2236A" w14:textId="77777777" w:rsidR="001A658F" w:rsidRPr="001A658F" w:rsidRDefault="001A658F" w:rsidP="001A658F">
            <w:pPr>
              <w:jc w:val="right"/>
              <w:rPr>
                <w:rFonts w:ascii="Times New Roman" w:eastAsia="Times New Roman" w:hAnsi="Times New Roman"/>
                <w:color w:val="000000"/>
                <w:sz w:val="18"/>
                <w:szCs w:val="18"/>
                <w:lang w:val="en-US"/>
              </w:rPr>
            </w:pPr>
            <w:r w:rsidRPr="001A658F">
              <w:rPr>
                <w:rFonts w:ascii="Times New Roman" w:eastAsia="Times New Roman" w:hAnsi="Times New Roman"/>
                <w:color w:val="000000"/>
                <w:sz w:val="18"/>
                <w:szCs w:val="18"/>
                <w:lang w:val="en-US"/>
              </w:rPr>
              <w:t>6 500 000</w:t>
            </w:r>
          </w:p>
        </w:tc>
        <w:tc>
          <w:tcPr>
            <w:tcW w:w="1133" w:type="dxa"/>
            <w:shd w:val="clear" w:color="auto" w:fill="auto"/>
            <w:noWrap/>
            <w:vAlign w:val="bottom"/>
          </w:tcPr>
          <w:p w14:paraId="34755F6B" w14:textId="77777777" w:rsidR="001A658F" w:rsidRPr="001A658F" w:rsidRDefault="001A658F" w:rsidP="001A658F">
            <w:pPr>
              <w:jc w:val="right"/>
              <w:rPr>
                <w:rFonts w:ascii="Times New Roman" w:eastAsia="Times New Roman" w:hAnsi="Times New Roman"/>
                <w:color w:val="000000"/>
                <w:sz w:val="18"/>
                <w:szCs w:val="18"/>
                <w:lang w:val="en-US"/>
              </w:rPr>
            </w:pPr>
            <w:r w:rsidRPr="001A658F">
              <w:rPr>
                <w:rFonts w:ascii="Times New Roman" w:eastAsia="Times New Roman" w:hAnsi="Times New Roman"/>
                <w:color w:val="000000"/>
                <w:sz w:val="18"/>
                <w:szCs w:val="18"/>
              </w:rPr>
              <w:t>9 500 000</w:t>
            </w:r>
          </w:p>
        </w:tc>
        <w:tc>
          <w:tcPr>
            <w:tcW w:w="1134" w:type="dxa"/>
            <w:shd w:val="clear" w:color="auto" w:fill="auto"/>
            <w:noWrap/>
            <w:vAlign w:val="bottom"/>
          </w:tcPr>
          <w:p w14:paraId="15DA5168" w14:textId="77777777" w:rsidR="001A658F" w:rsidRPr="001A658F" w:rsidRDefault="001A658F" w:rsidP="001A658F">
            <w:pPr>
              <w:jc w:val="right"/>
              <w:rPr>
                <w:rFonts w:ascii="Times New Roman" w:eastAsia="Times New Roman" w:hAnsi="Times New Roman"/>
                <w:color w:val="000000"/>
                <w:sz w:val="18"/>
                <w:szCs w:val="18"/>
                <w:lang w:val="en-US"/>
              </w:rPr>
            </w:pPr>
            <w:r w:rsidRPr="001A658F">
              <w:rPr>
                <w:rFonts w:ascii="Times New Roman" w:eastAsia="Times New Roman" w:hAnsi="Times New Roman"/>
                <w:color w:val="000000"/>
                <w:sz w:val="18"/>
                <w:szCs w:val="18"/>
              </w:rPr>
              <w:t>9 500 000</w:t>
            </w:r>
          </w:p>
        </w:tc>
      </w:tr>
      <w:tr w:rsidR="001A658F" w:rsidRPr="001A658F" w14:paraId="3EED5490" w14:textId="77777777" w:rsidTr="0090529D">
        <w:trPr>
          <w:trHeight w:val="800"/>
        </w:trPr>
        <w:tc>
          <w:tcPr>
            <w:tcW w:w="1849" w:type="dxa"/>
            <w:shd w:val="clear" w:color="auto" w:fill="auto"/>
            <w:vAlign w:val="center"/>
            <w:hideMark/>
          </w:tcPr>
          <w:p w14:paraId="6FA5AE66" w14:textId="77777777" w:rsidR="001A658F" w:rsidRPr="001A658F" w:rsidRDefault="001A658F" w:rsidP="001A658F">
            <w:pPr>
              <w:rPr>
                <w:rFonts w:ascii="Times New Roman" w:eastAsia="Times New Roman" w:hAnsi="Times New Roman"/>
                <w:b/>
                <w:bCs/>
                <w:color w:val="000000"/>
                <w:sz w:val="18"/>
                <w:szCs w:val="18"/>
              </w:rPr>
            </w:pPr>
            <w:r w:rsidRPr="001A658F">
              <w:rPr>
                <w:rFonts w:ascii="Times New Roman" w:eastAsia="Times New Roman" w:hAnsi="Times New Roman"/>
                <w:b/>
                <w:bCs/>
                <w:color w:val="000000"/>
                <w:sz w:val="18"/>
                <w:szCs w:val="18"/>
              </w:rPr>
              <w:t>Капитал ЦК на покрытие возможных потерь</w:t>
            </w:r>
          </w:p>
        </w:tc>
        <w:tc>
          <w:tcPr>
            <w:tcW w:w="1133" w:type="dxa"/>
            <w:shd w:val="clear" w:color="auto" w:fill="auto"/>
            <w:noWrap/>
            <w:vAlign w:val="bottom"/>
            <w:hideMark/>
          </w:tcPr>
          <w:p w14:paraId="4220815B" w14:textId="77777777" w:rsidR="001A658F" w:rsidRPr="001A658F" w:rsidRDefault="001A658F" w:rsidP="001A658F">
            <w:pPr>
              <w:jc w:val="right"/>
              <w:rPr>
                <w:rFonts w:ascii="Times New Roman" w:eastAsia="Times New Roman" w:hAnsi="Times New Roman"/>
                <w:color w:val="000000"/>
                <w:sz w:val="18"/>
                <w:szCs w:val="18"/>
                <w:lang w:val="en-US"/>
              </w:rPr>
            </w:pPr>
            <w:r w:rsidRPr="001A658F">
              <w:rPr>
                <w:rFonts w:ascii="Times New Roman" w:eastAsia="Times New Roman" w:hAnsi="Times New Roman"/>
                <w:color w:val="000000"/>
                <w:sz w:val="18"/>
                <w:szCs w:val="18"/>
                <w:lang w:val="en-US"/>
              </w:rPr>
              <w:t>0</w:t>
            </w:r>
          </w:p>
        </w:tc>
        <w:tc>
          <w:tcPr>
            <w:tcW w:w="1133" w:type="dxa"/>
            <w:shd w:val="clear" w:color="auto" w:fill="auto"/>
            <w:noWrap/>
            <w:vAlign w:val="bottom"/>
            <w:hideMark/>
          </w:tcPr>
          <w:p w14:paraId="740F5519" w14:textId="77777777" w:rsidR="001A658F" w:rsidRPr="001A658F" w:rsidRDefault="001A658F" w:rsidP="001A658F">
            <w:pPr>
              <w:jc w:val="right"/>
              <w:rPr>
                <w:rFonts w:ascii="Times New Roman" w:eastAsia="Times New Roman" w:hAnsi="Times New Roman"/>
                <w:color w:val="000000"/>
                <w:sz w:val="18"/>
                <w:szCs w:val="18"/>
                <w:lang w:val="en-US"/>
              </w:rPr>
            </w:pPr>
            <w:r w:rsidRPr="001A658F">
              <w:rPr>
                <w:rFonts w:ascii="Times New Roman" w:eastAsia="Times New Roman" w:hAnsi="Times New Roman"/>
                <w:color w:val="000000"/>
                <w:sz w:val="18"/>
                <w:szCs w:val="18"/>
                <w:lang w:val="en-US"/>
              </w:rPr>
              <w:t>0</w:t>
            </w:r>
          </w:p>
        </w:tc>
        <w:tc>
          <w:tcPr>
            <w:tcW w:w="1133" w:type="dxa"/>
            <w:shd w:val="clear" w:color="auto" w:fill="auto"/>
            <w:noWrap/>
            <w:vAlign w:val="bottom"/>
            <w:hideMark/>
          </w:tcPr>
          <w:p w14:paraId="0B40A682" w14:textId="77777777" w:rsidR="001A658F" w:rsidRPr="001A658F" w:rsidRDefault="001A658F" w:rsidP="001A658F">
            <w:pPr>
              <w:jc w:val="right"/>
              <w:rPr>
                <w:rFonts w:ascii="Times New Roman" w:eastAsia="Times New Roman" w:hAnsi="Times New Roman"/>
                <w:color w:val="000000"/>
                <w:sz w:val="18"/>
                <w:szCs w:val="18"/>
                <w:lang w:val="en-US"/>
              </w:rPr>
            </w:pPr>
            <w:r w:rsidRPr="001A658F">
              <w:rPr>
                <w:rFonts w:ascii="Times New Roman" w:eastAsia="Times New Roman" w:hAnsi="Times New Roman"/>
                <w:color w:val="000000"/>
                <w:sz w:val="18"/>
                <w:szCs w:val="18"/>
                <w:lang w:val="en-US"/>
              </w:rPr>
              <w:t>0</w:t>
            </w:r>
          </w:p>
        </w:tc>
        <w:tc>
          <w:tcPr>
            <w:tcW w:w="1134" w:type="dxa"/>
            <w:shd w:val="clear" w:color="auto" w:fill="auto"/>
            <w:noWrap/>
            <w:vAlign w:val="bottom"/>
            <w:hideMark/>
          </w:tcPr>
          <w:p w14:paraId="4A40779B" w14:textId="77777777" w:rsidR="001A658F" w:rsidRPr="001A658F" w:rsidRDefault="001A658F" w:rsidP="001A658F">
            <w:pPr>
              <w:jc w:val="right"/>
              <w:rPr>
                <w:rFonts w:ascii="Times New Roman" w:eastAsia="Times New Roman" w:hAnsi="Times New Roman"/>
                <w:color w:val="000000"/>
                <w:sz w:val="18"/>
                <w:szCs w:val="18"/>
                <w:lang w:val="en-US"/>
              </w:rPr>
            </w:pPr>
            <w:r w:rsidRPr="001A658F">
              <w:rPr>
                <w:rFonts w:ascii="Times New Roman" w:eastAsia="Times New Roman" w:hAnsi="Times New Roman"/>
                <w:color w:val="000000"/>
                <w:sz w:val="18"/>
                <w:szCs w:val="18"/>
                <w:lang w:val="en-US"/>
              </w:rPr>
              <w:t>0</w:t>
            </w:r>
          </w:p>
        </w:tc>
        <w:tc>
          <w:tcPr>
            <w:tcW w:w="1133" w:type="dxa"/>
            <w:shd w:val="clear" w:color="auto" w:fill="auto"/>
            <w:noWrap/>
            <w:vAlign w:val="bottom"/>
          </w:tcPr>
          <w:p w14:paraId="26395FDC" w14:textId="77777777" w:rsidR="001A658F" w:rsidRPr="001A658F" w:rsidRDefault="001A658F" w:rsidP="001A658F">
            <w:pPr>
              <w:jc w:val="right"/>
              <w:rPr>
                <w:rFonts w:ascii="Times New Roman" w:eastAsia="Times New Roman" w:hAnsi="Times New Roman"/>
                <w:color w:val="000000"/>
                <w:sz w:val="18"/>
                <w:szCs w:val="18"/>
                <w:lang w:val="en-US"/>
              </w:rPr>
            </w:pPr>
            <w:r w:rsidRPr="001A658F">
              <w:rPr>
                <w:rFonts w:ascii="Times New Roman" w:eastAsia="Times New Roman" w:hAnsi="Times New Roman"/>
                <w:color w:val="000000"/>
                <w:sz w:val="18"/>
                <w:szCs w:val="18"/>
                <w:lang w:val="en-US"/>
              </w:rPr>
              <w:t>766 498</w:t>
            </w:r>
          </w:p>
        </w:tc>
        <w:tc>
          <w:tcPr>
            <w:tcW w:w="1133" w:type="dxa"/>
            <w:shd w:val="clear" w:color="auto" w:fill="auto"/>
            <w:noWrap/>
            <w:vAlign w:val="bottom"/>
          </w:tcPr>
          <w:p w14:paraId="021F39A4" w14:textId="77777777" w:rsidR="001A658F" w:rsidRPr="001A658F" w:rsidRDefault="001A658F" w:rsidP="001A658F">
            <w:pPr>
              <w:jc w:val="right"/>
              <w:rPr>
                <w:rFonts w:ascii="Times New Roman" w:eastAsia="Times New Roman" w:hAnsi="Times New Roman"/>
                <w:color w:val="000000"/>
                <w:sz w:val="18"/>
                <w:szCs w:val="18"/>
              </w:rPr>
            </w:pPr>
            <w:r w:rsidRPr="001A658F">
              <w:rPr>
                <w:rFonts w:ascii="Times New Roman" w:eastAsia="Times New Roman" w:hAnsi="Times New Roman"/>
                <w:color w:val="000000"/>
                <w:sz w:val="18"/>
                <w:szCs w:val="18"/>
                <w:lang w:val="en-US"/>
              </w:rPr>
              <w:t>889 965</w:t>
            </w:r>
          </w:p>
        </w:tc>
        <w:tc>
          <w:tcPr>
            <w:tcW w:w="1134" w:type="dxa"/>
            <w:shd w:val="clear" w:color="auto" w:fill="auto"/>
            <w:noWrap/>
            <w:vAlign w:val="bottom"/>
          </w:tcPr>
          <w:p w14:paraId="02F2FD55" w14:textId="77777777" w:rsidR="001A658F" w:rsidRPr="001A658F" w:rsidRDefault="001A658F" w:rsidP="001A658F">
            <w:pPr>
              <w:jc w:val="right"/>
              <w:rPr>
                <w:rFonts w:ascii="Times New Roman" w:eastAsia="Times New Roman" w:hAnsi="Times New Roman"/>
                <w:color w:val="000000"/>
                <w:sz w:val="18"/>
                <w:szCs w:val="18"/>
                <w:highlight w:val="yellow"/>
              </w:rPr>
            </w:pPr>
            <w:r w:rsidRPr="001A658F">
              <w:rPr>
                <w:rFonts w:ascii="Times New Roman" w:eastAsia="Times New Roman" w:hAnsi="Times New Roman"/>
                <w:color w:val="000000"/>
                <w:sz w:val="18"/>
                <w:szCs w:val="18"/>
                <w:lang w:val="en-US"/>
              </w:rPr>
              <w:t>898</w:t>
            </w:r>
            <w:r w:rsidRPr="001A658F">
              <w:rPr>
                <w:rFonts w:ascii="Times New Roman" w:eastAsia="Times New Roman" w:hAnsi="Times New Roman"/>
                <w:color w:val="000000"/>
                <w:sz w:val="18"/>
                <w:szCs w:val="18"/>
              </w:rPr>
              <w:t> </w:t>
            </w:r>
            <w:r w:rsidRPr="001A658F">
              <w:rPr>
                <w:rFonts w:ascii="Times New Roman" w:eastAsia="Times New Roman" w:hAnsi="Times New Roman"/>
                <w:color w:val="000000"/>
                <w:sz w:val="18"/>
                <w:szCs w:val="18"/>
                <w:lang w:val="en-US"/>
              </w:rPr>
              <w:t>664</w:t>
            </w:r>
          </w:p>
        </w:tc>
      </w:tr>
    </w:tbl>
    <w:p w14:paraId="31D1E902" w14:textId="77777777" w:rsidR="001A658F" w:rsidRPr="001A658F" w:rsidRDefault="001A658F" w:rsidP="001A658F">
      <w:pPr>
        <w:tabs>
          <w:tab w:val="left" w:pos="360"/>
          <w:tab w:val="num" w:pos="1920"/>
        </w:tabs>
        <w:jc w:val="both"/>
        <w:rPr>
          <w:rFonts w:ascii="Times New Roman" w:eastAsia="Times New Roman" w:hAnsi="Times New Roman"/>
          <w:sz w:val="24"/>
          <w:szCs w:val="24"/>
          <w:lang w:eastAsia="ru-RU"/>
        </w:rPr>
      </w:pPr>
    </w:p>
    <w:p w14:paraId="5CE4B59C" w14:textId="77777777" w:rsidR="001A658F" w:rsidRPr="001A658F" w:rsidRDefault="001A658F" w:rsidP="001A658F">
      <w:pPr>
        <w:jc w:val="both"/>
        <w:rPr>
          <w:rFonts w:ascii="Times New Roman" w:eastAsia="Times New Roman" w:hAnsi="Times New Roman"/>
          <w:b/>
          <w:bCs/>
          <w:color w:val="000000"/>
          <w:sz w:val="24"/>
          <w:szCs w:val="24"/>
        </w:rPr>
      </w:pPr>
    </w:p>
    <w:p w14:paraId="4D18113D" w14:textId="77777777" w:rsidR="001A658F" w:rsidRPr="001A658F" w:rsidRDefault="001A658F" w:rsidP="001A658F">
      <w:pPr>
        <w:jc w:val="both"/>
        <w:rPr>
          <w:rFonts w:ascii="Times New Roman" w:eastAsia="Times New Roman" w:hAnsi="Times New Roman"/>
          <w:b/>
          <w:bCs/>
          <w:color w:val="000000"/>
          <w:sz w:val="24"/>
          <w:szCs w:val="24"/>
        </w:rPr>
      </w:pPr>
    </w:p>
    <w:p w14:paraId="2F5A3CC2" w14:textId="77777777" w:rsidR="001A658F" w:rsidRPr="001A658F" w:rsidRDefault="001A658F" w:rsidP="001A658F">
      <w:pPr>
        <w:jc w:val="both"/>
        <w:rPr>
          <w:rFonts w:ascii="Times New Roman" w:eastAsia="Times New Roman" w:hAnsi="Times New Roman"/>
          <w:b/>
          <w:bCs/>
          <w:color w:val="000000"/>
          <w:sz w:val="24"/>
          <w:szCs w:val="24"/>
        </w:rPr>
      </w:pPr>
      <w:r w:rsidRPr="001A658F">
        <w:rPr>
          <w:rFonts w:asciiTheme="minorHAnsi" w:hAnsiTheme="minorHAnsi" w:cstheme="minorBidi"/>
          <w:noProof/>
          <w:lang w:eastAsia="ru-RU"/>
        </w:rPr>
        <w:drawing>
          <wp:inline distT="0" distB="0" distL="0" distR="0" wp14:anchorId="20882727" wp14:editId="2252D2AB">
            <wp:extent cx="5897880" cy="2545080"/>
            <wp:effectExtent l="0" t="0" r="7620" b="762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3D9B206" w14:textId="77777777" w:rsidR="001A658F" w:rsidRPr="001A658F" w:rsidRDefault="001A658F" w:rsidP="001A658F">
      <w:pPr>
        <w:jc w:val="both"/>
        <w:rPr>
          <w:rFonts w:ascii="Times New Roman" w:eastAsia="Times New Roman" w:hAnsi="Times New Roman"/>
          <w:b/>
          <w:bCs/>
          <w:color w:val="000000"/>
          <w:sz w:val="24"/>
          <w:szCs w:val="24"/>
        </w:rPr>
      </w:pPr>
    </w:p>
    <w:p w14:paraId="418F57F6" w14:textId="77777777" w:rsidR="001A658F" w:rsidRPr="001A658F" w:rsidRDefault="001A658F" w:rsidP="001A658F">
      <w:pPr>
        <w:jc w:val="both"/>
        <w:rPr>
          <w:rFonts w:ascii="Times New Roman" w:eastAsia="Times New Roman" w:hAnsi="Times New Roman"/>
          <w:b/>
          <w:bCs/>
          <w:color w:val="000000"/>
          <w:sz w:val="24"/>
          <w:szCs w:val="24"/>
        </w:rPr>
      </w:pPr>
    </w:p>
    <w:p w14:paraId="332E52A8" w14:textId="77777777" w:rsidR="001A658F" w:rsidRPr="001A658F" w:rsidRDefault="001A658F" w:rsidP="001A658F">
      <w:pPr>
        <w:jc w:val="both"/>
        <w:rPr>
          <w:rFonts w:ascii="Times New Roman" w:eastAsia="Times New Roman" w:hAnsi="Times New Roman"/>
          <w:b/>
          <w:bCs/>
          <w:color w:val="000000"/>
          <w:sz w:val="24"/>
          <w:szCs w:val="24"/>
        </w:rPr>
      </w:pPr>
      <w:r w:rsidRPr="001A658F">
        <w:rPr>
          <w:rFonts w:asciiTheme="minorHAnsi" w:hAnsiTheme="minorHAnsi" w:cstheme="minorBidi"/>
          <w:noProof/>
          <w:lang w:eastAsia="ru-RU"/>
        </w:rPr>
        <w:lastRenderedPageBreak/>
        <w:drawing>
          <wp:inline distT="0" distB="0" distL="0" distR="0" wp14:anchorId="5E68B93E" wp14:editId="72977888">
            <wp:extent cx="5897880" cy="2560320"/>
            <wp:effectExtent l="0" t="0" r="7620" b="1143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325CC27" w14:textId="77777777" w:rsidR="001A658F" w:rsidRPr="001A658F" w:rsidRDefault="001A658F" w:rsidP="001A658F">
      <w:pPr>
        <w:jc w:val="both"/>
        <w:rPr>
          <w:rFonts w:ascii="Times New Roman" w:eastAsia="Times New Roman" w:hAnsi="Times New Roman"/>
          <w:b/>
          <w:bCs/>
          <w:color w:val="000000"/>
          <w:sz w:val="24"/>
          <w:szCs w:val="24"/>
        </w:rPr>
      </w:pPr>
    </w:p>
    <w:p w14:paraId="2C15B4D5" w14:textId="77777777" w:rsidR="001A658F" w:rsidRPr="001A658F" w:rsidRDefault="001A658F" w:rsidP="001A658F">
      <w:pPr>
        <w:jc w:val="both"/>
        <w:rPr>
          <w:rFonts w:ascii="Times New Roman" w:eastAsia="Times New Roman" w:hAnsi="Times New Roman"/>
          <w:noProof/>
          <w:sz w:val="24"/>
          <w:szCs w:val="24"/>
        </w:rPr>
      </w:pPr>
    </w:p>
    <w:p w14:paraId="57C71FDA" w14:textId="77777777" w:rsidR="001A658F" w:rsidRPr="001A658F" w:rsidRDefault="001A658F" w:rsidP="001A658F">
      <w:pPr>
        <w:jc w:val="both"/>
        <w:rPr>
          <w:rFonts w:ascii="Times New Roman" w:eastAsia="Times New Roman" w:hAnsi="Times New Roman"/>
          <w:noProof/>
          <w:sz w:val="24"/>
          <w:szCs w:val="24"/>
        </w:rPr>
      </w:pPr>
      <w:r w:rsidRPr="001A658F">
        <w:rPr>
          <w:rFonts w:asciiTheme="minorHAnsi" w:hAnsiTheme="minorHAnsi" w:cstheme="minorBidi"/>
          <w:noProof/>
          <w:lang w:eastAsia="ru-RU"/>
        </w:rPr>
        <w:drawing>
          <wp:inline distT="0" distB="0" distL="0" distR="0" wp14:anchorId="37F7E0A9" wp14:editId="3B72728F">
            <wp:extent cx="5897880" cy="2827020"/>
            <wp:effectExtent l="0" t="0" r="7620" b="1143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D1DCB2F" w14:textId="77777777" w:rsidR="001A658F" w:rsidRPr="001A658F" w:rsidRDefault="001A658F" w:rsidP="001A658F">
      <w:pPr>
        <w:jc w:val="both"/>
        <w:rPr>
          <w:rFonts w:ascii="Times New Roman" w:eastAsia="Times New Roman" w:hAnsi="Times New Roman"/>
          <w:noProof/>
          <w:sz w:val="24"/>
          <w:szCs w:val="24"/>
        </w:rPr>
      </w:pPr>
    </w:p>
    <w:p w14:paraId="4B088D82" w14:textId="77777777" w:rsidR="001A658F" w:rsidRPr="001A658F" w:rsidRDefault="001A658F" w:rsidP="001A658F">
      <w:pPr>
        <w:jc w:val="both"/>
        <w:rPr>
          <w:rFonts w:ascii="Times New Roman" w:eastAsia="Times New Roman" w:hAnsi="Times New Roman"/>
          <w:b/>
          <w:bCs/>
          <w:color w:val="000000"/>
          <w:sz w:val="24"/>
          <w:szCs w:val="24"/>
          <w:lang w:val="en-US"/>
        </w:rPr>
      </w:pPr>
    </w:p>
    <w:p w14:paraId="2229A05A" w14:textId="77777777" w:rsidR="001A658F" w:rsidRPr="001A658F" w:rsidRDefault="001A658F" w:rsidP="001A658F">
      <w:pPr>
        <w:jc w:val="both"/>
        <w:rPr>
          <w:rFonts w:ascii="Times New Roman" w:eastAsia="Times New Roman" w:hAnsi="Times New Roman"/>
          <w:b/>
          <w:bCs/>
          <w:color w:val="000000"/>
          <w:sz w:val="24"/>
          <w:szCs w:val="24"/>
          <w:lang w:val="en-US"/>
        </w:rPr>
      </w:pPr>
      <w:r w:rsidRPr="001A658F">
        <w:rPr>
          <w:rFonts w:asciiTheme="minorHAnsi" w:hAnsiTheme="minorHAnsi" w:cstheme="minorBidi"/>
          <w:noProof/>
          <w:lang w:eastAsia="ru-RU"/>
        </w:rPr>
        <w:drawing>
          <wp:inline distT="0" distB="0" distL="0" distR="0" wp14:anchorId="30A1B683" wp14:editId="46E37BE8">
            <wp:extent cx="5875020" cy="3749040"/>
            <wp:effectExtent l="0" t="0" r="11430" b="381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1F9544B" w14:textId="77777777" w:rsidR="001A658F" w:rsidRPr="001A658F" w:rsidRDefault="001A658F" w:rsidP="001A658F">
      <w:pPr>
        <w:tabs>
          <w:tab w:val="left" w:pos="360"/>
          <w:tab w:val="num" w:pos="1920"/>
        </w:tabs>
        <w:jc w:val="both"/>
        <w:rPr>
          <w:rFonts w:ascii="Times New Roman" w:eastAsia="Times New Roman" w:hAnsi="Times New Roman"/>
          <w:sz w:val="24"/>
          <w:szCs w:val="24"/>
          <w:lang w:eastAsia="ru-RU"/>
        </w:rPr>
      </w:pPr>
    </w:p>
    <w:p w14:paraId="4523928B" w14:textId="77777777" w:rsidR="001A658F" w:rsidRPr="001A658F" w:rsidRDefault="001A658F" w:rsidP="001A658F">
      <w:pPr>
        <w:tabs>
          <w:tab w:val="left" w:pos="360"/>
          <w:tab w:val="num" w:pos="1920"/>
        </w:tabs>
        <w:jc w:val="both"/>
        <w:rPr>
          <w:rFonts w:ascii="Times New Roman" w:eastAsia="Times New Roman" w:hAnsi="Times New Roman"/>
          <w:sz w:val="24"/>
          <w:szCs w:val="24"/>
          <w:lang w:eastAsia="ru-RU"/>
        </w:rPr>
      </w:pPr>
    </w:p>
    <w:p w14:paraId="00B9BB69" w14:textId="77777777" w:rsidR="001A658F" w:rsidRPr="001A658F" w:rsidRDefault="001A658F" w:rsidP="001A658F">
      <w:pPr>
        <w:tabs>
          <w:tab w:val="left" w:pos="360"/>
          <w:tab w:val="num" w:pos="1920"/>
        </w:tabs>
        <w:jc w:val="both"/>
        <w:rPr>
          <w:rFonts w:ascii="Times New Roman" w:eastAsia="Times New Roman" w:hAnsi="Times New Roman"/>
          <w:sz w:val="24"/>
          <w:szCs w:val="24"/>
          <w:lang w:eastAsia="ru-RU"/>
        </w:rPr>
      </w:pPr>
      <w:r w:rsidRPr="001A658F">
        <w:rPr>
          <w:rFonts w:ascii="Times New Roman" w:eastAsia="Times New Roman" w:hAnsi="Times New Roman"/>
          <w:sz w:val="24"/>
          <w:szCs w:val="24"/>
          <w:lang w:eastAsia="ru-RU"/>
        </w:rPr>
        <w:tab/>
        <w:t>С 1 ноября 2015 года вступили в силу изменения в нормативные документы Банка России, регулирующие деятельность центрального контрагента, в соот</w:t>
      </w:r>
      <w:r w:rsidRPr="001A658F">
        <w:rPr>
          <w:rFonts w:ascii="Times New Roman" w:eastAsia="Times New Roman" w:hAnsi="Times New Roman"/>
          <w:sz w:val="24"/>
          <w:szCs w:val="24"/>
          <w:lang w:eastAsia="ru-RU"/>
        </w:rPr>
        <w:lastRenderedPageBreak/>
        <w:t xml:space="preserve">ветствии с которыми центральный контрагент обязан обособить часть собственных средств (капитала) для покрытия возможных потерь, как вызванных неисполнением участниками клиринга своих обязательств, так и не связанных с неисполнением обязательств участниками клиринга. </w:t>
      </w:r>
    </w:p>
    <w:p w14:paraId="434D5A4D" w14:textId="77777777" w:rsidR="005E7F8F" w:rsidRDefault="001A658F" w:rsidP="001A658F">
      <w:pPr>
        <w:tabs>
          <w:tab w:val="left" w:pos="360"/>
          <w:tab w:val="num" w:pos="1920"/>
        </w:tabs>
        <w:jc w:val="both"/>
        <w:rPr>
          <w:rFonts w:ascii="Times New Roman" w:eastAsia="Times New Roman" w:hAnsi="Times New Roman"/>
          <w:sz w:val="24"/>
          <w:szCs w:val="24"/>
          <w:lang w:eastAsia="ru-RU"/>
        </w:rPr>
      </w:pPr>
      <w:r w:rsidRPr="001A658F">
        <w:rPr>
          <w:rFonts w:ascii="Times New Roman" w:eastAsia="Times New Roman" w:hAnsi="Times New Roman"/>
          <w:sz w:val="24"/>
          <w:szCs w:val="24"/>
          <w:lang w:eastAsia="ru-RU"/>
        </w:rPr>
        <w:tab/>
      </w:r>
    </w:p>
    <w:p w14:paraId="7057679C" w14:textId="1BE83376" w:rsidR="001A658F" w:rsidRPr="001A658F" w:rsidRDefault="005E7F8F" w:rsidP="001A658F">
      <w:pPr>
        <w:tabs>
          <w:tab w:val="left" w:pos="360"/>
          <w:tab w:val="num" w:pos="192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A658F" w:rsidRPr="001A658F">
        <w:rPr>
          <w:rFonts w:ascii="Times New Roman" w:eastAsia="Times New Roman" w:hAnsi="Times New Roman"/>
          <w:sz w:val="24"/>
          <w:szCs w:val="24"/>
          <w:lang w:eastAsia="ru-RU"/>
        </w:rPr>
        <w:t>Средства центрального контрагента, сформированные в соответствии с требованиями действующего законодательства, нормативными документами Банка России, предназначенные для покрытия потерь, отражаются обособленно на отдельных лицевых счетах по учету нераспределенной прибыли, и уменьшают собственные средства (капитал) НКЦ.</w:t>
      </w:r>
    </w:p>
    <w:p w14:paraId="642EBBEA" w14:textId="77777777" w:rsidR="001A658F" w:rsidRPr="001A658F" w:rsidRDefault="001A658F" w:rsidP="001A658F">
      <w:pPr>
        <w:tabs>
          <w:tab w:val="left" w:pos="360"/>
          <w:tab w:val="num" w:pos="1920"/>
        </w:tabs>
        <w:jc w:val="right"/>
        <w:rPr>
          <w:rFonts w:ascii="Times New Roman" w:eastAsia="Times New Roman" w:hAnsi="Times New Roman"/>
          <w:sz w:val="24"/>
          <w:szCs w:val="24"/>
          <w:lang w:eastAsia="ru-RU"/>
        </w:rPr>
      </w:pPr>
      <w:r w:rsidRPr="001A658F">
        <w:rPr>
          <w:rFonts w:ascii="Times New Roman" w:eastAsia="Times New Roman" w:hAnsi="Times New Roman"/>
          <w:sz w:val="24"/>
          <w:szCs w:val="24"/>
          <w:lang w:eastAsia="ru-RU"/>
        </w:rPr>
        <w:t>тыс. руб.</w:t>
      </w:r>
    </w:p>
    <w:tbl>
      <w:tblPr>
        <w:tblStyle w:val="af3"/>
        <w:tblW w:w="0" w:type="auto"/>
        <w:tblLook w:val="04A0" w:firstRow="1" w:lastRow="0" w:firstColumn="1" w:lastColumn="0" w:noHBand="0" w:noVBand="1"/>
      </w:tblPr>
      <w:tblGrid>
        <w:gridCol w:w="6091"/>
        <w:gridCol w:w="1559"/>
        <w:gridCol w:w="1695"/>
      </w:tblGrid>
      <w:tr w:rsidR="001A658F" w:rsidRPr="001A658F" w14:paraId="22AAADF2" w14:textId="77777777" w:rsidTr="0090529D">
        <w:tc>
          <w:tcPr>
            <w:tcW w:w="6091" w:type="dxa"/>
          </w:tcPr>
          <w:p w14:paraId="6FEBE921" w14:textId="77777777" w:rsidR="001A658F" w:rsidRPr="001A658F" w:rsidRDefault="001A658F" w:rsidP="001A658F">
            <w:pPr>
              <w:tabs>
                <w:tab w:val="left" w:pos="360"/>
                <w:tab w:val="num" w:pos="1920"/>
              </w:tabs>
              <w:jc w:val="center"/>
              <w:rPr>
                <w:rFonts w:ascii="Times New Roman" w:eastAsia="Times New Roman" w:hAnsi="Times New Roman"/>
                <w:b/>
                <w:sz w:val="24"/>
                <w:szCs w:val="24"/>
              </w:rPr>
            </w:pPr>
            <w:r w:rsidRPr="001A658F">
              <w:rPr>
                <w:rFonts w:ascii="Times New Roman" w:eastAsia="Times New Roman" w:hAnsi="Times New Roman"/>
                <w:b/>
                <w:sz w:val="24"/>
                <w:szCs w:val="24"/>
              </w:rPr>
              <w:t>Часть нераспределенной прибыли, предназначенной:</w:t>
            </w:r>
          </w:p>
        </w:tc>
        <w:tc>
          <w:tcPr>
            <w:tcW w:w="1559" w:type="dxa"/>
          </w:tcPr>
          <w:p w14:paraId="485B911F" w14:textId="77777777" w:rsidR="001A658F" w:rsidRPr="001A658F" w:rsidRDefault="001A658F" w:rsidP="001A658F">
            <w:pPr>
              <w:tabs>
                <w:tab w:val="left" w:pos="360"/>
                <w:tab w:val="num" w:pos="1920"/>
              </w:tabs>
              <w:jc w:val="center"/>
              <w:rPr>
                <w:rFonts w:ascii="Times New Roman" w:eastAsia="Times New Roman" w:hAnsi="Times New Roman"/>
                <w:b/>
                <w:sz w:val="24"/>
                <w:szCs w:val="24"/>
              </w:rPr>
            </w:pPr>
            <w:r w:rsidRPr="001A658F">
              <w:rPr>
                <w:rFonts w:ascii="Times New Roman" w:eastAsia="Times New Roman" w:hAnsi="Times New Roman"/>
                <w:b/>
                <w:sz w:val="24"/>
                <w:szCs w:val="24"/>
              </w:rPr>
              <w:t>2017</w:t>
            </w:r>
          </w:p>
        </w:tc>
        <w:tc>
          <w:tcPr>
            <w:tcW w:w="1695" w:type="dxa"/>
          </w:tcPr>
          <w:p w14:paraId="7BDB2F18" w14:textId="77777777" w:rsidR="001A658F" w:rsidRPr="001A658F" w:rsidRDefault="001A658F" w:rsidP="001A658F">
            <w:pPr>
              <w:tabs>
                <w:tab w:val="left" w:pos="360"/>
                <w:tab w:val="num" w:pos="1920"/>
              </w:tabs>
              <w:jc w:val="center"/>
              <w:rPr>
                <w:rFonts w:ascii="Times New Roman" w:eastAsia="Times New Roman" w:hAnsi="Times New Roman"/>
                <w:b/>
                <w:sz w:val="24"/>
                <w:szCs w:val="24"/>
              </w:rPr>
            </w:pPr>
            <w:r w:rsidRPr="001A658F">
              <w:rPr>
                <w:rFonts w:ascii="Times New Roman" w:eastAsia="Times New Roman" w:hAnsi="Times New Roman"/>
                <w:b/>
                <w:sz w:val="24"/>
                <w:szCs w:val="24"/>
              </w:rPr>
              <w:t>2016</w:t>
            </w:r>
          </w:p>
        </w:tc>
      </w:tr>
      <w:tr w:rsidR="001A658F" w:rsidRPr="001A658F" w14:paraId="3D679A3C" w14:textId="77777777" w:rsidTr="0090529D">
        <w:tc>
          <w:tcPr>
            <w:tcW w:w="6091" w:type="dxa"/>
            <w:shd w:val="clear" w:color="auto" w:fill="auto"/>
          </w:tcPr>
          <w:p w14:paraId="08DFEB11" w14:textId="77777777" w:rsidR="001A658F" w:rsidRPr="001A658F" w:rsidRDefault="001A658F" w:rsidP="001A658F">
            <w:pPr>
              <w:tabs>
                <w:tab w:val="left" w:pos="360"/>
                <w:tab w:val="num" w:pos="1920"/>
              </w:tabs>
              <w:rPr>
                <w:rFonts w:ascii="Times New Roman" w:eastAsia="Times New Roman" w:hAnsi="Times New Roman"/>
                <w:sz w:val="24"/>
                <w:szCs w:val="24"/>
              </w:rPr>
            </w:pPr>
            <w:r w:rsidRPr="001A658F">
              <w:rPr>
                <w:rFonts w:ascii="Times New Roman" w:eastAsia="Times New Roman" w:hAnsi="Times New Roman"/>
                <w:sz w:val="24"/>
                <w:szCs w:val="24"/>
              </w:rPr>
              <w:t>для покрытия возможных потерь, вызванных неисполнением участниками клиринга своих обязательств (средства, используемые центральным контрагентом до использования средств, внесенных добросовестными участниками клиринга в коллективное клиринговое обеспечение) - выделенный капитал центрального контрагента</w:t>
            </w:r>
          </w:p>
        </w:tc>
        <w:tc>
          <w:tcPr>
            <w:tcW w:w="1559" w:type="dxa"/>
            <w:shd w:val="clear" w:color="auto" w:fill="auto"/>
          </w:tcPr>
          <w:p w14:paraId="1149AFF7" w14:textId="77777777" w:rsidR="001A658F" w:rsidRPr="001A658F" w:rsidRDefault="001A658F" w:rsidP="001A658F">
            <w:pPr>
              <w:tabs>
                <w:tab w:val="left" w:pos="360"/>
                <w:tab w:val="num" w:pos="1920"/>
              </w:tabs>
              <w:jc w:val="right"/>
              <w:rPr>
                <w:rFonts w:ascii="Times New Roman" w:eastAsia="Times New Roman" w:hAnsi="Times New Roman"/>
                <w:sz w:val="24"/>
                <w:szCs w:val="24"/>
                <w:highlight w:val="yellow"/>
              </w:rPr>
            </w:pPr>
          </w:p>
          <w:p w14:paraId="52F04077" w14:textId="77777777" w:rsidR="001A658F" w:rsidRPr="001A658F" w:rsidRDefault="001A658F" w:rsidP="001A658F">
            <w:pPr>
              <w:tabs>
                <w:tab w:val="left" w:pos="360"/>
                <w:tab w:val="num" w:pos="1920"/>
              </w:tabs>
              <w:jc w:val="right"/>
              <w:rPr>
                <w:rFonts w:ascii="Times New Roman" w:eastAsia="Times New Roman" w:hAnsi="Times New Roman"/>
                <w:sz w:val="24"/>
                <w:szCs w:val="24"/>
                <w:highlight w:val="yellow"/>
              </w:rPr>
            </w:pPr>
          </w:p>
          <w:p w14:paraId="65E5F5BC" w14:textId="77777777" w:rsidR="001A658F" w:rsidRPr="001A658F" w:rsidRDefault="001A658F" w:rsidP="001A658F">
            <w:pPr>
              <w:tabs>
                <w:tab w:val="left" w:pos="360"/>
                <w:tab w:val="num" w:pos="1920"/>
              </w:tabs>
              <w:jc w:val="right"/>
              <w:rPr>
                <w:rFonts w:ascii="Times New Roman" w:eastAsia="Times New Roman" w:hAnsi="Times New Roman"/>
                <w:sz w:val="24"/>
                <w:szCs w:val="24"/>
                <w:highlight w:val="yellow"/>
              </w:rPr>
            </w:pPr>
            <w:r w:rsidRPr="001A658F">
              <w:rPr>
                <w:rFonts w:ascii="Times New Roman" w:eastAsia="Times New Roman" w:hAnsi="Times New Roman"/>
                <w:sz w:val="24"/>
                <w:szCs w:val="24"/>
              </w:rPr>
              <w:t>9 500 000</w:t>
            </w:r>
          </w:p>
        </w:tc>
        <w:tc>
          <w:tcPr>
            <w:tcW w:w="1695" w:type="dxa"/>
            <w:shd w:val="clear" w:color="auto" w:fill="auto"/>
          </w:tcPr>
          <w:p w14:paraId="42112BB3" w14:textId="77777777" w:rsidR="001A658F" w:rsidRPr="001A658F" w:rsidRDefault="001A658F" w:rsidP="001A658F">
            <w:pPr>
              <w:tabs>
                <w:tab w:val="left" w:pos="360"/>
                <w:tab w:val="num" w:pos="1920"/>
              </w:tabs>
              <w:jc w:val="right"/>
              <w:rPr>
                <w:rFonts w:ascii="Times New Roman" w:eastAsia="Times New Roman" w:hAnsi="Times New Roman"/>
                <w:sz w:val="24"/>
                <w:szCs w:val="24"/>
              </w:rPr>
            </w:pPr>
          </w:p>
          <w:p w14:paraId="27C65C47" w14:textId="77777777" w:rsidR="001A658F" w:rsidRPr="001A658F" w:rsidRDefault="001A658F" w:rsidP="001A658F">
            <w:pPr>
              <w:tabs>
                <w:tab w:val="left" w:pos="360"/>
                <w:tab w:val="num" w:pos="1920"/>
              </w:tabs>
              <w:jc w:val="right"/>
              <w:rPr>
                <w:rFonts w:ascii="Times New Roman" w:eastAsia="Times New Roman" w:hAnsi="Times New Roman"/>
                <w:sz w:val="24"/>
                <w:szCs w:val="24"/>
              </w:rPr>
            </w:pPr>
          </w:p>
          <w:p w14:paraId="7FCED8FF" w14:textId="77777777" w:rsidR="001A658F" w:rsidRPr="001A658F" w:rsidRDefault="001A658F" w:rsidP="001A658F">
            <w:pPr>
              <w:tabs>
                <w:tab w:val="left" w:pos="360"/>
                <w:tab w:val="num" w:pos="1920"/>
              </w:tabs>
              <w:jc w:val="right"/>
              <w:rPr>
                <w:rFonts w:ascii="Times New Roman" w:eastAsia="Times New Roman" w:hAnsi="Times New Roman"/>
                <w:sz w:val="24"/>
                <w:szCs w:val="24"/>
              </w:rPr>
            </w:pPr>
            <w:r w:rsidRPr="001A658F">
              <w:rPr>
                <w:rFonts w:ascii="Times New Roman" w:eastAsia="Times New Roman" w:hAnsi="Times New Roman"/>
                <w:sz w:val="24"/>
                <w:szCs w:val="24"/>
              </w:rPr>
              <w:t>9 500 000</w:t>
            </w:r>
          </w:p>
        </w:tc>
      </w:tr>
      <w:tr w:rsidR="001A658F" w:rsidRPr="001A658F" w14:paraId="1B0F1C32" w14:textId="77777777" w:rsidTr="0090529D">
        <w:tc>
          <w:tcPr>
            <w:tcW w:w="6091" w:type="dxa"/>
          </w:tcPr>
          <w:p w14:paraId="4A94C357" w14:textId="77777777" w:rsidR="001A658F" w:rsidRPr="001A658F" w:rsidRDefault="001A658F" w:rsidP="001A658F">
            <w:pPr>
              <w:tabs>
                <w:tab w:val="left" w:pos="360"/>
                <w:tab w:val="num" w:pos="1920"/>
              </w:tabs>
              <w:rPr>
                <w:rFonts w:ascii="Times New Roman" w:eastAsia="Times New Roman" w:hAnsi="Times New Roman"/>
                <w:sz w:val="24"/>
                <w:szCs w:val="24"/>
              </w:rPr>
            </w:pPr>
            <w:r w:rsidRPr="001A658F">
              <w:rPr>
                <w:rFonts w:ascii="Times New Roman" w:eastAsia="Times New Roman" w:hAnsi="Times New Roman"/>
                <w:sz w:val="24"/>
                <w:szCs w:val="24"/>
              </w:rPr>
              <w:t>для обеспечения прекращения или реструктуризации деятельности центрального контрагента</w:t>
            </w:r>
          </w:p>
          <w:p w14:paraId="4816CEC0" w14:textId="77777777" w:rsidR="001A658F" w:rsidRPr="001A658F" w:rsidRDefault="001A658F" w:rsidP="001A658F">
            <w:pPr>
              <w:tabs>
                <w:tab w:val="left" w:pos="360"/>
                <w:tab w:val="num" w:pos="1920"/>
              </w:tabs>
              <w:rPr>
                <w:rFonts w:ascii="Times New Roman" w:eastAsia="Times New Roman" w:hAnsi="Times New Roman"/>
                <w:sz w:val="24"/>
                <w:szCs w:val="24"/>
              </w:rPr>
            </w:pPr>
          </w:p>
        </w:tc>
        <w:tc>
          <w:tcPr>
            <w:tcW w:w="1559" w:type="dxa"/>
          </w:tcPr>
          <w:p w14:paraId="2E06760A" w14:textId="77777777" w:rsidR="001A658F" w:rsidRPr="001A658F" w:rsidRDefault="001A658F" w:rsidP="001A658F">
            <w:pPr>
              <w:tabs>
                <w:tab w:val="left" w:pos="360"/>
                <w:tab w:val="num" w:pos="1920"/>
              </w:tabs>
              <w:jc w:val="right"/>
              <w:rPr>
                <w:rFonts w:ascii="Times New Roman" w:eastAsia="Times New Roman" w:hAnsi="Times New Roman"/>
                <w:sz w:val="24"/>
                <w:szCs w:val="24"/>
              </w:rPr>
            </w:pPr>
          </w:p>
          <w:p w14:paraId="48EB32C0" w14:textId="77777777" w:rsidR="001A658F" w:rsidRPr="001A658F" w:rsidRDefault="001A658F" w:rsidP="001A658F">
            <w:pPr>
              <w:tabs>
                <w:tab w:val="left" w:pos="360"/>
                <w:tab w:val="num" w:pos="1920"/>
              </w:tabs>
              <w:jc w:val="right"/>
              <w:rPr>
                <w:rFonts w:ascii="Times New Roman" w:eastAsia="Times New Roman" w:hAnsi="Times New Roman"/>
                <w:sz w:val="24"/>
                <w:szCs w:val="24"/>
              </w:rPr>
            </w:pPr>
            <w:r w:rsidRPr="001A658F">
              <w:rPr>
                <w:rFonts w:ascii="Times New Roman" w:eastAsia="Times New Roman" w:hAnsi="Times New Roman"/>
                <w:sz w:val="24"/>
                <w:szCs w:val="24"/>
              </w:rPr>
              <w:t>599 109</w:t>
            </w:r>
          </w:p>
        </w:tc>
        <w:tc>
          <w:tcPr>
            <w:tcW w:w="1695" w:type="dxa"/>
          </w:tcPr>
          <w:p w14:paraId="0206D6C8" w14:textId="77777777" w:rsidR="001A658F" w:rsidRPr="001A658F" w:rsidRDefault="001A658F" w:rsidP="001A658F">
            <w:pPr>
              <w:tabs>
                <w:tab w:val="left" w:pos="360"/>
                <w:tab w:val="num" w:pos="1920"/>
              </w:tabs>
              <w:jc w:val="right"/>
              <w:rPr>
                <w:rFonts w:ascii="Times New Roman" w:eastAsia="Times New Roman" w:hAnsi="Times New Roman"/>
                <w:sz w:val="24"/>
                <w:szCs w:val="24"/>
              </w:rPr>
            </w:pPr>
          </w:p>
          <w:p w14:paraId="5B6A60C4" w14:textId="77777777" w:rsidR="001A658F" w:rsidRPr="001A658F" w:rsidRDefault="001A658F" w:rsidP="001A658F">
            <w:pPr>
              <w:tabs>
                <w:tab w:val="left" w:pos="360"/>
                <w:tab w:val="num" w:pos="1920"/>
              </w:tabs>
              <w:jc w:val="right"/>
              <w:rPr>
                <w:rFonts w:ascii="Times New Roman" w:eastAsia="Times New Roman" w:hAnsi="Times New Roman"/>
                <w:sz w:val="24"/>
                <w:szCs w:val="24"/>
              </w:rPr>
            </w:pPr>
            <w:r w:rsidRPr="001A658F">
              <w:rPr>
                <w:rFonts w:ascii="Times New Roman" w:eastAsia="Times New Roman" w:hAnsi="Times New Roman"/>
                <w:sz w:val="24"/>
                <w:szCs w:val="24"/>
              </w:rPr>
              <w:t>593 310</w:t>
            </w:r>
          </w:p>
        </w:tc>
      </w:tr>
      <w:tr w:rsidR="001A658F" w:rsidRPr="001A658F" w14:paraId="3C87DF3F" w14:textId="77777777" w:rsidTr="0090529D">
        <w:tc>
          <w:tcPr>
            <w:tcW w:w="6091" w:type="dxa"/>
          </w:tcPr>
          <w:p w14:paraId="2DB95E3E" w14:textId="77777777" w:rsidR="001A658F" w:rsidRPr="001A658F" w:rsidRDefault="001A658F" w:rsidP="001A658F">
            <w:pPr>
              <w:tabs>
                <w:tab w:val="left" w:pos="360"/>
                <w:tab w:val="num" w:pos="1920"/>
              </w:tabs>
              <w:rPr>
                <w:rFonts w:ascii="Times New Roman" w:eastAsia="Times New Roman" w:hAnsi="Times New Roman"/>
                <w:sz w:val="24"/>
                <w:szCs w:val="24"/>
              </w:rPr>
            </w:pPr>
            <w:r w:rsidRPr="001A658F">
              <w:rPr>
                <w:rFonts w:ascii="Times New Roman" w:eastAsia="Times New Roman" w:hAnsi="Times New Roman"/>
                <w:sz w:val="24"/>
                <w:szCs w:val="24"/>
              </w:rPr>
              <w:t>для покрытия возможных потерь в результате ухудшения финансового положения центрального контрагента вследствие уменьшения его доходов или увеличения расходов, не связанных с неисполнением обязательств участниками клиринга</w:t>
            </w:r>
          </w:p>
        </w:tc>
        <w:tc>
          <w:tcPr>
            <w:tcW w:w="1559" w:type="dxa"/>
          </w:tcPr>
          <w:p w14:paraId="3B612D37" w14:textId="77777777" w:rsidR="001A658F" w:rsidRPr="001A658F" w:rsidRDefault="001A658F" w:rsidP="001A658F">
            <w:pPr>
              <w:tabs>
                <w:tab w:val="left" w:pos="360"/>
                <w:tab w:val="num" w:pos="1920"/>
              </w:tabs>
              <w:jc w:val="right"/>
              <w:rPr>
                <w:rFonts w:ascii="Times New Roman" w:eastAsia="Times New Roman" w:hAnsi="Times New Roman"/>
                <w:sz w:val="24"/>
                <w:szCs w:val="24"/>
              </w:rPr>
            </w:pPr>
          </w:p>
          <w:p w14:paraId="1A1075C4" w14:textId="77777777" w:rsidR="001A658F" w:rsidRPr="001A658F" w:rsidRDefault="001A658F" w:rsidP="001A658F">
            <w:pPr>
              <w:tabs>
                <w:tab w:val="left" w:pos="360"/>
                <w:tab w:val="num" w:pos="1920"/>
              </w:tabs>
              <w:jc w:val="right"/>
              <w:rPr>
                <w:rFonts w:ascii="Times New Roman" w:eastAsia="Times New Roman" w:hAnsi="Times New Roman"/>
                <w:sz w:val="24"/>
                <w:szCs w:val="24"/>
              </w:rPr>
            </w:pPr>
          </w:p>
          <w:p w14:paraId="0482B16E" w14:textId="77777777" w:rsidR="001A658F" w:rsidRPr="001A658F" w:rsidRDefault="001A658F" w:rsidP="001A658F">
            <w:pPr>
              <w:tabs>
                <w:tab w:val="left" w:pos="360"/>
                <w:tab w:val="num" w:pos="1920"/>
              </w:tabs>
              <w:jc w:val="right"/>
              <w:rPr>
                <w:rFonts w:ascii="Times New Roman" w:eastAsia="Times New Roman" w:hAnsi="Times New Roman"/>
                <w:sz w:val="24"/>
                <w:szCs w:val="24"/>
              </w:rPr>
            </w:pPr>
            <w:r w:rsidRPr="001A658F">
              <w:rPr>
                <w:rFonts w:ascii="Times New Roman" w:eastAsia="Times New Roman" w:hAnsi="Times New Roman"/>
                <w:sz w:val="24"/>
                <w:szCs w:val="24"/>
              </w:rPr>
              <w:t>299 555</w:t>
            </w:r>
          </w:p>
        </w:tc>
        <w:tc>
          <w:tcPr>
            <w:tcW w:w="1695" w:type="dxa"/>
          </w:tcPr>
          <w:p w14:paraId="24DD788B" w14:textId="77777777" w:rsidR="001A658F" w:rsidRPr="001A658F" w:rsidRDefault="001A658F" w:rsidP="001A658F">
            <w:pPr>
              <w:tabs>
                <w:tab w:val="left" w:pos="360"/>
                <w:tab w:val="num" w:pos="1920"/>
              </w:tabs>
              <w:jc w:val="right"/>
              <w:rPr>
                <w:rFonts w:ascii="Times New Roman" w:eastAsia="Times New Roman" w:hAnsi="Times New Roman"/>
                <w:sz w:val="24"/>
                <w:szCs w:val="24"/>
              </w:rPr>
            </w:pPr>
          </w:p>
          <w:p w14:paraId="5F662D15" w14:textId="77777777" w:rsidR="001A658F" w:rsidRPr="001A658F" w:rsidRDefault="001A658F" w:rsidP="001A658F">
            <w:pPr>
              <w:tabs>
                <w:tab w:val="left" w:pos="360"/>
                <w:tab w:val="num" w:pos="1920"/>
              </w:tabs>
              <w:jc w:val="right"/>
              <w:rPr>
                <w:rFonts w:ascii="Times New Roman" w:eastAsia="Times New Roman" w:hAnsi="Times New Roman"/>
                <w:sz w:val="24"/>
                <w:szCs w:val="24"/>
              </w:rPr>
            </w:pPr>
          </w:p>
          <w:p w14:paraId="6DDC6E7F" w14:textId="77777777" w:rsidR="001A658F" w:rsidRPr="001A658F" w:rsidRDefault="001A658F" w:rsidP="001A658F">
            <w:pPr>
              <w:tabs>
                <w:tab w:val="left" w:pos="360"/>
                <w:tab w:val="num" w:pos="1920"/>
              </w:tabs>
              <w:jc w:val="right"/>
              <w:rPr>
                <w:rFonts w:ascii="Times New Roman" w:eastAsia="Times New Roman" w:hAnsi="Times New Roman"/>
                <w:sz w:val="24"/>
                <w:szCs w:val="24"/>
              </w:rPr>
            </w:pPr>
            <w:r w:rsidRPr="001A658F">
              <w:rPr>
                <w:rFonts w:ascii="Times New Roman" w:eastAsia="Times New Roman" w:hAnsi="Times New Roman"/>
                <w:sz w:val="24"/>
                <w:szCs w:val="24"/>
              </w:rPr>
              <w:t>296 655</w:t>
            </w:r>
          </w:p>
        </w:tc>
      </w:tr>
    </w:tbl>
    <w:p w14:paraId="438C36F3" w14:textId="77777777" w:rsidR="001A658F" w:rsidRPr="001A658F" w:rsidRDefault="001A658F" w:rsidP="001A658F">
      <w:pPr>
        <w:tabs>
          <w:tab w:val="left" w:pos="360"/>
          <w:tab w:val="num" w:pos="1920"/>
        </w:tabs>
        <w:jc w:val="both"/>
        <w:rPr>
          <w:rFonts w:ascii="Times New Roman" w:eastAsia="Times New Roman" w:hAnsi="Times New Roman"/>
          <w:sz w:val="24"/>
          <w:szCs w:val="24"/>
          <w:lang w:eastAsia="ru-RU"/>
        </w:rPr>
      </w:pPr>
    </w:p>
    <w:p w14:paraId="7524D18E" w14:textId="77777777" w:rsidR="001A658F" w:rsidRPr="001A658F" w:rsidRDefault="001A658F" w:rsidP="001A658F">
      <w:pPr>
        <w:spacing w:after="200" w:line="276" w:lineRule="auto"/>
        <w:rPr>
          <w:rFonts w:asciiTheme="minorHAnsi" w:hAnsiTheme="minorHAnsi" w:cstheme="minorBidi"/>
        </w:rPr>
      </w:pPr>
    </w:p>
    <w:p w14:paraId="5CEFFF79" w14:textId="77777777" w:rsidR="001A658F" w:rsidRPr="00C8788A" w:rsidRDefault="001A658F" w:rsidP="00022875">
      <w:pPr>
        <w:autoSpaceDN w:val="0"/>
        <w:ind w:firstLine="360"/>
        <w:jc w:val="both"/>
        <w:rPr>
          <w:rFonts w:ascii="Times New Roman" w:hAnsi="Times New Roman"/>
          <w:sz w:val="24"/>
          <w:szCs w:val="24"/>
        </w:rPr>
      </w:pPr>
    </w:p>
    <w:p w14:paraId="10F091E6" w14:textId="77777777" w:rsidR="00022875" w:rsidRDefault="00022875" w:rsidP="00D33150">
      <w:pPr>
        <w:spacing w:before="120"/>
        <w:ind w:firstLine="567"/>
        <w:jc w:val="both"/>
        <w:rPr>
          <w:rFonts w:ascii="Times New Roman" w:eastAsia="Times New Roman" w:hAnsi="Times New Roman"/>
          <w:color w:val="000000"/>
          <w:sz w:val="24"/>
          <w:szCs w:val="24"/>
          <w:lang w:eastAsia="ru-RU"/>
        </w:rPr>
      </w:pPr>
    </w:p>
    <w:p w14:paraId="7819CCCA" w14:textId="4604E945" w:rsidR="00B16348" w:rsidRPr="003221B6" w:rsidRDefault="007160B5" w:rsidP="007160B5">
      <w:pPr>
        <w:widowControl w:val="0"/>
        <w:overflowPunct w:val="0"/>
        <w:autoSpaceDE w:val="0"/>
        <w:autoSpaceDN w:val="0"/>
        <w:adjustRightInd w:val="0"/>
        <w:ind w:firstLine="360"/>
        <w:jc w:val="center"/>
        <w:textAlignment w:val="baseline"/>
        <w:outlineLvl w:val="0"/>
        <w:rPr>
          <w:rFonts w:ascii="Times New Roman" w:eastAsia="Times New Roman" w:hAnsi="Times New Roman" w:cs="Arial"/>
          <w:b/>
          <w:sz w:val="32"/>
          <w:szCs w:val="32"/>
          <w:lang w:eastAsia="ru-RU"/>
        </w:rPr>
      </w:pPr>
      <w:bookmarkStart w:id="53" w:name="_Toc510776684"/>
      <w:r w:rsidRPr="003221B6">
        <w:rPr>
          <w:rFonts w:ascii="Times New Roman" w:eastAsia="Times New Roman" w:hAnsi="Times New Roman" w:cs="Arial"/>
          <w:b/>
          <w:sz w:val="32"/>
          <w:szCs w:val="32"/>
          <w:lang w:eastAsia="ru-RU"/>
        </w:rPr>
        <w:t>11.</w:t>
      </w:r>
      <w:r w:rsidR="00B16348" w:rsidRPr="003221B6">
        <w:rPr>
          <w:rFonts w:ascii="Times New Roman" w:eastAsia="Times New Roman" w:hAnsi="Times New Roman" w:cs="Arial"/>
          <w:b/>
          <w:sz w:val="32"/>
          <w:szCs w:val="32"/>
          <w:lang w:eastAsia="ru-RU"/>
        </w:rPr>
        <w:t>Состав Наблюдательного совета и сведения о его членах</w:t>
      </w:r>
      <w:bookmarkEnd w:id="53"/>
    </w:p>
    <w:p w14:paraId="10D24FFB" w14:textId="77777777" w:rsidR="00B16348" w:rsidRPr="00B16348" w:rsidRDefault="00B16348" w:rsidP="00B16348">
      <w:pPr>
        <w:tabs>
          <w:tab w:val="left" w:pos="8820"/>
        </w:tabs>
        <w:ind w:left="1060" w:right="76"/>
        <w:contextualSpacing/>
        <w:rPr>
          <w:rFonts w:ascii="Times New Roman" w:hAnsi="Times New Roman"/>
          <w:b/>
          <w:sz w:val="24"/>
          <w:szCs w:val="24"/>
        </w:rPr>
      </w:pPr>
    </w:p>
    <w:p w14:paraId="6F53078E" w14:textId="77777777" w:rsidR="00B16348" w:rsidRPr="00B16348" w:rsidRDefault="00B16348" w:rsidP="00B16348">
      <w:pPr>
        <w:tabs>
          <w:tab w:val="left" w:pos="0"/>
        </w:tabs>
        <w:spacing w:after="120"/>
        <w:ind w:firstLine="567"/>
        <w:jc w:val="both"/>
        <w:rPr>
          <w:rFonts w:ascii="Times New Roman" w:hAnsi="Times New Roman"/>
          <w:i/>
          <w:sz w:val="24"/>
          <w:szCs w:val="24"/>
        </w:rPr>
      </w:pPr>
      <w:r w:rsidRPr="00B16348">
        <w:rPr>
          <w:rFonts w:ascii="Times New Roman" w:hAnsi="Times New Roman"/>
          <w:i/>
          <w:sz w:val="24"/>
          <w:szCs w:val="24"/>
        </w:rPr>
        <w:t xml:space="preserve">13 мая 2016 года ПАО Московская Биржа как единственным акционером в рамках рассмотрения вопросов, отнесенных к компетенции Общего собрания акционеров, было принято решение об избрании Наблюдательного совета </w:t>
      </w:r>
      <w:r w:rsidRPr="00B16348">
        <w:rPr>
          <w:rFonts w:ascii="Times New Roman" w:hAnsi="Times New Roman"/>
          <w:bCs/>
          <w:i/>
          <w:sz w:val="24"/>
          <w:szCs w:val="24"/>
        </w:rPr>
        <w:t>Общества</w:t>
      </w:r>
      <w:r w:rsidRPr="00B16348">
        <w:rPr>
          <w:rFonts w:ascii="Times New Roman" w:hAnsi="Times New Roman"/>
          <w:i/>
          <w:sz w:val="24"/>
          <w:szCs w:val="24"/>
        </w:rPr>
        <w:t xml:space="preserve"> на срок до годового Общего собрания акционеров в 2017 году в следующем составе: </w:t>
      </w:r>
    </w:p>
    <w:p w14:paraId="5F55B557" w14:textId="77777777" w:rsidR="00B16348" w:rsidRPr="00B16348" w:rsidRDefault="00B16348" w:rsidP="00B16348">
      <w:pPr>
        <w:widowControl w:val="0"/>
        <w:numPr>
          <w:ilvl w:val="0"/>
          <w:numId w:val="31"/>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Афанасьев Александр Константинович,</w:t>
      </w:r>
    </w:p>
    <w:p w14:paraId="761AB407" w14:textId="77777777" w:rsidR="00B16348" w:rsidRPr="00B16348" w:rsidRDefault="00B16348" w:rsidP="00B16348">
      <w:pPr>
        <w:widowControl w:val="0"/>
        <w:numPr>
          <w:ilvl w:val="0"/>
          <w:numId w:val="31"/>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Голутвин Игорь Андреевич,</w:t>
      </w:r>
    </w:p>
    <w:p w14:paraId="7979602F" w14:textId="77777777" w:rsidR="00B16348" w:rsidRPr="00B16348" w:rsidRDefault="00B16348" w:rsidP="00B16348">
      <w:pPr>
        <w:widowControl w:val="0"/>
        <w:numPr>
          <w:ilvl w:val="0"/>
          <w:numId w:val="31"/>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Голиков Андрей Федорович,</w:t>
      </w:r>
    </w:p>
    <w:p w14:paraId="406BDDCA" w14:textId="77777777" w:rsidR="00B16348" w:rsidRPr="00B16348" w:rsidRDefault="00B16348" w:rsidP="00B16348">
      <w:pPr>
        <w:widowControl w:val="0"/>
        <w:numPr>
          <w:ilvl w:val="0"/>
          <w:numId w:val="31"/>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Денисов Юрий Олегович,</w:t>
      </w:r>
    </w:p>
    <w:p w14:paraId="05286BD3" w14:textId="77777777" w:rsidR="00B16348" w:rsidRPr="00B16348" w:rsidRDefault="00B16348" w:rsidP="00B16348">
      <w:pPr>
        <w:widowControl w:val="0"/>
        <w:numPr>
          <w:ilvl w:val="0"/>
          <w:numId w:val="31"/>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Лыков Сергей Петрович,</w:t>
      </w:r>
    </w:p>
    <w:p w14:paraId="7ABD1E2B" w14:textId="77777777" w:rsidR="00B16348" w:rsidRPr="00B16348" w:rsidRDefault="00B16348" w:rsidP="00B16348">
      <w:pPr>
        <w:widowControl w:val="0"/>
        <w:numPr>
          <w:ilvl w:val="0"/>
          <w:numId w:val="31"/>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Монин Сергей Александрович,</w:t>
      </w:r>
    </w:p>
    <w:p w14:paraId="443B5161" w14:textId="77777777" w:rsidR="00B16348" w:rsidRPr="00B16348" w:rsidRDefault="00B16348" w:rsidP="00B16348">
      <w:pPr>
        <w:widowControl w:val="0"/>
        <w:numPr>
          <w:ilvl w:val="0"/>
          <w:numId w:val="31"/>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Предтеченский Анатолий Николаевич,</w:t>
      </w:r>
    </w:p>
    <w:p w14:paraId="32ADD686" w14:textId="77777777" w:rsidR="00B16348" w:rsidRPr="00B16348" w:rsidRDefault="00B16348" w:rsidP="00B16348">
      <w:pPr>
        <w:widowControl w:val="0"/>
        <w:numPr>
          <w:ilvl w:val="0"/>
          <w:numId w:val="31"/>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Смирнов Сергей Николаевич,</w:t>
      </w:r>
    </w:p>
    <w:p w14:paraId="520B95D1" w14:textId="77777777" w:rsidR="00B16348" w:rsidRPr="00B16348" w:rsidRDefault="00B16348" w:rsidP="00B16348">
      <w:pPr>
        <w:widowControl w:val="0"/>
        <w:numPr>
          <w:ilvl w:val="0"/>
          <w:numId w:val="31"/>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Хавин Алексей Сергеевич.</w:t>
      </w:r>
    </w:p>
    <w:p w14:paraId="217F432D" w14:textId="77777777" w:rsidR="00B16348" w:rsidRPr="00B16348" w:rsidRDefault="00B16348" w:rsidP="00B16348">
      <w:pPr>
        <w:tabs>
          <w:tab w:val="left" w:pos="0"/>
        </w:tabs>
        <w:spacing w:after="120"/>
        <w:ind w:left="1068"/>
        <w:contextualSpacing/>
        <w:jc w:val="both"/>
        <w:rPr>
          <w:rFonts w:ascii="Times New Roman" w:hAnsi="Times New Roman"/>
          <w:sz w:val="24"/>
          <w:szCs w:val="24"/>
        </w:rPr>
      </w:pPr>
    </w:p>
    <w:p w14:paraId="2A40DD6E" w14:textId="77777777" w:rsidR="00B16348" w:rsidRPr="00B16348" w:rsidRDefault="00B16348" w:rsidP="00B16348">
      <w:pPr>
        <w:tabs>
          <w:tab w:val="left" w:pos="0"/>
        </w:tabs>
        <w:spacing w:after="120"/>
        <w:ind w:firstLine="567"/>
        <w:jc w:val="both"/>
        <w:rPr>
          <w:rFonts w:ascii="Times New Roman" w:hAnsi="Times New Roman"/>
          <w:i/>
          <w:sz w:val="24"/>
          <w:szCs w:val="24"/>
        </w:rPr>
      </w:pPr>
      <w:r w:rsidRPr="00B16348">
        <w:rPr>
          <w:rFonts w:ascii="Times New Roman" w:hAnsi="Times New Roman"/>
          <w:i/>
          <w:sz w:val="24"/>
          <w:szCs w:val="24"/>
        </w:rPr>
        <w:t xml:space="preserve">23 июня 2017 года ПАО Московская Биржа как единственным акционером в рамках рассмотрения вопросов, отнесенных к компетенции Общего собрания акционеров, было принято решение об избрании Наблюдательного совета </w:t>
      </w:r>
      <w:r w:rsidRPr="00B16348">
        <w:rPr>
          <w:rFonts w:ascii="Times New Roman" w:hAnsi="Times New Roman"/>
          <w:bCs/>
          <w:i/>
          <w:sz w:val="24"/>
          <w:szCs w:val="24"/>
        </w:rPr>
        <w:t>Общества</w:t>
      </w:r>
      <w:r w:rsidRPr="00B16348">
        <w:rPr>
          <w:rFonts w:ascii="Times New Roman" w:hAnsi="Times New Roman"/>
          <w:i/>
          <w:sz w:val="24"/>
          <w:szCs w:val="24"/>
        </w:rPr>
        <w:t xml:space="preserve"> на срок до годового Общего собрания акционеров в 2018 году в следующем составе: </w:t>
      </w:r>
    </w:p>
    <w:p w14:paraId="157B94C3" w14:textId="77777777" w:rsidR="00B16348" w:rsidRPr="00B16348" w:rsidRDefault="00B16348" w:rsidP="00B16348">
      <w:pPr>
        <w:widowControl w:val="0"/>
        <w:numPr>
          <w:ilvl w:val="0"/>
          <w:numId w:val="33"/>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Афанасьев Александр Константинович,</w:t>
      </w:r>
    </w:p>
    <w:p w14:paraId="4106C179" w14:textId="77777777" w:rsidR="00B16348" w:rsidRPr="00B16348" w:rsidRDefault="00B16348" w:rsidP="00B16348">
      <w:pPr>
        <w:widowControl w:val="0"/>
        <w:numPr>
          <w:ilvl w:val="0"/>
          <w:numId w:val="33"/>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lastRenderedPageBreak/>
        <w:t>Голутвин Игорь Андреевич,</w:t>
      </w:r>
    </w:p>
    <w:p w14:paraId="3B39277C" w14:textId="77777777" w:rsidR="00B16348" w:rsidRPr="00B16348" w:rsidRDefault="00B16348" w:rsidP="00B16348">
      <w:pPr>
        <w:widowControl w:val="0"/>
        <w:numPr>
          <w:ilvl w:val="0"/>
          <w:numId w:val="33"/>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Голиков Андрей Федорович,</w:t>
      </w:r>
    </w:p>
    <w:p w14:paraId="1AAC8270" w14:textId="77777777" w:rsidR="00B16348" w:rsidRPr="00B16348" w:rsidRDefault="00B16348" w:rsidP="00B16348">
      <w:pPr>
        <w:widowControl w:val="0"/>
        <w:numPr>
          <w:ilvl w:val="0"/>
          <w:numId w:val="33"/>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Денисов Юрий Олегович,</w:t>
      </w:r>
    </w:p>
    <w:p w14:paraId="6714B39D" w14:textId="77777777" w:rsidR="00B16348" w:rsidRPr="00B16348" w:rsidRDefault="00B16348" w:rsidP="00B16348">
      <w:pPr>
        <w:widowControl w:val="0"/>
        <w:numPr>
          <w:ilvl w:val="0"/>
          <w:numId w:val="33"/>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Лыков Сергей Петрович,</w:t>
      </w:r>
    </w:p>
    <w:p w14:paraId="203B7F54" w14:textId="77777777" w:rsidR="00B16348" w:rsidRPr="00B16348" w:rsidRDefault="00B16348" w:rsidP="00B16348">
      <w:pPr>
        <w:widowControl w:val="0"/>
        <w:numPr>
          <w:ilvl w:val="0"/>
          <w:numId w:val="33"/>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Монин Сергей Александрович,</w:t>
      </w:r>
    </w:p>
    <w:p w14:paraId="25908592" w14:textId="77777777" w:rsidR="00B16348" w:rsidRPr="00B16348" w:rsidRDefault="00B16348" w:rsidP="00B16348">
      <w:pPr>
        <w:widowControl w:val="0"/>
        <w:numPr>
          <w:ilvl w:val="0"/>
          <w:numId w:val="33"/>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Предтеченский Анатолий Николаевич,</w:t>
      </w:r>
    </w:p>
    <w:p w14:paraId="3460F387" w14:textId="77777777" w:rsidR="00B16348" w:rsidRPr="00B16348" w:rsidRDefault="00B16348" w:rsidP="00B16348">
      <w:pPr>
        <w:widowControl w:val="0"/>
        <w:numPr>
          <w:ilvl w:val="0"/>
          <w:numId w:val="33"/>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Смирнов Сергей Николаевич,</w:t>
      </w:r>
    </w:p>
    <w:p w14:paraId="066B5272" w14:textId="77777777" w:rsidR="00B16348" w:rsidRPr="00B16348" w:rsidRDefault="00B16348" w:rsidP="00B16348">
      <w:pPr>
        <w:widowControl w:val="0"/>
        <w:numPr>
          <w:ilvl w:val="0"/>
          <w:numId w:val="33"/>
        </w:numPr>
        <w:tabs>
          <w:tab w:val="left" w:pos="0"/>
        </w:tabs>
        <w:overflowPunct w:val="0"/>
        <w:autoSpaceDE w:val="0"/>
        <w:autoSpaceDN w:val="0"/>
        <w:adjustRightInd w:val="0"/>
        <w:spacing w:after="120"/>
        <w:contextualSpacing/>
        <w:jc w:val="both"/>
        <w:textAlignment w:val="baseline"/>
        <w:rPr>
          <w:rFonts w:ascii="Times New Roman" w:hAnsi="Times New Roman"/>
          <w:sz w:val="24"/>
          <w:szCs w:val="24"/>
        </w:rPr>
      </w:pPr>
      <w:r w:rsidRPr="00B16348">
        <w:rPr>
          <w:rFonts w:ascii="Times New Roman" w:hAnsi="Times New Roman"/>
          <w:sz w:val="24"/>
          <w:szCs w:val="24"/>
        </w:rPr>
        <w:t>Хавин Алексей Сергеевич.</w:t>
      </w:r>
    </w:p>
    <w:p w14:paraId="5E468F11" w14:textId="77777777" w:rsidR="00B16348" w:rsidRPr="00B16348" w:rsidRDefault="00B16348" w:rsidP="00B16348">
      <w:pPr>
        <w:tabs>
          <w:tab w:val="left" w:pos="0"/>
        </w:tabs>
        <w:spacing w:after="120"/>
        <w:ind w:left="1068"/>
        <w:contextualSpacing/>
        <w:jc w:val="both"/>
        <w:rPr>
          <w:rFonts w:ascii="Times New Roman" w:hAnsi="Times New Roman"/>
          <w:sz w:val="24"/>
          <w:szCs w:val="24"/>
        </w:rPr>
      </w:pPr>
    </w:p>
    <w:p w14:paraId="53EB6D18" w14:textId="77777777" w:rsidR="00B16348" w:rsidRPr="00B16348" w:rsidRDefault="00B16348" w:rsidP="00B16348">
      <w:pPr>
        <w:tabs>
          <w:tab w:val="left" w:pos="0"/>
        </w:tabs>
        <w:spacing w:after="120"/>
        <w:jc w:val="both"/>
        <w:rPr>
          <w:rFonts w:ascii="Times New Roman" w:hAnsi="Times New Roman"/>
          <w:sz w:val="24"/>
          <w:szCs w:val="24"/>
        </w:rPr>
      </w:pPr>
      <w:r w:rsidRPr="00B16348">
        <w:rPr>
          <w:rFonts w:ascii="Times New Roman" w:hAnsi="Times New Roman"/>
          <w:sz w:val="24"/>
          <w:szCs w:val="24"/>
        </w:rPr>
        <w:tab/>
        <w:t>Таким образом</w:t>
      </w:r>
      <w:r w:rsidR="007E57BF">
        <w:rPr>
          <w:rFonts w:ascii="Times New Roman" w:hAnsi="Times New Roman"/>
          <w:sz w:val="24"/>
          <w:szCs w:val="24"/>
        </w:rPr>
        <w:t>,</w:t>
      </w:r>
      <w:r w:rsidRPr="00B16348">
        <w:rPr>
          <w:rFonts w:ascii="Times New Roman" w:hAnsi="Times New Roman"/>
          <w:sz w:val="24"/>
          <w:szCs w:val="24"/>
        </w:rPr>
        <w:t xml:space="preserve"> состав Наблюдательного совета не претерпел изменений по сравнению с ранее избранным.</w:t>
      </w:r>
    </w:p>
    <w:p w14:paraId="09C51D78" w14:textId="77777777" w:rsidR="00B16348" w:rsidRPr="00B16348" w:rsidRDefault="00B16348" w:rsidP="00B16348">
      <w:pPr>
        <w:tabs>
          <w:tab w:val="left" w:pos="0"/>
        </w:tabs>
        <w:spacing w:after="120"/>
        <w:ind w:firstLine="567"/>
        <w:jc w:val="both"/>
        <w:rPr>
          <w:rFonts w:ascii="Times New Roman" w:hAnsi="Times New Roman"/>
          <w:i/>
          <w:spacing w:val="-4"/>
          <w:sz w:val="24"/>
          <w:szCs w:val="24"/>
        </w:rPr>
      </w:pPr>
      <w:r w:rsidRPr="00B16348">
        <w:rPr>
          <w:rFonts w:ascii="Times New Roman" w:hAnsi="Times New Roman"/>
          <w:i/>
          <w:spacing w:val="-4"/>
          <w:sz w:val="24"/>
          <w:szCs w:val="24"/>
        </w:rPr>
        <w:t>24 ноября 2017 года ПАО Московская Биржа как единственным акционером в рамках рассмотрения вопросов, отнесенных к компетенции Общего собрания акционеров, было принято решение о досрочном прекращении полномочий членов Наблюдательного совета) и избрании членами Наблюдательного совета на срок до годового Общего собрания акционеров в 2018 году следующих лиц:</w:t>
      </w:r>
    </w:p>
    <w:p w14:paraId="6A083FB6" w14:textId="77777777" w:rsidR="00B16348" w:rsidRPr="00B16348" w:rsidRDefault="00B16348" w:rsidP="00B16348">
      <w:pPr>
        <w:pStyle w:val="a9"/>
        <w:widowControl w:val="0"/>
        <w:numPr>
          <w:ilvl w:val="0"/>
          <w:numId w:val="32"/>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sz w:val="24"/>
          <w:szCs w:val="24"/>
          <w:lang w:eastAsia="ru-RU"/>
        </w:rPr>
      </w:pPr>
      <w:r w:rsidRPr="00B16348">
        <w:rPr>
          <w:rFonts w:ascii="Times New Roman" w:eastAsia="Times New Roman" w:hAnsi="Times New Roman"/>
          <w:sz w:val="24"/>
          <w:szCs w:val="24"/>
          <w:lang w:eastAsia="ru-RU"/>
        </w:rPr>
        <w:t>Афанасьев Александра Константинович,</w:t>
      </w:r>
    </w:p>
    <w:p w14:paraId="59810F05" w14:textId="77777777" w:rsidR="00B16348" w:rsidRPr="00B16348" w:rsidRDefault="00B16348" w:rsidP="00B16348">
      <w:pPr>
        <w:pStyle w:val="a9"/>
        <w:widowControl w:val="0"/>
        <w:numPr>
          <w:ilvl w:val="0"/>
          <w:numId w:val="32"/>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sz w:val="24"/>
          <w:szCs w:val="24"/>
          <w:lang w:eastAsia="ru-RU"/>
        </w:rPr>
      </w:pPr>
      <w:r w:rsidRPr="00B16348">
        <w:rPr>
          <w:rFonts w:ascii="Times New Roman" w:eastAsia="Times New Roman" w:hAnsi="Times New Roman"/>
          <w:sz w:val="24"/>
          <w:szCs w:val="24"/>
          <w:lang w:eastAsia="ru-RU"/>
        </w:rPr>
        <w:t>Голутвин Игорь Андреевич,</w:t>
      </w:r>
    </w:p>
    <w:p w14:paraId="472A0DDB" w14:textId="77777777" w:rsidR="00B16348" w:rsidRPr="00B16348" w:rsidRDefault="00B16348" w:rsidP="00B16348">
      <w:pPr>
        <w:pStyle w:val="a9"/>
        <w:widowControl w:val="0"/>
        <w:numPr>
          <w:ilvl w:val="0"/>
          <w:numId w:val="32"/>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sz w:val="24"/>
          <w:szCs w:val="24"/>
          <w:lang w:eastAsia="ru-RU"/>
        </w:rPr>
      </w:pPr>
      <w:r w:rsidRPr="00B16348">
        <w:rPr>
          <w:rFonts w:ascii="Times New Roman" w:eastAsia="Times New Roman" w:hAnsi="Times New Roman"/>
          <w:sz w:val="24"/>
          <w:szCs w:val="24"/>
          <w:lang w:eastAsia="ru-RU"/>
        </w:rPr>
        <w:t>Голиков Андрей Федорович,</w:t>
      </w:r>
    </w:p>
    <w:p w14:paraId="336258A3" w14:textId="77777777" w:rsidR="00B16348" w:rsidRPr="00B16348" w:rsidRDefault="00B16348" w:rsidP="00B16348">
      <w:pPr>
        <w:pStyle w:val="a9"/>
        <w:widowControl w:val="0"/>
        <w:numPr>
          <w:ilvl w:val="0"/>
          <w:numId w:val="32"/>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sz w:val="24"/>
          <w:szCs w:val="24"/>
          <w:lang w:eastAsia="ru-RU"/>
        </w:rPr>
      </w:pPr>
      <w:r w:rsidRPr="00B16348">
        <w:rPr>
          <w:rFonts w:ascii="Times New Roman" w:eastAsia="Times New Roman" w:hAnsi="Times New Roman"/>
          <w:sz w:val="24"/>
          <w:szCs w:val="24"/>
          <w:lang w:eastAsia="ru-RU"/>
        </w:rPr>
        <w:t>Денисов Юрий Олегович,</w:t>
      </w:r>
    </w:p>
    <w:p w14:paraId="5EEF2307" w14:textId="77777777" w:rsidR="00B16348" w:rsidRPr="00B16348" w:rsidRDefault="00B16348" w:rsidP="00B16348">
      <w:pPr>
        <w:pStyle w:val="a9"/>
        <w:widowControl w:val="0"/>
        <w:numPr>
          <w:ilvl w:val="0"/>
          <w:numId w:val="32"/>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sz w:val="24"/>
          <w:szCs w:val="24"/>
          <w:lang w:eastAsia="ru-RU"/>
        </w:rPr>
      </w:pPr>
      <w:r w:rsidRPr="00B16348">
        <w:rPr>
          <w:rFonts w:ascii="Times New Roman" w:eastAsia="Times New Roman" w:hAnsi="Times New Roman"/>
          <w:sz w:val="24"/>
          <w:szCs w:val="24"/>
          <w:lang w:eastAsia="ru-RU"/>
        </w:rPr>
        <w:t>Кулик Вадим Валерьевич,</w:t>
      </w:r>
    </w:p>
    <w:p w14:paraId="171FBE21" w14:textId="77777777" w:rsidR="00B16348" w:rsidRPr="00B16348" w:rsidRDefault="00B16348" w:rsidP="00B16348">
      <w:pPr>
        <w:pStyle w:val="a9"/>
        <w:widowControl w:val="0"/>
        <w:numPr>
          <w:ilvl w:val="0"/>
          <w:numId w:val="32"/>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sz w:val="24"/>
          <w:szCs w:val="24"/>
          <w:lang w:eastAsia="ru-RU"/>
        </w:rPr>
      </w:pPr>
      <w:r w:rsidRPr="00B16348">
        <w:rPr>
          <w:rFonts w:ascii="Times New Roman" w:eastAsia="Times New Roman" w:hAnsi="Times New Roman"/>
          <w:sz w:val="24"/>
          <w:szCs w:val="24"/>
          <w:lang w:eastAsia="ru-RU"/>
        </w:rPr>
        <w:t>Лыков Сергей Петрович,</w:t>
      </w:r>
    </w:p>
    <w:p w14:paraId="37CDB1C2" w14:textId="77777777" w:rsidR="00B16348" w:rsidRPr="00B16348" w:rsidRDefault="00B16348" w:rsidP="00B16348">
      <w:pPr>
        <w:pStyle w:val="a9"/>
        <w:widowControl w:val="0"/>
        <w:numPr>
          <w:ilvl w:val="0"/>
          <w:numId w:val="32"/>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sz w:val="24"/>
          <w:szCs w:val="24"/>
          <w:lang w:eastAsia="ru-RU"/>
        </w:rPr>
      </w:pPr>
      <w:r w:rsidRPr="00B16348">
        <w:rPr>
          <w:rFonts w:ascii="Times New Roman" w:eastAsia="Times New Roman" w:hAnsi="Times New Roman"/>
          <w:sz w:val="24"/>
          <w:szCs w:val="24"/>
          <w:lang w:eastAsia="ru-RU"/>
        </w:rPr>
        <w:t>Монин Сергей Александрович,</w:t>
      </w:r>
    </w:p>
    <w:p w14:paraId="69293B09" w14:textId="77777777" w:rsidR="00B16348" w:rsidRPr="00B16348" w:rsidRDefault="00B16348" w:rsidP="00B16348">
      <w:pPr>
        <w:pStyle w:val="a9"/>
        <w:widowControl w:val="0"/>
        <w:numPr>
          <w:ilvl w:val="0"/>
          <w:numId w:val="32"/>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sz w:val="24"/>
          <w:szCs w:val="24"/>
          <w:lang w:eastAsia="ru-RU"/>
        </w:rPr>
      </w:pPr>
      <w:r w:rsidRPr="00B16348">
        <w:rPr>
          <w:rFonts w:ascii="Times New Roman" w:eastAsia="Times New Roman" w:hAnsi="Times New Roman"/>
          <w:sz w:val="24"/>
          <w:szCs w:val="24"/>
          <w:lang w:eastAsia="ru-RU"/>
        </w:rPr>
        <w:t>Смирнов Сергей Николаевич,</w:t>
      </w:r>
    </w:p>
    <w:p w14:paraId="6DCAC71F" w14:textId="77777777" w:rsidR="00B16348" w:rsidRPr="00B16348" w:rsidRDefault="00B16348" w:rsidP="00B16348">
      <w:pPr>
        <w:pStyle w:val="a9"/>
        <w:widowControl w:val="0"/>
        <w:numPr>
          <w:ilvl w:val="0"/>
          <w:numId w:val="32"/>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sz w:val="24"/>
          <w:szCs w:val="24"/>
          <w:lang w:eastAsia="ru-RU"/>
        </w:rPr>
      </w:pPr>
      <w:r w:rsidRPr="00B16348">
        <w:rPr>
          <w:rFonts w:ascii="Times New Roman" w:eastAsia="Times New Roman" w:hAnsi="Times New Roman"/>
          <w:sz w:val="24"/>
          <w:szCs w:val="24"/>
          <w:lang w:eastAsia="ru-RU"/>
        </w:rPr>
        <w:t>Хавин Алексей Сергеевич.</w:t>
      </w:r>
    </w:p>
    <w:p w14:paraId="1745DDF6" w14:textId="77777777" w:rsidR="00B16348" w:rsidRPr="00B16348" w:rsidRDefault="00B16348" w:rsidP="00B16348">
      <w:pPr>
        <w:tabs>
          <w:tab w:val="left" w:pos="0"/>
        </w:tabs>
        <w:spacing w:after="120"/>
        <w:ind w:left="1068"/>
        <w:contextualSpacing/>
        <w:jc w:val="both"/>
        <w:rPr>
          <w:rFonts w:ascii="Times New Roman" w:hAnsi="Times New Roman"/>
          <w:sz w:val="24"/>
          <w:szCs w:val="24"/>
        </w:rPr>
      </w:pPr>
    </w:p>
    <w:p w14:paraId="6E60D6D8" w14:textId="77777777" w:rsidR="00B16348" w:rsidRPr="00B16348" w:rsidRDefault="00B16348" w:rsidP="00B16348">
      <w:pPr>
        <w:tabs>
          <w:tab w:val="left" w:pos="0"/>
        </w:tabs>
        <w:spacing w:after="120"/>
        <w:contextualSpacing/>
        <w:jc w:val="both"/>
        <w:rPr>
          <w:rFonts w:ascii="Times New Roman" w:hAnsi="Times New Roman"/>
          <w:sz w:val="24"/>
          <w:szCs w:val="24"/>
        </w:rPr>
      </w:pPr>
      <w:r w:rsidRPr="00B16348">
        <w:rPr>
          <w:rFonts w:ascii="Times New Roman" w:hAnsi="Times New Roman"/>
          <w:sz w:val="24"/>
          <w:szCs w:val="24"/>
        </w:rPr>
        <w:tab/>
        <w:t>Таким образом</w:t>
      </w:r>
      <w:r w:rsidR="007E57BF">
        <w:rPr>
          <w:rFonts w:ascii="Times New Roman" w:hAnsi="Times New Roman"/>
          <w:sz w:val="24"/>
          <w:szCs w:val="24"/>
        </w:rPr>
        <w:t>,</w:t>
      </w:r>
      <w:r w:rsidRPr="00B16348">
        <w:rPr>
          <w:rFonts w:ascii="Times New Roman" w:hAnsi="Times New Roman"/>
          <w:sz w:val="24"/>
          <w:szCs w:val="24"/>
        </w:rPr>
        <w:t xml:space="preserve"> из состава Наблюдательного совета вышел Предтеченский Анатолий Николаевич и в состав вошел Кулик Вадим Валерьевич.</w:t>
      </w:r>
    </w:p>
    <w:p w14:paraId="141F0A51" w14:textId="77777777" w:rsidR="00B16348" w:rsidRPr="00B16348" w:rsidRDefault="00B16348" w:rsidP="00B16348">
      <w:pPr>
        <w:spacing w:after="120"/>
        <w:jc w:val="both"/>
        <w:rPr>
          <w:rFonts w:ascii="Times New Roman" w:hAnsi="Times New Roman"/>
          <w:b/>
          <w:sz w:val="24"/>
          <w:szCs w:val="24"/>
        </w:rPr>
      </w:pPr>
    </w:p>
    <w:p w14:paraId="05DB83FF" w14:textId="77777777" w:rsidR="00B16348" w:rsidRPr="00B16348" w:rsidRDefault="00B16348" w:rsidP="00B16348">
      <w:pPr>
        <w:spacing w:after="120"/>
        <w:jc w:val="both"/>
        <w:rPr>
          <w:rFonts w:ascii="Times New Roman" w:hAnsi="Times New Roman"/>
          <w:b/>
          <w:sz w:val="24"/>
          <w:szCs w:val="24"/>
        </w:rPr>
      </w:pPr>
      <w:r w:rsidRPr="00B16348">
        <w:rPr>
          <w:rFonts w:ascii="Times New Roman" w:hAnsi="Times New Roman"/>
          <w:b/>
          <w:sz w:val="24"/>
          <w:szCs w:val="24"/>
        </w:rPr>
        <w:t>Сведения о членах, входивших в состав Наблюдательного совета в 2017 году</w:t>
      </w:r>
      <w:r w:rsidRPr="00B16348">
        <w:rPr>
          <w:rFonts w:ascii="Times New Roman" w:hAnsi="Times New Roman"/>
          <w:b/>
          <w:sz w:val="24"/>
          <w:szCs w:val="24"/>
          <w:vertAlign w:val="superscript"/>
        </w:rPr>
        <w:footnoteReference w:id="2"/>
      </w:r>
      <w:r w:rsidRPr="00B16348">
        <w:rPr>
          <w:rFonts w:ascii="Times New Roman" w:hAnsi="Times New Roman"/>
          <w:b/>
          <w:sz w:val="24"/>
          <w:szCs w:val="24"/>
        </w:rPr>
        <w:t>:</w:t>
      </w:r>
    </w:p>
    <w:p w14:paraId="51637473" w14:textId="77777777" w:rsidR="00B16348" w:rsidRPr="00B16348" w:rsidRDefault="00B16348" w:rsidP="00B16348">
      <w:pPr>
        <w:spacing w:after="120"/>
        <w:jc w:val="both"/>
        <w:rPr>
          <w:rFonts w:ascii="Times New Roman" w:hAnsi="Times New Roman"/>
          <w:b/>
          <w:sz w:val="24"/>
          <w:szCs w:val="24"/>
        </w:rPr>
      </w:pPr>
    </w:p>
    <w:p w14:paraId="6F773D0F" w14:textId="77777777" w:rsidR="00B16348" w:rsidRPr="00B16348" w:rsidRDefault="00B16348" w:rsidP="00B16348">
      <w:pPr>
        <w:widowControl w:val="0"/>
        <w:numPr>
          <w:ilvl w:val="0"/>
          <w:numId w:val="30"/>
        </w:numPr>
        <w:overflowPunct w:val="0"/>
        <w:autoSpaceDE w:val="0"/>
        <w:autoSpaceDN w:val="0"/>
        <w:adjustRightInd w:val="0"/>
        <w:spacing w:after="120"/>
        <w:ind w:left="0" w:firstLine="709"/>
        <w:jc w:val="both"/>
        <w:textAlignment w:val="baseline"/>
        <w:rPr>
          <w:rFonts w:ascii="Times New Roman" w:hAnsi="Times New Roman"/>
          <w:b/>
          <w:bCs/>
          <w:sz w:val="24"/>
          <w:szCs w:val="24"/>
        </w:rPr>
      </w:pPr>
      <w:r w:rsidRPr="00B16348">
        <w:rPr>
          <w:rFonts w:ascii="Times New Roman" w:hAnsi="Times New Roman"/>
          <w:b/>
          <w:bCs/>
          <w:sz w:val="24"/>
          <w:szCs w:val="24"/>
        </w:rPr>
        <w:t>Афанасьев Александр Константинович</w:t>
      </w:r>
      <w:r w:rsidRPr="00B16348">
        <w:rPr>
          <w:rFonts w:ascii="Times New Roman" w:hAnsi="Times New Roman"/>
          <w:bCs/>
          <w:sz w:val="24"/>
          <w:szCs w:val="24"/>
        </w:rPr>
        <w:t>, 1962 года рождения, образование высшее, в 1984 году окончил Московский финансовый институт, квалификация: экономист, специальность: Международные экономические отношения, в 1987 году окончил аспирантуру Московского финансового института с присвоением ученой степени кандидата экономических наук.</w:t>
      </w:r>
    </w:p>
    <w:p w14:paraId="4C6E6E1F" w14:textId="77777777" w:rsidR="00B16348" w:rsidRPr="00B16348" w:rsidRDefault="00B16348" w:rsidP="00B16348">
      <w:pPr>
        <w:spacing w:after="120"/>
        <w:ind w:firstLine="709"/>
        <w:jc w:val="both"/>
        <w:rPr>
          <w:rFonts w:ascii="Times New Roman" w:hAnsi="Times New Roman"/>
          <w:b/>
          <w:bCs/>
          <w:sz w:val="24"/>
          <w:szCs w:val="24"/>
        </w:rPr>
      </w:pPr>
    </w:p>
    <w:p w14:paraId="438376E6"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Сведения о трудовой деятельности и служебных обязанностях за пять лет, предшествующих дате избрания в Наблюдательный совет:</w:t>
      </w:r>
    </w:p>
    <w:p w14:paraId="25753504"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19.09.2008 – 26.12.2011, Заместитель Председателя Правления Банка «ВестЛБ Восток» (Закрытое акционерное общество), участвовал в руководстве компанией и деятельности коллегиального исполнительного органа.</w:t>
      </w:r>
    </w:p>
    <w:p w14:paraId="1C7F9DAB"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28.12.2011 – 20.06.2012, Заместитель Председателя Правления Открытого акционерного общества «ММВБ-РТС», участвовал в руководстве компа</w:t>
      </w:r>
      <w:r w:rsidRPr="00B16348">
        <w:rPr>
          <w:rFonts w:ascii="Times New Roman" w:hAnsi="Times New Roman"/>
          <w:bCs/>
          <w:sz w:val="24"/>
          <w:szCs w:val="24"/>
        </w:rPr>
        <w:lastRenderedPageBreak/>
        <w:t>нией и деятельности коллегиального исполнительного органа, курировал вопросы развития клиринговой и казначейской деятельности, анализа и контроля рисков.</w:t>
      </w:r>
    </w:p>
    <w:p w14:paraId="66D059F9"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21.06.2012 – 02.07.2012, Президент Открытого акционерного общества «ММВБ-РТС», осуществлял руководство компанией, и выполнение функций единоличного исполнительного органа.</w:t>
      </w:r>
    </w:p>
    <w:p w14:paraId="62188FC7"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03.07.2012 – настоящее время, Председатель Правления Публичного акционерного общества «Московская Биржа ММВБ-РТС», осуществляет руководство компанией, выполнение функций единоличного исполнительного органа.</w:t>
      </w:r>
    </w:p>
    <w:p w14:paraId="6350BBD4" w14:textId="77777777" w:rsidR="00B16348" w:rsidRPr="00B16348" w:rsidRDefault="00B16348" w:rsidP="00B16348">
      <w:pPr>
        <w:spacing w:after="120"/>
        <w:ind w:firstLine="709"/>
        <w:jc w:val="both"/>
        <w:rPr>
          <w:rFonts w:ascii="Times New Roman" w:hAnsi="Times New Roman"/>
          <w:bCs/>
          <w:sz w:val="24"/>
          <w:szCs w:val="24"/>
        </w:rPr>
      </w:pPr>
    </w:p>
    <w:p w14:paraId="2B429B7E"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Участие в органах управления других юридических лиц:</w:t>
      </w:r>
    </w:p>
    <w:p w14:paraId="355404B2"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25.06.2013 – настоящее время, член Наблюдательного совета Публичного акционерного общества «Московская Биржа ММВБ-РТС».</w:t>
      </w:r>
    </w:p>
    <w:p w14:paraId="7344E4EC"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20.09.2013 – настоящее время, член Совета Международной ассоциации бирж стран Содружества Независимых Государств (МАБ СНГ).</w:t>
      </w:r>
    </w:p>
    <w:p w14:paraId="350F1DC8"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21.03.2013 – настоящее время, член Правления Общероссийской общественной организации «Российский союз промышленников и предпринимателей»</w:t>
      </w:r>
      <w:r w:rsidRPr="00B16348">
        <w:rPr>
          <w:rFonts w:ascii="Times New Roman" w:hAnsi="Times New Roman"/>
          <w:bCs/>
          <w:sz w:val="24"/>
          <w:szCs w:val="24"/>
        </w:rPr>
        <w:tab/>
      </w:r>
    </w:p>
    <w:p w14:paraId="1FF658CD" w14:textId="77777777" w:rsidR="00B16348" w:rsidRPr="00B16348" w:rsidRDefault="00B16348" w:rsidP="00B16348">
      <w:pPr>
        <w:spacing w:after="120"/>
        <w:jc w:val="both"/>
        <w:rPr>
          <w:rFonts w:ascii="Times New Roman" w:hAnsi="Times New Roman"/>
          <w:bCs/>
          <w:sz w:val="24"/>
          <w:szCs w:val="24"/>
        </w:rPr>
      </w:pPr>
      <w:r w:rsidRPr="00B16348">
        <w:rPr>
          <w:rFonts w:ascii="Times New Roman" w:hAnsi="Times New Roman"/>
          <w:bCs/>
          <w:sz w:val="24"/>
          <w:szCs w:val="24"/>
        </w:rPr>
        <w:t>21.03.2013 – настоящее время, член Правления Общероссийского объединения работодателей «Российский союз промышленников и предпринимателей»</w:t>
      </w:r>
    </w:p>
    <w:p w14:paraId="48B96D77"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26.05.2015 – настоящее время, член Наблюдательного совета НКО АО НРД.</w:t>
      </w:r>
    </w:p>
    <w:p w14:paraId="0CA94287" w14:textId="77777777" w:rsidR="00B16348" w:rsidRPr="00B16348" w:rsidRDefault="00B16348" w:rsidP="00B16348">
      <w:pPr>
        <w:spacing w:after="120"/>
        <w:ind w:firstLine="709"/>
        <w:jc w:val="both"/>
        <w:rPr>
          <w:rFonts w:ascii="Times New Roman" w:hAnsi="Times New Roman"/>
          <w:bCs/>
          <w:sz w:val="24"/>
          <w:szCs w:val="24"/>
        </w:rPr>
      </w:pPr>
    </w:p>
    <w:p w14:paraId="5469F5C8" w14:textId="77777777" w:rsidR="00B16348" w:rsidRPr="00B16348" w:rsidRDefault="00B16348" w:rsidP="00B16348">
      <w:pPr>
        <w:widowControl w:val="0"/>
        <w:numPr>
          <w:ilvl w:val="0"/>
          <w:numId w:val="30"/>
        </w:numPr>
        <w:overflowPunct w:val="0"/>
        <w:autoSpaceDE w:val="0"/>
        <w:autoSpaceDN w:val="0"/>
        <w:adjustRightInd w:val="0"/>
        <w:spacing w:after="120"/>
        <w:ind w:left="0" w:firstLine="709"/>
        <w:jc w:val="both"/>
        <w:textAlignment w:val="baseline"/>
        <w:rPr>
          <w:rFonts w:ascii="Times New Roman" w:hAnsi="Times New Roman"/>
          <w:b/>
          <w:bCs/>
          <w:sz w:val="24"/>
          <w:szCs w:val="24"/>
        </w:rPr>
      </w:pPr>
      <w:r w:rsidRPr="00B16348">
        <w:rPr>
          <w:rFonts w:ascii="Times New Roman" w:hAnsi="Times New Roman"/>
          <w:b/>
          <w:bCs/>
          <w:sz w:val="24"/>
          <w:szCs w:val="24"/>
        </w:rPr>
        <w:t>Голиков Андрей Федорович</w:t>
      </w:r>
      <w:r w:rsidRPr="00B16348">
        <w:rPr>
          <w:rFonts w:ascii="Times New Roman" w:hAnsi="Times New Roman"/>
          <w:bCs/>
          <w:sz w:val="24"/>
          <w:szCs w:val="24"/>
        </w:rPr>
        <w:t>, 1969 года рождения, образование высшее, в 1991 году окончил МГУ им. М.В. Ломоносова, квалификация: механик, специальность: механика. В 2016 году получил степень Дипломированного директора (</w:t>
      </w:r>
      <w:r w:rsidRPr="00B16348">
        <w:rPr>
          <w:rFonts w:ascii="Times New Roman" w:hAnsi="Times New Roman"/>
          <w:bCs/>
          <w:sz w:val="24"/>
          <w:szCs w:val="24"/>
          <w:lang w:val="en-US"/>
        </w:rPr>
        <w:t>IOD</w:t>
      </w:r>
      <w:r w:rsidRPr="00B16348">
        <w:rPr>
          <w:rFonts w:ascii="Times New Roman" w:hAnsi="Times New Roman"/>
          <w:bCs/>
          <w:sz w:val="24"/>
          <w:szCs w:val="24"/>
        </w:rPr>
        <w:t xml:space="preserve"> </w:t>
      </w:r>
      <w:r w:rsidRPr="00B16348">
        <w:rPr>
          <w:rFonts w:ascii="Times New Roman" w:hAnsi="Times New Roman"/>
          <w:bCs/>
          <w:sz w:val="24"/>
          <w:szCs w:val="24"/>
          <w:lang w:val="en-US"/>
        </w:rPr>
        <w:t>Diploma</w:t>
      </w:r>
      <w:r w:rsidRPr="00B16348">
        <w:rPr>
          <w:rFonts w:ascii="Times New Roman" w:hAnsi="Times New Roman"/>
          <w:bCs/>
          <w:sz w:val="24"/>
          <w:szCs w:val="24"/>
        </w:rPr>
        <w:t xml:space="preserve"> </w:t>
      </w:r>
      <w:r w:rsidRPr="00B16348">
        <w:rPr>
          <w:rFonts w:ascii="Times New Roman" w:hAnsi="Times New Roman"/>
          <w:bCs/>
          <w:sz w:val="24"/>
          <w:szCs w:val="24"/>
          <w:lang w:val="en-US"/>
        </w:rPr>
        <w:t>in</w:t>
      </w:r>
      <w:r w:rsidRPr="00B16348">
        <w:rPr>
          <w:rFonts w:ascii="Times New Roman" w:hAnsi="Times New Roman"/>
          <w:bCs/>
          <w:sz w:val="24"/>
          <w:szCs w:val="24"/>
        </w:rPr>
        <w:t xml:space="preserve"> </w:t>
      </w:r>
      <w:r w:rsidRPr="00B16348">
        <w:rPr>
          <w:rFonts w:ascii="Times New Roman" w:hAnsi="Times New Roman"/>
          <w:bCs/>
          <w:sz w:val="24"/>
          <w:szCs w:val="24"/>
          <w:lang w:val="en-US"/>
        </w:rPr>
        <w:t>Company</w:t>
      </w:r>
      <w:r w:rsidRPr="00B16348">
        <w:rPr>
          <w:rFonts w:ascii="Times New Roman" w:hAnsi="Times New Roman"/>
          <w:bCs/>
          <w:sz w:val="24"/>
          <w:szCs w:val="24"/>
        </w:rPr>
        <w:t xml:space="preserve"> </w:t>
      </w:r>
      <w:r w:rsidRPr="00B16348">
        <w:rPr>
          <w:rFonts w:ascii="Times New Roman" w:hAnsi="Times New Roman"/>
          <w:bCs/>
          <w:sz w:val="24"/>
          <w:szCs w:val="24"/>
          <w:lang w:val="en-US"/>
        </w:rPr>
        <w:t>Direction</w:t>
      </w:r>
      <w:r w:rsidRPr="00B16348">
        <w:rPr>
          <w:rFonts w:ascii="Times New Roman" w:hAnsi="Times New Roman"/>
          <w:bCs/>
          <w:sz w:val="24"/>
          <w:szCs w:val="24"/>
        </w:rPr>
        <w:t>) в Институте директоров Великобритании (</w:t>
      </w:r>
      <w:r w:rsidRPr="00B16348">
        <w:rPr>
          <w:rFonts w:ascii="Times New Roman" w:hAnsi="Times New Roman"/>
          <w:bCs/>
          <w:sz w:val="24"/>
          <w:szCs w:val="24"/>
          <w:lang w:val="en-US"/>
        </w:rPr>
        <w:t>The</w:t>
      </w:r>
      <w:r w:rsidRPr="00B16348">
        <w:rPr>
          <w:rFonts w:ascii="Times New Roman" w:hAnsi="Times New Roman"/>
          <w:bCs/>
          <w:sz w:val="24"/>
          <w:szCs w:val="24"/>
        </w:rPr>
        <w:t xml:space="preserve"> </w:t>
      </w:r>
      <w:r w:rsidRPr="00B16348">
        <w:rPr>
          <w:rFonts w:ascii="Times New Roman" w:hAnsi="Times New Roman"/>
          <w:bCs/>
          <w:sz w:val="24"/>
          <w:szCs w:val="24"/>
          <w:lang w:val="en-US"/>
        </w:rPr>
        <w:t>Institute</w:t>
      </w:r>
      <w:r w:rsidRPr="00B16348">
        <w:rPr>
          <w:rFonts w:ascii="Times New Roman" w:hAnsi="Times New Roman"/>
          <w:bCs/>
          <w:sz w:val="24"/>
          <w:szCs w:val="24"/>
        </w:rPr>
        <w:t xml:space="preserve"> </w:t>
      </w:r>
      <w:r w:rsidRPr="00B16348">
        <w:rPr>
          <w:rFonts w:ascii="Times New Roman" w:hAnsi="Times New Roman"/>
          <w:bCs/>
          <w:sz w:val="24"/>
          <w:szCs w:val="24"/>
          <w:lang w:val="en-US"/>
        </w:rPr>
        <w:t>of</w:t>
      </w:r>
      <w:r w:rsidRPr="00B16348">
        <w:rPr>
          <w:rFonts w:ascii="Times New Roman" w:hAnsi="Times New Roman"/>
          <w:bCs/>
          <w:sz w:val="24"/>
          <w:szCs w:val="24"/>
        </w:rPr>
        <w:t xml:space="preserve"> </w:t>
      </w:r>
      <w:r w:rsidRPr="00B16348">
        <w:rPr>
          <w:rFonts w:ascii="Times New Roman" w:hAnsi="Times New Roman"/>
          <w:bCs/>
          <w:sz w:val="24"/>
          <w:szCs w:val="24"/>
          <w:lang w:val="en-US"/>
        </w:rPr>
        <w:t>Directors</w:t>
      </w:r>
      <w:r w:rsidRPr="00B16348">
        <w:rPr>
          <w:rFonts w:ascii="Times New Roman" w:hAnsi="Times New Roman"/>
          <w:bCs/>
          <w:sz w:val="24"/>
          <w:szCs w:val="24"/>
        </w:rPr>
        <w:t xml:space="preserve">, </w:t>
      </w:r>
      <w:r w:rsidRPr="00B16348">
        <w:rPr>
          <w:rFonts w:ascii="Times New Roman" w:hAnsi="Times New Roman"/>
          <w:bCs/>
          <w:sz w:val="24"/>
          <w:szCs w:val="24"/>
          <w:lang w:val="en-US"/>
        </w:rPr>
        <w:t>Io</w:t>
      </w:r>
      <w:r w:rsidRPr="00B16348">
        <w:rPr>
          <w:rFonts w:ascii="Times New Roman" w:hAnsi="Times New Roman"/>
          <w:bCs/>
          <w:sz w:val="24"/>
          <w:szCs w:val="24"/>
        </w:rPr>
        <w:t>D).</w:t>
      </w:r>
    </w:p>
    <w:p w14:paraId="0006D11A"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Сведения о трудовой деятельности и служебных обязанностях за пять лет, предшествующих дате избрания в Наблюдательный совет:</w:t>
      </w:r>
    </w:p>
    <w:p w14:paraId="209084F3"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12.05.2009 – 14.07.2011, Вице-президент-директор Департамента казначейских операций и финансовых рынков Открытого акционерного общества «Сбербанк России», отвечал за управление ликвидностью банка, руководство над всеми видами торговых операций на финансовом рынке, брокерские операции и операции доверительного управления.</w:t>
      </w:r>
    </w:p>
    <w:p w14:paraId="63492216"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15.02.2012 – 31.01.2014, Директор Инвестиционно-коммерческого блока ЗАО «Страна Детей», отвечал за написание Стратегии Проекта, подробного бизнес плана и проведение полного цикла маркетинговых исследований с целью привлечения долгового капитала.</w:t>
      </w:r>
    </w:p>
    <w:p w14:paraId="07AD9C3C" w14:textId="77777777" w:rsidR="00B16348" w:rsidRPr="00B16348" w:rsidRDefault="00B16348" w:rsidP="00B16348">
      <w:pPr>
        <w:spacing w:after="120"/>
        <w:ind w:firstLine="709"/>
        <w:jc w:val="both"/>
        <w:rPr>
          <w:rFonts w:ascii="Times New Roman" w:hAnsi="Times New Roman"/>
          <w:bCs/>
          <w:sz w:val="24"/>
          <w:szCs w:val="24"/>
        </w:rPr>
      </w:pPr>
    </w:p>
    <w:p w14:paraId="2A4F4F0A"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Участие в органах управления других юридических лиц:</w:t>
      </w:r>
    </w:p>
    <w:p w14:paraId="3F97F0AC"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24.04.2003 – настоящее время, Заместитель председателя Наблюдательного совета Публичного акционерного общества «Московская Биржа ММВБ-РТС»</w:t>
      </w:r>
    </w:p>
    <w:p w14:paraId="42F8DF9C"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lastRenderedPageBreak/>
        <w:t>20.04.2011 – 22.04.2015, Сопредседатель Совета директоров "Национальная фондовая ассоциация (саморегулируемая некоммерческая организация)"</w:t>
      </w:r>
    </w:p>
    <w:p w14:paraId="60A73771"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 xml:space="preserve">13.04.2017 – по настоящее время, </w:t>
      </w:r>
      <w:r w:rsidRPr="00B16348">
        <w:rPr>
          <w:rFonts w:ascii="Times New Roman" w:hAnsi="Times New Roman"/>
          <w:bCs/>
          <w:sz w:val="24"/>
          <w:szCs w:val="24"/>
        </w:rPr>
        <w:tab/>
        <w:t>Сопредседатель Совета директоров "Национальная финансовая ассоциация (саморегулируемое некоммерческое партнерство)"</w:t>
      </w:r>
    </w:p>
    <w:p w14:paraId="0A06C6BE"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19.12.2016 – настоящее время, Член Наблюдательного совета АО «Российская национальная перестраховочная компания» (РНПК)</w:t>
      </w:r>
    </w:p>
    <w:p w14:paraId="41030E96"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30.06.2017 - по настоящее время, Член Совета директоров Акционерного коммерческого банка «Абсолют Банк» (Публичное акционерное общество)</w:t>
      </w:r>
    </w:p>
    <w:p w14:paraId="2D5366BC"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21.12.2017 – по настоящее время</w:t>
      </w:r>
      <w:r w:rsidRPr="00B16348">
        <w:rPr>
          <w:rFonts w:ascii="Times New Roman" w:hAnsi="Times New Roman"/>
          <w:bCs/>
          <w:sz w:val="24"/>
          <w:szCs w:val="24"/>
        </w:rPr>
        <w:tab/>
        <w:t>член Наблюдательного совета ПАО Банк «ФК Открытие».</w:t>
      </w:r>
    </w:p>
    <w:p w14:paraId="739916C1" w14:textId="77777777" w:rsidR="00B16348" w:rsidRPr="00B16348" w:rsidRDefault="00B16348" w:rsidP="00B16348">
      <w:pPr>
        <w:spacing w:after="120"/>
        <w:ind w:firstLine="709"/>
        <w:jc w:val="both"/>
        <w:rPr>
          <w:rFonts w:ascii="Times New Roman" w:hAnsi="Times New Roman"/>
          <w:bCs/>
          <w:sz w:val="24"/>
          <w:szCs w:val="24"/>
        </w:rPr>
      </w:pPr>
    </w:p>
    <w:p w14:paraId="530AEFDC" w14:textId="77777777" w:rsidR="00B16348" w:rsidRPr="00B16348" w:rsidRDefault="00B16348" w:rsidP="00B16348">
      <w:pPr>
        <w:widowControl w:val="0"/>
        <w:numPr>
          <w:ilvl w:val="0"/>
          <w:numId w:val="30"/>
        </w:numPr>
        <w:overflowPunct w:val="0"/>
        <w:autoSpaceDE w:val="0"/>
        <w:autoSpaceDN w:val="0"/>
        <w:adjustRightInd w:val="0"/>
        <w:spacing w:after="120"/>
        <w:ind w:left="0" w:firstLine="709"/>
        <w:jc w:val="both"/>
        <w:textAlignment w:val="baseline"/>
        <w:rPr>
          <w:rFonts w:ascii="Times New Roman" w:hAnsi="Times New Roman"/>
          <w:b/>
          <w:bCs/>
          <w:sz w:val="24"/>
          <w:szCs w:val="24"/>
        </w:rPr>
      </w:pPr>
      <w:r w:rsidRPr="00B16348">
        <w:rPr>
          <w:rFonts w:ascii="Times New Roman" w:hAnsi="Times New Roman"/>
          <w:b/>
          <w:bCs/>
          <w:sz w:val="24"/>
          <w:szCs w:val="24"/>
        </w:rPr>
        <w:t>Голутвин Игорь Андреевич</w:t>
      </w:r>
      <w:r w:rsidRPr="00B16348">
        <w:rPr>
          <w:rFonts w:ascii="Times New Roman" w:hAnsi="Times New Roman"/>
          <w:bCs/>
          <w:sz w:val="24"/>
          <w:szCs w:val="24"/>
        </w:rPr>
        <w:t>, 1979 года рождения, образование высшее, в 2002 году окончил Московский Государственный университет им. М.В. Ломоносова, квалификация: физик, специальность: физика. В 2004 году окончил Институт Теоретической и Экспериментальной Физики с присуждением ученой степени кандидата физико-математических наук. В 2010 году закончил Учебный, Консультационный и Кадровый Центр МФЦ, квалификация: специалист финансового рынка по брокерской, дилерской деятельности и деятельности по управлению ценными бумагами.</w:t>
      </w:r>
    </w:p>
    <w:p w14:paraId="65A0AD9A" w14:textId="77777777" w:rsidR="00B16348" w:rsidRPr="00B16348" w:rsidRDefault="00B16348" w:rsidP="00B16348">
      <w:pPr>
        <w:spacing w:after="120"/>
        <w:ind w:firstLine="709"/>
        <w:jc w:val="both"/>
        <w:rPr>
          <w:rFonts w:ascii="Times New Roman" w:hAnsi="Times New Roman"/>
          <w:bCs/>
          <w:sz w:val="24"/>
          <w:szCs w:val="24"/>
        </w:rPr>
      </w:pPr>
    </w:p>
    <w:p w14:paraId="6030CF40"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Сведения о трудовой деятельности и служебных обязанностях за пять лет, предшествующих дате избрания в Наблюдательный совет:</w:t>
      </w:r>
    </w:p>
    <w:p w14:paraId="4B8BB014"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04.04.2008 – 11.04.2013, Начальник отдела операций с производными инструментами Управления торговых операций на открытых рынках департамента операций на рынке инструментов с фиксированной доходностью ЗАО ВТБ Капитал, отвечал за развитие бизнес-направления по производным инструментам на валюту и процентные ставки. Запуск новых продуктов, настройка и разработка систем риск менеджмента.</w:t>
      </w:r>
    </w:p>
    <w:p w14:paraId="48EEC356"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11.04.2013 – по настоящее время, Со-начальник отдела комплексных транзакций Управления торговых операций на открытых рынках департамента операций на рынке инструментов с фиксированной доходностью ЗАО ВТБ Капитал, обеспечивает управление CVA портфелем банка по сделкам с производными инструментами. Хеджирование рыночных и кредитных рисков, оптимизация доходности портфеля.</w:t>
      </w:r>
    </w:p>
    <w:p w14:paraId="0AC88C71"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21.04.2008 – 05.04.2013, Начальник отдела операций с производными инструментами Управления торговых операций на долговых и валютных рынках ПАО Банк ВТБ (по совместительству).</w:t>
      </w:r>
    </w:p>
    <w:p w14:paraId="4AC0887E"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05.04.2013 – настоящее время, Управляющий директор – вице-президент Управления торговых операций на долговых и валютных рынках Банка ВТБ (ПАО) (по совместительству).</w:t>
      </w:r>
    </w:p>
    <w:p w14:paraId="57412183"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Должности в органах управления других юридических лиц не занимает.</w:t>
      </w:r>
    </w:p>
    <w:p w14:paraId="78AF9353" w14:textId="77777777" w:rsidR="00B16348" w:rsidRPr="00B16348" w:rsidRDefault="00B16348" w:rsidP="00B16348">
      <w:pPr>
        <w:spacing w:after="120"/>
        <w:ind w:firstLine="709"/>
        <w:jc w:val="both"/>
        <w:rPr>
          <w:rFonts w:ascii="Times New Roman" w:hAnsi="Times New Roman"/>
          <w:b/>
          <w:bCs/>
          <w:sz w:val="24"/>
          <w:szCs w:val="24"/>
        </w:rPr>
      </w:pPr>
    </w:p>
    <w:p w14:paraId="02B3D735" w14:textId="77777777" w:rsidR="00B16348" w:rsidRPr="00B16348" w:rsidRDefault="00B16348" w:rsidP="00B16348">
      <w:pPr>
        <w:widowControl w:val="0"/>
        <w:numPr>
          <w:ilvl w:val="0"/>
          <w:numId w:val="30"/>
        </w:numPr>
        <w:overflowPunct w:val="0"/>
        <w:autoSpaceDE w:val="0"/>
        <w:autoSpaceDN w:val="0"/>
        <w:adjustRightInd w:val="0"/>
        <w:spacing w:after="120"/>
        <w:ind w:left="0" w:firstLine="709"/>
        <w:jc w:val="both"/>
        <w:textAlignment w:val="baseline"/>
        <w:rPr>
          <w:rFonts w:ascii="Times New Roman" w:hAnsi="Times New Roman"/>
          <w:b/>
          <w:bCs/>
          <w:sz w:val="24"/>
          <w:szCs w:val="24"/>
        </w:rPr>
      </w:pPr>
      <w:r w:rsidRPr="00B16348">
        <w:rPr>
          <w:rFonts w:ascii="Times New Roman" w:hAnsi="Times New Roman"/>
          <w:b/>
          <w:bCs/>
          <w:sz w:val="24"/>
          <w:szCs w:val="24"/>
        </w:rPr>
        <w:t>Денисов Юрий Олегович</w:t>
      </w:r>
      <w:r w:rsidRPr="00B16348">
        <w:rPr>
          <w:rFonts w:ascii="Times New Roman" w:hAnsi="Times New Roman"/>
          <w:bCs/>
          <w:sz w:val="24"/>
          <w:szCs w:val="24"/>
        </w:rPr>
        <w:t>, 1970 года рождения, образование высшее, в 1993 году окончил Московский государственный институт международ</w:t>
      </w:r>
      <w:r w:rsidRPr="00B16348">
        <w:rPr>
          <w:rFonts w:ascii="Times New Roman" w:hAnsi="Times New Roman"/>
          <w:bCs/>
          <w:sz w:val="24"/>
          <w:szCs w:val="24"/>
        </w:rPr>
        <w:lastRenderedPageBreak/>
        <w:t xml:space="preserve">ных отношений МИД РФ, квалификация: экономист по международным экономическим отношениям со знанием иностранного языка, специальность: международные экономические отношения. </w:t>
      </w:r>
    </w:p>
    <w:p w14:paraId="4853D010" w14:textId="77777777" w:rsidR="00B16348" w:rsidRPr="00B16348" w:rsidRDefault="00B16348" w:rsidP="00B16348">
      <w:pPr>
        <w:spacing w:after="120"/>
        <w:ind w:firstLine="709"/>
        <w:jc w:val="both"/>
        <w:rPr>
          <w:rFonts w:ascii="Times New Roman" w:hAnsi="Times New Roman"/>
          <w:bCs/>
          <w:sz w:val="24"/>
          <w:szCs w:val="24"/>
        </w:rPr>
      </w:pPr>
    </w:p>
    <w:p w14:paraId="5261DE6A"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Сведения о трудовой деятельности и служебных обязанностях за пять лет, предшествующих дате избрания в Наблюдательный совет:</w:t>
      </w:r>
    </w:p>
    <w:p w14:paraId="0F9E68DE"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10.08.2009 – 01.03.2010, Старший вице-президент Финансового департамента ПАО Банк ВТБ, отвечал за управление активами и пассивами, курирование казначейской деятельности Группы ВТБ, торговли на денежно-валютных рынках, ценных металлов и производных финансовых инструментов.</w:t>
      </w:r>
    </w:p>
    <w:p w14:paraId="4B29D6C1"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22.09.2010 – 31.05.2011, Заместитель Председателя Правления Закрытого акционерного общества «Московская межбанковская валютная биржа», курировал аспекты управления рисками, развития клиринговой деятельности, казначейской деятельности и управления активами и пассивами.</w:t>
      </w:r>
    </w:p>
    <w:p w14:paraId="1F20763E"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С 29.06.2011 по 13.05.2016 являлся заместителем председателя Наблюдательного совета Банка НКЦ (АО).</w:t>
      </w:r>
    </w:p>
    <w:p w14:paraId="3B64F0FB"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С 26.05.2016 по настоящее время является председателем Наблюдательного совета НКО НКЦ (АО).</w:t>
      </w:r>
    </w:p>
    <w:p w14:paraId="2A7D9976" w14:textId="77777777" w:rsidR="00B16348" w:rsidRPr="00B16348" w:rsidRDefault="00B16348" w:rsidP="00B16348">
      <w:pPr>
        <w:spacing w:after="120"/>
        <w:ind w:firstLine="709"/>
        <w:jc w:val="both"/>
        <w:rPr>
          <w:rFonts w:ascii="Times New Roman" w:hAnsi="Times New Roman"/>
          <w:bCs/>
          <w:sz w:val="24"/>
          <w:szCs w:val="24"/>
        </w:rPr>
      </w:pPr>
    </w:p>
    <w:p w14:paraId="2F751A43"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Участие в органах управления других юридических лиц:</w:t>
      </w:r>
    </w:p>
    <w:p w14:paraId="3A7D4060"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25.06.2013 – настоящее время, член Наблюдательного совета Публичного акционерного общества «Московская Биржа ММВБ-РТС».</w:t>
      </w:r>
    </w:p>
    <w:p w14:paraId="721B7A04"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14.10.2003 – 08.04.2015, сопредседатель Совета Национальной Валютной Ассоциации.</w:t>
      </w:r>
    </w:p>
    <w:p w14:paraId="2324CECF" w14:textId="77777777" w:rsidR="00B16348" w:rsidRPr="00B16348" w:rsidRDefault="00B16348" w:rsidP="00B16348">
      <w:pPr>
        <w:widowControl w:val="0"/>
        <w:numPr>
          <w:ilvl w:val="0"/>
          <w:numId w:val="30"/>
        </w:numPr>
        <w:overflowPunct w:val="0"/>
        <w:autoSpaceDE w:val="0"/>
        <w:autoSpaceDN w:val="0"/>
        <w:adjustRightInd w:val="0"/>
        <w:spacing w:after="120"/>
        <w:ind w:left="0" w:firstLine="709"/>
        <w:jc w:val="both"/>
        <w:textAlignment w:val="baseline"/>
        <w:rPr>
          <w:rFonts w:ascii="Times New Roman" w:hAnsi="Times New Roman"/>
          <w:b/>
          <w:bCs/>
          <w:sz w:val="24"/>
          <w:szCs w:val="24"/>
        </w:rPr>
      </w:pPr>
      <w:r w:rsidRPr="00B16348">
        <w:rPr>
          <w:rFonts w:ascii="Times New Roman" w:hAnsi="Times New Roman"/>
          <w:b/>
          <w:bCs/>
          <w:sz w:val="24"/>
          <w:szCs w:val="24"/>
        </w:rPr>
        <w:t xml:space="preserve">Кулик Вадим Валерьевич, </w:t>
      </w:r>
      <w:r w:rsidRPr="00B16348">
        <w:rPr>
          <w:rFonts w:ascii="Times New Roman" w:hAnsi="Times New Roman"/>
          <w:bCs/>
          <w:sz w:val="24"/>
          <w:szCs w:val="24"/>
        </w:rPr>
        <w:t xml:space="preserve">1972 года рождения, образование высшее, в 1995 году окончил </w:t>
      </w:r>
      <w:r w:rsidRPr="00B16348">
        <w:rPr>
          <w:rFonts w:ascii="Times New Roman" w:hAnsi="Times New Roman"/>
          <w:color w:val="000000"/>
          <w:sz w:val="24"/>
          <w:szCs w:val="24"/>
          <w:shd w:val="clear" w:color="auto" w:fill="FFFFFF"/>
        </w:rPr>
        <w:t>Московский химико-технологический университет имени Д. И. Менделеева по специальности «Химическая технология материалов современной энергетики».</w:t>
      </w:r>
    </w:p>
    <w:p w14:paraId="561EAFA4" w14:textId="77777777" w:rsidR="00B16348" w:rsidRPr="00B16348" w:rsidRDefault="00B16348" w:rsidP="00B16348">
      <w:pPr>
        <w:spacing w:after="120"/>
        <w:ind w:firstLine="709"/>
        <w:jc w:val="both"/>
        <w:rPr>
          <w:rFonts w:ascii="Times New Roman" w:hAnsi="Times New Roman"/>
          <w:bCs/>
          <w:i/>
          <w:sz w:val="24"/>
          <w:szCs w:val="24"/>
        </w:rPr>
      </w:pPr>
    </w:p>
    <w:p w14:paraId="72451B9D"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Сведения о трудовой деятельности и служебных обязанностях за пять лет, предшествующих дате избрания в Наблюдательный совет:</w:t>
      </w:r>
    </w:p>
    <w:p w14:paraId="60414B99" w14:textId="77777777" w:rsidR="00B16348" w:rsidRPr="00B16348" w:rsidRDefault="00B16348" w:rsidP="00B16348">
      <w:pPr>
        <w:spacing w:after="120"/>
        <w:ind w:left="709"/>
        <w:jc w:val="both"/>
        <w:rPr>
          <w:rFonts w:ascii="Times New Roman" w:hAnsi="Times New Roman"/>
          <w:b/>
          <w:bCs/>
          <w:sz w:val="24"/>
          <w:szCs w:val="24"/>
        </w:rPr>
      </w:pPr>
    </w:p>
    <w:p w14:paraId="43FE0645"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С 03.06.2011 по 14.01.2013, Вице-Президент-директор Департамента рисков ПАО Сбербанк, участвовал в управлении рыночными и операционными рисками, а также розничными и корпоративными кредитными рисками. Осуществлял внедрение процессов управления рисками в дочерних банках в странах СНГ.</w:t>
      </w:r>
    </w:p>
    <w:p w14:paraId="03436F2B"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С 15.01.2013 по 23.05.2013, Старший Вице – Президент, член Правления ПАО Сбербанк, осуществлял управление банковскими рисками и информационно-технологическое обеспечение банка.</w:t>
      </w:r>
    </w:p>
    <w:p w14:paraId="4D0C7FE4"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С 24.05.2013 по 15.02.2017, Заместитель Председателя Правления, член Правления ПАО Сбербанк, курировал направления по управлению рисками, информационно-технологическому обеспечению, операционной деятельности банка.</w:t>
      </w:r>
    </w:p>
    <w:p w14:paraId="73931B4E"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lastRenderedPageBreak/>
        <w:t>С 16.05.2017 по 15.10.2017, Первый заместитель Председателя Правления, член Правления АО «Открытие Холдинг», курировал направления по информационно-технологическому обеспечению финансовых подразделений дочерних компаний.</w:t>
      </w:r>
    </w:p>
    <w:p w14:paraId="6D8B6922"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С 30.10.2017 по 21.12.2017, Советник Председателя Правления "Газпромбанк" (Акционерное общество),</w:t>
      </w:r>
    </w:p>
    <w:p w14:paraId="184D297A"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С 22.12.2017 по настоящее время, Заместитель Председателя Правления, член Правления "Газпромбанк" (Акционерное общество), участвует в работе по реализации политики развития информационных технологий в головном офисе и филиалах, координирует вопросы разработки стандартов и регламентации процессов операционного сопровождения банковских продуктов, участвует в работе по централизации и координации всех систем управления рисками, политик и процедур в данной области.</w:t>
      </w:r>
    </w:p>
    <w:p w14:paraId="633CE4FD" w14:textId="77777777" w:rsidR="00B16348" w:rsidRPr="00B16348" w:rsidRDefault="00B16348" w:rsidP="00B16348">
      <w:pPr>
        <w:spacing w:after="120"/>
        <w:ind w:firstLine="709"/>
        <w:jc w:val="both"/>
        <w:rPr>
          <w:rFonts w:ascii="Times New Roman" w:hAnsi="Times New Roman"/>
          <w:bCs/>
          <w:i/>
          <w:sz w:val="24"/>
          <w:szCs w:val="24"/>
        </w:rPr>
      </w:pPr>
    </w:p>
    <w:p w14:paraId="3229BC8A"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Участие в органах управления других юридических лиц:</w:t>
      </w:r>
    </w:p>
    <w:p w14:paraId="0632D2ED" w14:textId="77777777" w:rsidR="00B16348" w:rsidRPr="00B16348" w:rsidRDefault="00B16348" w:rsidP="00B16348">
      <w:pPr>
        <w:spacing w:after="120"/>
        <w:jc w:val="both"/>
        <w:rPr>
          <w:rFonts w:ascii="Times New Roman" w:hAnsi="Times New Roman"/>
          <w:bCs/>
          <w:sz w:val="24"/>
          <w:szCs w:val="24"/>
        </w:rPr>
      </w:pPr>
      <w:r w:rsidRPr="00B16348">
        <w:rPr>
          <w:rFonts w:ascii="Times New Roman" w:hAnsi="Times New Roman"/>
          <w:bCs/>
          <w:sz w:val="24"/>
          <w:szCs w:val="24"/>
        </w:rPr>
        <w:t>28.09.2012 - 29.03.2017, Член Совета директоров DenizBank A.S.</w:t>
      </w:r>
    </w:p>
    <w:p w14:paraId="66D28AF0" w14:textId="77777777" w:rsidR="00B16348" w:rsidRPr="00B16348" w:rsidRDefault="00B16348" w:rsidP="00B16348">
      <w:pPr>
        <w:spacing w:after="120"/>
        <w:jc w:val="both"/>
        <w:rPr>
          <w:rFonts w:ascii="Times New Roman" w:hAnsi="Times New Roman"/>
          <w:bCs/>
          <w:sz w:val="24"/>
          <w:szCs w:val="24"/>
        </w:rPr>
      </w:pPr>
      <w:r w:rsidRPr="00B16348">
        <w:rPr>
          <w:rFonts w:ascii="Times New Roman" w:hAnsi="Times New Roman"/>
          <w:bCs/>
          <w:sz w:val="24"/>
          <w:szCs w:val="24"/>
        </w:rPr>
        <w:t>25.04.2013 - 25.01.2017, Член Совета директоров АО «Сбербанк-Технологии»</w:t>
      </w:r>
    </w:p>
    <w:p w14:paraId="362905E9" w14:textId="77777777" w:rsidR="00B16348" w:rsidRPr="00B16348" w:rsidRDefault="00B16348" w:rsidP="00B16348">
      <w:pPr>
        <w:spacing w:after="120"/>
        <w:jc w:val="both"/>
        <w:rPr>
          <w:rFonts w:ascii="Times New Roman" w:hAnsi="Times New Roman"/>
          <w:bCs/>
          <w:sz w:val="24"/>
          <w:szCs w:val="24"/>
        </w:rPr>
      </w:pPr>
      <w:r w:rsidRPr="00B16348">
        <w:rPr>
          <w:rFonts w:ascii="Times New Roman" w:hAnsi="Times New Roman"/>
          <w:bCs/>
          <w:sz w:val="24"/>
          <w:szCs w:val="24"/>
        </w:rPr>
        <w:t>22.01.2014 - 14.03.2017, Член Совета директоров АО «Сбербанк Лизинг»</w:t>
      </w:r>
    </w:p>
    <w:p w14:paraId="5ED484A0" w14:textId="77777777" w:rsidR="00B16348" w:rsidRPr="00B16348" w:rsidRDefault="00B16348" w:rsidP="00B16348">
      <w:pPr>
        <w:spacing w:after="120"/>
        <w:jc w:val="both"/>
        <w:rPr>
          <w:rFonts w:ascii="Times New Roman" w:hAnsi="Times New Roman"/>
          <w:bCs/>
          <w:sz w:val="24"/>
          <w:szCs w:val="24"/>
        </w:rPr>
      </w:pPr>
      <w:r w:rsidRPr="00B16348">
        <w:rPr>
          <w:rFonts w:ascii="Times New Roman" w:hAnsi="Times New Roman"/>
          <w:bCs/>
          <w:sz w:val="24"/>
          <w:szCs w:val="24"/>
        </w:rPr>
        <w:t>29.06.2017 - по настоящее время, Член Наблюдательного Совета Акционерное общество «Российская Национальная Перестраховочная Компания».</w:t>
      </w:r>
    </w:p>
    <w:p w14:paraId="19F0C4D2" w14:textId="77777777" w:rsidR="00B16348" w:rsidRPr="00B16348" w:rsidRDefault="00B16348" w:rsidP="00B16348">
      <w:pPr>
        <w:spacing w:after="120"/>
        <w:jc w:val="both"/>
        <w:rPr>
          <w:rFonts w:ascii="Times New Roman" w:hAnsi="Times New Roman"/>
          <w:b/>
          <w:bCs/>
          <w:sz w:val="24"/>
          <w:szCs w:val="24"/>
        </w:rPr>
      </w:pPr>
    </w:p>
    <w:p w14:paraId="44BB65D6" w14:textId="77777777" w:rsidR="00B16348" w:rsidRPr="00B16348" w:rsidRDefault="00B16348" w:rsidP="00B16348">
      <w:pPr>
        <w:widowControl w:val="0"/>
        <w:numPr>
          <w:ilvl w:val="0"/>
          <w:numId w:val="30"/>
        </w:numPr>
        <w:overflowPunct w:val="0"/>
        <w:autoSpaceDE w:val="0"/>
        <w:autoSpaceDN w:val="0"/>
        <w:adjustRightInd w:val="0"/>
        <w:spacing w:after="120"/>
        <w:ind w:left="0" w:firstLine="709"/>
        <w:jc w:val="both"/>
        <w:textAlignment w:val="baseline"/>
        <w:rPr>
          <w:rFonts w:ascii="Times New Roman" w:hAnsi="Times New Roman"/>
          <w:b/>
          <w:bCs/>
          <w:sz w:val="24"/>
          <w:szCs w:val="24"/>
        </w:rPr>
      </w:pPr>
      <w:r w:rsidRPr="00B16348">
        <w:rPr>
          <w:rFonts w:ascii="Times New Roman" w:hAnsi="Times New Roman"/>
          <w:b/>
          <w:bCs/>
          <w:sz w:val="24"/>
          <w:szCs w:val="24"/>
        </w:rPr>
        <w:t>Лыков Сергей Петрович</w:t>
      </w:r>
      <w:r w:rsidRPr="00B16348">
        <w:rPr>
          <w:rFonts w:ascii="Times New Roman" w:hAnsi="Times New Roman"/>
          <w:bCs/>
          <w:sz w:val="24"/>
          <w:szCs w:val="24"/>
        </w:rPr>
        <w:t>, 1952 года рождения, образование высшее, в 1975 году окончил Московский финансовый институт, квалификация: экономист, специальность: международные экономические отношения</w:t>
      </w:r>
      <w:r w:rsidRPr="00B16348">
        <w:rPr>
          <w:rFonts w:ascii="Times New Roman" w:hAnsi="Times New Roman"/>
          <w:sz w:val="24"/>
          <w:szCs w:val="24"/>
        </w:rPr>
        <w:t xml:space="preserve">, </w:t>
      </w:r>
      <w:r w:rsidRPr="00B16348">
        <w:rPr>
          <w:rFonts w:ascii="Times New Roman" w:hAnsi="Times New Roman"/>
          <w:bCs/>
          <w:sz w:val="24"/>
          <w:szCs w:val="24"/>
        </w:rPr>
        <w:t>в 1988 году окончил аспирантуру Всесоюзного заочного финансово-экономического института с присвоением ученой степени кандидата экономических наук.</w:t>
      </w:r>
    </w:p>
    <w:p w14:paraId="643E8966" w14:textId="77777777" w:rsidR="00B16348" w:rsidRPr="00B16348" w:rsidRDefault="00B16348" w:rsidP="00B16348">
      <w:pPr>
        <w:spacing w:after="120"/>
        <w:ind w:firstLine="709"/>
        <w:jc w:val="both"/>
        <w:rPr>
          <w:rFonts w:ascii="Times New Roman" w:hAnsi="Times New Roman"/>
          <w:bCs/>
          <w:sz w:val="24"/>
          <w:szCs w:val="24"/>
        </w:rPr>
      </w:pPr>
    </w:p>
    <w:p w14:paraId="4E29F2E8"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Сведения о трудовой деятельности и служебных обязанностях за пять лет, предшествующих дате избрания в Наблюдательный совет:</w:t>
      </w:r>
    </w:p>
    <w:p w14:paraId="3A589ADA"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С 28.06.2007 по настоящее время, заместитель Председателя Внешэкономбанка - член Правления (до 26.10.2012 - член Правления – заместитель Председателя Внешэкономбанка). Исполнение служебных обязанностей осуществляется в соответствии с требованиями Федерального закона от 17 мая 2007 г. №82-ФЗ «О банке развития», а также положениями внутренних нормативных документов, регламентирующих деятельность Внешэкономбанка.</w:t>
      </w:r>
    </w:p>
    <w:p w14:paraId="74397E99"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С 28.01.2009 по 15.06.2010 и с 29.06.2011 по 13.05.2016 являлся председателем Наблюдательного совета Банка НКЦ (АО).</w:t>
      </w:r>
    </w:p>
    <w:p w14:paraId="5CBAB8E1"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С 26.05.2016 по настоящее время является заместителем Председателя Наблюдательного совета НКО НКЦ (АО).</w:t>
      </w:r>
    </w:p>
    <w:p w14:paraId="02536EFA" w14:textId="77777777" w:rsidR="00B16348" w:rsidRPr="00B16348" w:rsidRDefault="00B16348" w:rsidP="00B16348">
      <w:pPr>
        <w:spacing w:after="120"/>
        <w:ind w:firstLine="709"/>
        <w:jc w:val="both"/>
        <w:rPr>
          <w:rFonts w:ascii="Times New Roman" w:hAnsi="Times New Roman"/>
          <w:bCs/>
          <w:i/>
          <w:sz w:val="24"/>
          <w:szCs w:val="24"/>
        </w:rPr>
      </w:pPr>
    </w:p>
    <w:p w14:paraId="55D51B20"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Участие в органах управления других юридических лиц:</w:t>
      </w:r>
    </w:p>
    <w:p w14:paraId="6B7E7E34"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28.06.2007 – настоящее время, член Правления Государственной корпорации «Банк развития и внешнеэкономической деятельности (Внешэкономбанк)»</w:t>
      </w:r>
    </w:p>
    <w:p w14:paraId="6EBC9117"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lastRenderedPageBreak/>
        <w:t>С 28.04.2015 – 27.04.2016, член Наблюдательного совета Публичного акционерного общества «Московская Биржа ММВБ-РТС».</w:t>
      </w:r>
    </w:p>
    <w:p w14:paraId="53171777"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 xml:space="preserve">20.05.2004 – 28.04.2015, заместитель Председателя Наблюдательного совета Публичного акционерного общества «Московская Биржа ММВБ-РТС». </w:t>
      </w:r>
    </w:p>
    <w:p w14:paraId="37EC10AA"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21.04.2005 – 29.06.2011,</w:t>
      </w:r>
      <w:r w:rsidRPr="00B16348">
        <w:rPr>
          <w:rFonts w:ascii="Times New Roman" w:hAnsi="Times New Roman"/>
          <w:sz w:val="24"/>
          <w:szCs w:val="24"/>
        </w:rPr>
        <w:t xml:space="preserve"> </w:t>
      </w:r>
      <w:r w:rsidRPr="00B16348">
        <w:rPr>
          <w:rFonts w:ascii="Times New Roman" w:hAnsi="Times New Roman"/>
          <w:bCs/>
          <w:sz w:val="24"/>
          <w:szCs w:val="24"/>
        </w:rPr>
        <w:t>член Совета директоров</w:t>
      </w:r>
      <w:r w:rsidRPr="00B16348">
        <w:rPr>
          <w:rFonts w:ascii="Times New Roman" w:hAnsi="Times New Roman"/>
          <w:sz w:val="24"/>
          <w:szCs w:val="24"/>
        </w:rPr>
        <w:t xml:space="preserve"> </w:t>
      </w:r>
      <w:r w:rsidRPr="00B16348">
        <w:rPr>
          <w:rFonts w:ascii="Times New Roman" w:hAnsi="Times New Roman"/>
          <w:bCs/>
          <w:sz w:val="24"/>
          <w:szCs w:val="24"/>
        </w:rPr>
        <w:t>Закрытого акционерного общества «Фондовая биржа ММВБ»</w:t>
      </w:r>
    </w:p>
    <w:p w14:paraId="76481AD4"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08.06.2006 – 09.06.2015, член Совета директоров Государственного специализированного Российского экспортно-импортного банка (Акционерное общество).</w:t>
      </w:r>
    </w:p>
    <w:p w14:paraId="473A2563"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29.06.2010 – 25.05.2012,</w:t>
      </w:r>
      <w:r w:rsidRPr="00B16348">
        <w:rPr>
          <w:rFonts w:ascii="Times New Roman" w:hAnsi="Times New Roman"/>
          <w:sz w:val="24"/>
          <w:szCs w:val="24"/>
        </w:rPr>
        <w:t xml:space="preserve"> </w:t>
      </w:r>
      <w:r w:rsidRPr="00B16348">
        <w:rPr>
          <w:rFonts w:ascii="Times New Roman" w:hAnsi="Times New Roman"/>
          <w:bCs/>
          <w:sz w:val="24"/>
          <w:szCs w:val="24"/>
        </w:rPr>
        <w:t>член Наблюдательного совета</w:t>
      </w:r>
      <w:r w:rsidRPr="00B16348">
        <w:rPr>
          <w:rFonts w:ascii="Times New Roman" w:hAnsi="Times New Roman"/>
          <w:sz w:val="24"/>
          <w:szCs w:val="24"/>
        </w:rPr>
        <w:t xml:space="preserve"> </w:t>
      </w:r>
      <w:r w:rsidRPr="00B16348">
        <w:rPr>
          <w:rFonts w:ascii="Times New Roman" w:hAnsi="Times New Roman"/>
          <w:bCs/>
          <w:sz w:val="24"/>
          <w:szCs w:val="24"/>
        </w:rPr>
        <w:t>Небанковской кредитной организации закрытого акционерного общества «Национальный расчетный депозитарий»</w:t>
      </w:r>
    </w:p>
    <w:p w14:paraId="1CB90FDF"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28.03.2008 по 25.08.2016, заместитель Председателя Наблюдательного совета Открытого акционерного общества «Белвнешэкономбанк».</w:t>
      </w:r>
    </w:p>
    <w:p w14:paraId="02A2ADBD"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22.01.2009 – настоящее время, заместитель Председателя Совета директоров Межрегионального коммерческого банка развития связи и информатики (Публичное акционерное общество).</w:t>
      </w:r>
    </w:p>
    <w:p w14:paraId="35EFE954"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06.12.2013 – 05.08.2015, член Совета директоров VEB Asia Limited.</w:t>
      </w:r>
    </w:p>
    <w:p w14:paraId="4FD701CD"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29.06.2015 – 30.06.2016, член Совета директоров Открытого акционерного общества «ВЭБ-лизинг».</w:t>
      </w:r>
    </w:p>
    <w:p w14:paraId="066CEE7E"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30.05.2017 – по настоящее время, Член Наблюдательного совета НКО АО НРД.</w:t>
      </w:r>
    </w:p>
    <w:p w14:paraId="1C060329" w14:textId="77777777" w:rsidR="00B16348" w:rsidRPr="00B16348" w:rsidRDefault="00B16348" w:rsidP="00B16348">
      <w:pPr>
        <w:spacing w:after="120"/>
        <w:ind w:firstLine="709"/>
        <w:jc w:val="both"/>
        <w:rPr>
          <w:rFonts w:ascii="Times New Roman" w:hAnsi="Times New Roman"/>
          <w:bCs/>
          <w:sz w:val="24"/>
          <w:szCs w:val="24"/>
        </w:rPr>
      </w:pPr>
    </w:p>
    <w:p w14:paraId="2DB3F5E4" w14:textId="77777777" w:rsidR="00B16348" w:rsidRPr="00B16348" w:rsidRDefault="00B16348" w:rsidP="00B16348">
      <w:pPr>
        <w:widowControl w:val="0"/>
        <w:numPr>
          <w:ilvl w:val="0"/>
          <w:numId w:val="30"/>
        </w:numPr>
        <w:overflowPunct w:val="0"/>
        <w:autoSpaceDE w:val="0"/>
        <w:autoSpaceDN w:val="0"/>
        <w:adjustRightInd w:val="0"/>
        <w:spacing w:after="120"/>
        <w:ind w:left="0" w:firstLine="709"/>
        <w:jc w:val="both"/>
        <w:textAlignment w:val="baseline"/>
        <w:rPr>
          <w:rFonts w:ascii="Times New Roman" w:hAnsi="Times New Roman"/>
          <w:b/>
          <w:bCs/>
          <w:sz w:val="24"/>
          <w:szCs w:val="24"/>
        </w:rPr>
      </w:pPr>
      <w:r w:rsidRPr="00B16348">
        <w:rPr>
          <w:rFonts w:ascii="Times New Roman" w:hAnsi="Times New Roman"/>
          <w:b/>
          <w:bCs/>
          <w:sz w:val="24"/>
          <w:szCs w:val="24"/>
        </w:rPr>
        <w:t>Монин Сергей Александрович</w:t>
      </w:r>
      <w:r w:rsidRPr="00B16348">
        <w:rPr>
          <w:rFonts w:ascii="Times New Roman" w:hAnsi="Times New Roman"/>
          <w:bCs/>
          <w:sz w:val="24"/>
          <w:szCs w:val="24"/>
        </w:rPr>
        <w:t>, 1973 года рождения, образование высшее, в 1995 году окончил Финансовую академию при Правительстве Российской Федерации, квалификация: экономист, специальность: мировая экономика, в 1999 году</w:t>
      </w:r>
      <w:r w:rsidRPr="00B16348">
        <w:rPr>
          <w:rFonts w:ascii="Times New Roman" w:hAnsi="Times New Roman"/>
          <w:sz w:val="24"/>
          <w:szCs w:val="24"/>
        </w:rPr>
        <w:t xml:space="preserve"> </w:t>
      </w:r>
      <w:r w:rsidRPr="00B16348">
        <w:rPr>
          <w:rFonts w:ascii="Times New Roman" w:hAnsi="Times New Roman"/>
          <w:bCs/>
          <w:sz w:val="24"/>
          <w:szCs w:val="24"/>
        </w:rPr>
        <w:t>окончил Финансовую академию при Правительстве Российской Федерации</w:t>
      </w:r>
      <w:r w:rsidRPr="00B16348">
        <w:rPr>
          <w:rFonts w:ascii="Times New Roman" w:hAnsi="Times New Roman"/>
          <w:sz w:val="24"/>
          <w:szCs w:val="24"/>
        </w:rPr>
        <w:t xml:space="preserve"> </w:t>
      </w:r>
      <w:r w:rsidRPr="00B16348">
        <w:rPr>
          <w:rFonts w:ascii="Times New Roman" w:hAnsi="Times New Roman"/>
          <w:bCs/>
          <w:sz w:val="24"/>
          <w:szCs w:val="24"/>
        </w:rPr>
        <w:t>с присвоением ученой степени кандидата экономических наук.</w:t>
      </w:r>
      <w:r w:rsidRPr="00B16348">
        <w:rPr>
          <w:rFonts w:ascii="Times New Roman" w:hAnsi="Times New Roman"/>
          <w:b/>
          <w:bCs/>
          <w:sz w:val="24"/>
          <w:szCs w:val="24"/>
        </w:rPr>
        <w:t xml:space="preserve"> </w:t>
      </w:r>
    </w:p>
    <w:p w14:paraId="6BECF5EE" w14:textId="77777777" w:rsidR="00B16348" w:rsidRPr="00B16348" w:rsidRDefault="00B16348" w:rsidP="00B16348">
      <w:pPr>
        <w:spacing w:after="120"/>
        <w:ind w:firstLine="709"/>
        <w:jc w:val="both"/>
        <w:rPr>
          <w:rFonts w:ascii="Times New Roman" w:hAnsi="Times New Roman"/>
          <w:b/>
          <w:bCs/>
          <w:sz w:val="24"/>
          <w:szCs w:val="24"/>
        </w:rPr>
      </w:pPr>
    </w:p>
    <w:p w14:paraId="7CA39DF3"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Сведения о трудовой деятельности и служебных обязанностях за пять лет, предшествующих дате избрания в Наблюдательный совет:</w:t>
      </w:r>
    </w:p>
    <w:p w14:paraId="2BEF6219"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01.09.2010 – 07.11.2011, Заместитель Председателя Правления, руководитель дирекции Казначейства Закрытого Акционерного Общества «Райффайзенбанк», участвовал в стратегическом планировании деятельности банка. Курировал работу казначейства, управление структурой активов и пассивов банка, контроль над финансовыми рисками.</w:t>
      </w:r>
    </w:p>
    <w:p w14:paraId="19932570"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 xml:space="preserve">07.11.2011 – настоящее время, Председатель Правления Акционерного Общества «Райффайзенбанк», отвечает за разработку и реализацию стратегии развития банка, а также руководство его текущей деятельностью. </w:t>
      </w:r>
    </w:p>
    <w:p w14:paraId="3D0FF0AF" w14:textId="77777777" w:rsidR="00B16348" w:rsidRPr="00B16348" w:rsidRDefault="00B16348" w:rsidP="00B16348">
      <w:pPr>
        <w:spacing w:after="120"/>
        <w:ind w:firstLine="709"/>
        <w:jc w:val="both"/>
        <w:rPr>
          <w:rFonts w:ascii="Times New Roman" w:hAnsi="Times New Roman"/>
          <w:bCs/>
          <w:sz w:val="24"/>
          <w:szCs w:val="24"/>
        </w:rPr>
      </w:pPr>
    </w:p>
    <w:p w14:paraId="27914FDA"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Участие в органах управления других юридических лиц:</w:t>
      </w:r>
    </w:p>
    <w:p w14:paraId="0CB135B7"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02.03.2005 – 08.04.2015, сопредседатель Совета Национальной валютной ассоциации.</w:t>
      </w:r>
    </w:p>
    <w:p w14:paraId="056666F4"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22.04.2014 – 22.04.2015, сопредседатель Совета директоров Национальной Фондовой Ассоциации (саморегулируемая организация).</w:t>
      </w:r>
    </w:p>
    <w:p w14:paraId="44885E54"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lastRenderedPageBreak/>
        <w:t>29.11.2011 – 16.10.2015, Председатель Наблюдательного совета НПО «Райффайзен».</w:t>
      </w:r>
    </w:p>
    <w:p w14:paraId="3E97A57E"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 xml:space="preserve"> 29.09.2011 – настоящее время, Председатель Наблюдательного совета УК «Райффайзен Капитал».</w:t>
      </w:r>
    </w:p>
    <w:p w14:paraId="5AB4989B" w14:textId="77777777" w:rsidR="00B16348" w:rsidRPr="00B16348" w:rsidRDefault="00B16348" w:rsidP="00B16348">
      <w:pPr>
        <w:spacing w:after="120"/>
        <w:ind w:firstLine="709"/>
        <w:jc w:val="both"/>
        <w:rPr>
          <w:rFonts w:ascii="Times New Roman" w:hAnsi="Times New Roman"/>
          <w:bCs/>
          <w:sz w:val="24"/>
          <w:szCs w:val="24"/>
        </w:rPr>
      </w:pPr>
    </w:p>
    <w:p w14:paraId="5D4F573C" w14:textId="77777777" w:rsidR="00B16348" w:rsidRPr="00B16348" w:rsidRDefault="00B16348" w:rsidP="00B16348">
      <w:pPr>
        <w:widowControl w:val="0"/>
        <w:numPr>
          <w:ilvl w:val="0"/>
          <w:numId w:val="30"/>
        </w:numPr>
        <w:overflowPunct w:val="0"/>
        <w:autoSpaceDE w:val="0"/>
        <w:autoSpaceDN w:val="0"/>
        <w:adjustRightInd w:val="0"/>
        <w:spacing w:after="120"/>
        <w:ind w:left="0" w:firstLine="709"/>
        <w:jc w:val="both"/>
        <w:textAlignment w:val="baseline"/>
        <w:rPr>
          <w:rFonts w:ascii="Times New Roman" w:hAnsi="Times New Roman"/>
          <w:b/>
          <w:bCs/>
          <w:sz w:val="24"/>
          <w:szCs w:val="24"/>
        </w:rPr>
      </w:pPr>
      <w:r w:rsidRPr="00B16348">
        <w:rPr>
          <w:rFonts w:ascii="Times New Roman" w:hAnsi="Times New Roman"/>
          <w:b/>
          <w:bCs/>
          <w:sz w:val="24"/>
          <w:szCs w:val="24"/>
        </w:rPr>
        <w:t>Предтеченский Анатолий Николаевич</w:t>
      </w:r>
      <w:r w:rsidRPr="00B16348">
        <w:rPr>
          <w:rStyle w:val="a6"/>
          <w:rFonts w:ascii="Times New Roman" w:hAnsi="Times New Roman"/>
          <w:b/>
          <w:bCs/>
          <w:sz w:val="24"/>
          <w:szCs w:val="24"/>
        </w:rPr>
        <w:footnoteReference w:id="3"/>
      </w:r>
      <w:r w:rsidRPr="00B16348">
        <w:rPr>
          <w:rFonts w:ascii="Times New Roman" w:hAnsi="Times New Roman"/>
          <w:bCs/>
          <w:sz w:val="24"/>
          <w:szCs w:val="24"/>
        </w:rPr>
        <w:t>, 1977 года рождения, образование высшее, в 2000 г. окончил Финансовую академию при Правительстве Российской Федерации, квалификация: экономист, специальность: финансы и кредит. В 2005 г. окончил аспирантуру Финансовой академии при Правительстве Российской Федерации с присвоением ученой степени кандидата экономических наук.</w:t>
      </w:r>
    </w:p>
    <w:p w14:paraId="47D28C56" w14:textId="77777777" w:rsidR="00B16348" w:rsidRPr="00B16348" w:rsidRDefault="00B16348" w:rsidP="00B16348">
      <w:pPr>
        <w:spacing w:after="120"/>
        <w:ind w:firstLine="709"/>
        <w:jc w:val="both"/>
        <w:rPr>
          <w:rFonts w:ascii="Times New Roman" w:hAnsi="Times New Roman"/>
          <w:bCs/>
          <w:sz w:val="24"/>
          <w:szCs w:val="24"/>
        </w:rPr>
      </w:pPr>
    </w:p>
    <w:p w14:paraId="735E9C86"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Сведения о трудовой деятельности и служебных обязанностях за пять лет, предшествующих дате избрания в Наблюдательный совет:</w:t>
      </w:r>
    </w:p>
    <w:p w14:paraId="0FA7C65B"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29.04.2010 – 04.06.2013, Заместитель Председателя Правления ОАО Банк «ОТКРЫТИЕ», курировал направления риск-менеджмента и комплаенса.</w:t>
      </w:r>
    </w:p>
    <w:p w14:paraId="32714655"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05.06.2013 – 26.01.2014, Советник первого Заместителя Председателя Правления ОАО «НОМОС-БАНК», курировал направления риск-менеджмента и комплаенса.</w:t>
      </w:r>
    </w:p>
    <w:p w14:paraId="3EA40A57"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27.01.2014 – 06.02.2017, Заместитель Председателя Правления – Старший Вице-президент ПАО Банк «Финансовая Корпорация Открытие», курировал направления риск-менеджмента и комплаенса.</w:t>
      </w:r>
    </w:p>
    <w:p w14:paraId="362D6ED1"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07.02.2017 – настоящее время, Управляющий директор по финансовым и инвестиционным рискам, член Правления Акционерного общества "Открытие Холдинг".</w:t>
      </w:r>
    </w:p>
    <w:p w14:paraId="08011F25" w14:textId="77777777" w:rsidR="00B16348" w:rsidRPr="00B16348" w:rsidRDefault="00B16348" w:rsidP="00B16348">
      <w:pPr>
        <w:spacing w:after="120"/>
        <w:ind w:firstLine="709"/>
        <w:jc w:val="both"/>
        <w:rPr>
          <w:rFonts w:ascii="Times New Roman" w:hAnsi="Times New Roman"/>
          <w:bCs/>
          <w:sz w:val="24"/>
          <w:szCs w:val="24"/>
        </w:rPr>
      </w:pPr>
    </w:p>
    <w:p w14:paraId="2E149267"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Участие в органах управления других юридических лиц:</w:t>
      </w:r>
    </w:p>
    <w:p w14:paraId="66414997"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31.03.2014 – настоящее время, Член Совета директоров Акционерного ОАО «НПФ «ЛУКОЙЛ-ГАРАНТ».</w:t>
      </w:r>
    </w:p>
    <w:p w14:paraId="71B10D54"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30.06.2016 – настоящее время, Член Совета директоров Банка «ТРАСТ» (ПАО).</w:t>
      </w:r>
    </w:p>
    <w:p w14:paraId="305949CD" w14:textId="77777777" w:rsidR="00B16348" w:rsidRPr="00B16348" w:rsidRDefault="00B16348" w:rsidP="00B16348">
      <w:pPr>
        <w:spacing w:after="120"/>
        <w:ind w:firstLine="709"/>
        <w:jc w:val="both"/>
        <w:rPr>
          <w:rFonts w:ascii="Times New Roman" w:hAnsi="Times New Roman"/>
          <w:bCs/>
          <w:i/>
          <w:sz w:val="24"/>
          <w:szCs w:val="24"/>
        </w:rPr>
      </w:pPr>
    </w:p>
    <w:p w14:paraId="6C7101BB" w14:textId="77777777" w:rsidR="00B16348" w:rsidRPr="00B16348" w:rsidRDefault="00B16348" w:rsidP="00B16348">
      <w:pPr>
        <w:widowControl w:val="0"/>
        <w:numPr>
          <w:ilvl w:val="0"/>
          <w:numId w:val="30"/>
        </w:numPr>
        <w:overflowPunct w:val="0"/>
        <w:autoSpaceDE w:val="0"/>
        <w:autoSpaceDN w:val="0"/>
        <w:adjustRightInd w:val="0"/>
        <w:spacing w:after="120"/>
        <w:ind w:left="0" w:firstLine="709"/>
        <w:jc w:val="both"/>
        <w:textAlignment w:val="baseline"/>
        <w:rPr>
          <w:rFonts w:ascii="Times New Roman" w:hAnsi="Times New Roman"/>
          <w:b/>
          <w:bCs/>
          <w:sz w:val="24"/>
          <w:szCs w:val="24"/>
        </w:rPr>
      </w:pPr>
      <w:r w:rsidRPr="00B16348">
        <w:rPr>
          <w:rFonts w:ascii="Times New Roman" w:hAnsi="Times New Roman"/>
          <w:b/>
          <w:bCs/>
          <w:sz w:val="24"/>
          <w:szCs w:val="24"/>
        </w:rPr>
        <w:t>Смирнов Сергей Николаевич</w:t>
      </w:r>
      <w:r w:rsidRPr="00B16348">
        <w:rPr>
          <w:rFonts w:ascii="Times New Roman" w:hAnsi="Times New Roman"/>
          <w:bCs/>
          <w:sz w:val="24"/>
          <w:szCs w:val="24"/>
        </w:rPr>
        <w:t>, 1955 года рождения, образование высшее, в 1978 году окончил Московский Государственный университет им. М.В. Ломоносова, квалификация: математика, специальность: прикладная математика. В 1991 году окончил Университет Париж VII имени Дени Дидро (Universite Paris VII), квалификация: Магистр финансовой математики (DEA en Mathematiques Financieres), специальность: финансовая эконометрика.</w:t>
      </w:r>
    </w:p>
    <w:p w14:paraId="465C4EFB" w14:textId="77777777" w:rsidR="00B16348" w:rsidRPr="00B16348" w:rsidRDefault="00B16348" w:rsidP="00B16348">
      <w:pPr>
        <w:spacing w:after="120"/>
        <w:ind w:firstLine="709"/>
        <w:jc w:val="both"/>
        <w:rPr>
          <w:rFonts w:ascii="Times New Roman" w:hAnsi="Times New Roman"/>
          <w:bCs/>
          <w:sz w:val="24"/>
          <w:szCs w:val="24"/>
        </w:rPr>
      </w:pPr>
    </w:p>
    <w:p w14:paraId="5E4ECA53"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Сведения о трудовой деятельности и служебных обязанностях за пять лет, предшествующих дате избрания в Наблюдательный совет:</w:t>
      </w:r>
    </w:p>
    <w:p w14:paraId="0FB4B583"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lastRenderedPageBreak/>
        <w:t>15.03.2007 – настоящее время, Директор лаборатории по финансовой инженерии и риск – менеджменту Национального исследовательского университета «Высшая школа экономики» (НИУ ВШЭ), осуществляет профессорско-преподавательскую и научную деятельность.</w:t>
      </w:r>
    </w:p>
    <w:p w14:paraId="22A41086"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Участие в органах управления других юридических лиц:</w:t>
      </w:r>
    </w:p>
    <w:p w14:paraId="0B1AA56C"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10.12.2013 – настоящее время, Заместитель Председателя Наблюдательного совета Некоммерческого партнерства «Гильдия инвестиционных и финансовых аналитиков».</w:t>
      </w:r>
    </w:p>
    <w:p w14:paraId="1848D151"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 xml:space="preserve">30.06.2015 – настоящее время, Независимый член Правления Ассоциации «Гильдия актуариев».                                                                                                        </w:t>
      </w:r>
    </w:p>
    <w:p w14:paraId="3C92C2EE" w14:textId="77777777" w:rsidR="00B16348" w:rsidRPr="00B16348" w:rsidRDefault="00B16348" w:rsidP="00B16348">
      <w:pPr>
        <w:spacing w:after="120"/>
        <w:ind w:firstLine="709"/>
        <w:jc w:val="both"/>
        <w:rPr>
          <w:rFonts w:ascii="Times New Roman" w:hAnsi="Times New Roman"/>
          <w:bCs/>
          <w:sz w:val="24"/>
          <w:szCs w:val="24"/>
        </w:rPr>
      </w:pPr>
    </w:p>
    <w:p w14:paraId="654CE845" w14:textId="77777777" w:rsidR="00B16348" w:rsidRPr="00B16348" w:rsidRDefault="00B16348" w:rsidP="00B16348">
      <w:pPr>
        <w:widowControl w:val="0"/>
        <w:numPr>
          <w:ilvl w:val="0"/>
          <w:numId w:val="30"/>
        </w:numPr>
        <w:overflowPunct w:val="0"/>
        <w:autoSpaceDE w:val="0"/>
        <w:autoSpaceDN w:val="0"/>
        <w:adjustRightInd w:val="0"/>
        <w:spacing w:after="120"/>
        <w:ind w:left="0" w:firstLine="709"/>
        <w:jc w:val="both"/>
        <w:textAlignment w:val="baseline"/>
        <w:rPr>
          <w:rFonts w:ascii="Times New Roman" w:hAnsi="Times New Roman"/>
          <w:b/>
          <w:bCs/>
          <w:sz w:val="24"/>
          <w:szCs w:val="24"/>
        </w:rPr>
      </w:pPr>
      <w:r w:rsidRPr="00B16348">
        <w:rPr>
          <w:rFonts w:ascii="Times New Roman" w:hAnsi="Times New Roman"/>
          <w:b/>
          <w:bCs/>
          <w:sz w:val="24"/>
          <w:szCs w:val="24"/>
        </w:rPr>
        <w:t>Хавин Алексей Сергеевич</w:t>
      </w:r>
      <w:r w:rsidRPr="00B16348">
        <w:rPr>
          <w:rFonts w:ascii="Times New Roman" w:hAnsi="Times New Roman"/>
          <w:bCs/>
          <w:sz w:val="24"/>
          <w:szCs w:val="24"/>
        </w:rPr>
        <w:t>, 1975 года рождения, образование высшее, в 1997 году окончил Финансовую академию при Правительстве Российской Федерации, квалификация: экономист, специальность «Мировая экономика».</w:t>
      </w:r>
    </w:p>
    <w:p w14:paraId="527787AA" w14:textId="77777777" w:rsidR="00B16348" w:rsidRPr="00B16348" w:rsidRDefault="00B16348" w:rsidP="00B16348">
      <w:pPr>
        <w:spacing w:after="120"/>
        <w:ind w:firstLine="709"/>
        <w:jc w:val="both"/>
        <w:rPr>
          <w:rFonts w:ascii="Times New Roman" w:hAnsi="Times New Roman"/>
          <w:bCs/>
          <w:sz w:val="24"/>
          <w:szCs w:val="24"/>
        </w:rPr>
      </w:pPr>
    </w:p>
    <w:p w14:paraId="4E9C747A"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Сведения о трудовой деятельности и служебных обязанностях за пять лет, предшествующих дате избрания в Наблюдательный совет:</w:t>
      </w:r>
    </w:p>
    <w:p w14:paraId="632D3F7D"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 xml:space="preserve">03.09.2007 – 06.03.2009, Первый Вице-президент – начальник Казначейства Акционерного банка газовой промышленности «Газпромбанк» (Открытое акционерное общество), осуществлял курирование собственных и клиентских операций Банка на финансовых рынках. </w:t>
      </w:r>
    </w:p>
    <w:p w14:paraId="59E99013"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21.12.2010 – 11.04.2011, Заместитель Председателя Правления ЗАО АКБ «Национальный Клиринговый Центр», курировал работу Казначейства и подразделений бэк-офиса Банка.</w:t>
      </w:r>
    </w:p>
    <w:p w14:paraId="704917CB" w14:textId="77777777" w:rsidR="00B16348" w:rsidRPr="00B16348" w:rsidRDefault="00B16348" w:rsidP="00B16348">
      <w:pPr>
        <w:spacing w:after="120"/>
        <w:ind w:firstLine="709"/>
        <w:jc w:val="both"/>
        <w:rPr>
          <w:rFonts w:ascii="Times New Roman" w:hAnsi="Times New Roman"/>
          <w:bCs/>
          <w:sz w:val="24"/>
          <w:szCs w:val="24"/>
        </w:rPr>
      </w:pPr>
      <w:r w:rsidRPr="00B16348">
        <w:rPr>
          <w:rFonts w:ascii="Times New Roman" w:hAnsi="Times New Roman"/>
          <w:bCs/>
          <w:sz w:val="24"/>
          <w:szCs w:val="24"/>
        </w:rPr>
        <w:t>12.04.2011 – настоящее время, Председатель Правления НКО НКЦ (АО), осуществляет общее руководство деятельности Общества.</w:t>
      </w:r>
    </w:p>
    <w:p w14:paraId="3F22C05B" w14:textId="77777777" w:rsidR="00B16348" w:rsidRPr="00B16348" w:rsidRDefault="00B16348" w:rsidP="00B16348">
      <w:pPr>
        <w:spacing w:after="120"/>
        <w:ind w:firstLine="709"/>
        <w:jc w:val="both"/>
        <w:rPr>
          <w:rFonts w:ascii="Times New Roman" w:hAnsi="Times New Roman"/>
          <w:bCs/>
          <w:sz w:val="24"/>
          <w:szCs w:val="24"/>
        </w:rPr>
      </w:pPr>
    </w:p>
    <w:p w14:paraId="333A3568" w14:textId="77777777" w:rsidR="00B16348" w:rsidRPr="00B16348" w:rsidRDefault="00B16348" w:rsidP="00B16348">
      <w:pPr>
        <w:spacing w:after="120"/>
        <w:ind w:firstLine="709"/>
        <w:jc w:val="both"/>
        <w:rPr>
          <w:rFonts w:ascii="Times New Roman" w:hAnsi="Times New Roman"/>
          <w:bCs/>
          <w:i/>
          <w:sz w:val="24"/>
          <w:szCs w:val="24"/>
        </w:rPr>
      </w:pPr>
      <w:r w:rsidRPr="00B16348">
        <w:rPr>
          <w:rFonts w:ascii="Times New Roman" w:hAnsi="Times New Roman"/>
          <w:bCs/>
          <w:i/>
          <w:sz w:val="24"/>
          <w:szCs w:val="24"/>
        </w:rPr>
        <w:t>Участие в органах управления других юридических лиц:</w:t>
      </w:r>
    </w:p>
    <w:p w14:paraId="5B1FA228" w14:textId="77777777" w:rsidR="00B16348" w:rsidRPr="00B16348" w:rsidRDefault="00B16348" w:rsidP="00B16348">
      <w:pPr>
        <w:spacing w:after="120"/>
        <w:ind w:firstLine="709"/>
        <w:jc w:val="both"/>
        <w:textAlignment w:val="top"/>
        <w:rPr>
          <w:rFonts w:ascii="Times New Roman" w:hAnsi="Times New Roman"/>
          <w:color w:val="000000"/>
          <w:sz w:val="24"/>
          <w:szCs w:val="24"/>
        </w:rPr>
      </w:pPr>
      <w:r w:rsidRPr="00B16348">
        <w:rPr>
          <w:rFonts w:ascii="Times New Roman" w:hAnsi="Times New Roman"/>
          <w:color w:val="000000"/>
          <w:sz w:val="24"/>
          <w:szCs w:val="24"/>
        </w:rPr>
        <w:t>25.04.2006 – 08.04.2015, сопредседатель Совета Национальной Валютной Ассоциации.</w:t>
      </w:r>
    </w:p>
    <w:p w14:paraId="679CCE64" w14:textId="77777777" w:rsidR="00B16348" w:rsidRPr="00B16348" w:rsidRDefault="00B16348" w:rsidP="00B16348">
      <w:pPr>
        <w:spacing w:after="120"/>
        <w:ind w:firstLine="709"/>
        <w:jc w:val="both"/>
        <w:textAlignment w:val="top"/>
        <w:rPr>
          <w:rFonts w:ascii="Times New Roman" w:hAnsi="Times New Roman"/>
          <w:color w:val="000000"/>
          <w:sz w:val="24"/>
          <w:szCs w:val="24"/>
        </w:rPr>
      </w:pPr>
      <w:r w:rsidRPr="00B16348">
        <w:rPr>
          <w:rFonts w:ascii="Times New Roman" w:hAnsi="Times New Roman"/>
          <w:color w:val="000000"/>
          <w:sz w:val="24"/>
          <w:szCs w:val="24"/>
        </w:rPr>
        <w:t>24.02.2011 – по настоящее время, член Совета директоров Sea Launch AG.</w:t>
      </w:r>
    </w:p>
    <w:p w14:paraId="05A6C7D2" w14:textId="77777777" w:rsidR="00B16348" w:rsidRPr="00B16348" w:rsidRDefault="00B16348" w:rsidP="00B16348">
      <w:pPr>
        <w:spacing w:after="120"/>
        <w:ind w:firstLine="709"/>
        <w:jc w:val="both"/>
        <w:textAlignment w:val="top"/>
        <w:rPr>
          <w:rFonts w:ascii="Times New Roman" w:hAnsi="Times New Roman"/>
          <w:color w:val="000000"/>
          <w:sz w:val="24"/>
          <w:szCs w:val="24"/>
        </w:rPr>
      </w:pPr>
      <w:r w:rsidRPr="00B16348">
        <w:rPr>
          <w:rFonts w:ascii="Times New Roman" w:hAnsi="Times New Roman"/>
          <w:color w:val="000000"/>
          <w:sz w:val="24"/>
          <w:szCs w:val="24"/>
        </w:rPr>
        <w:t>20.04.2011 – по настоящее время, член Совета Национальной финансовой ассоциации (саморегулируемая организация).</w:t>
      </w:r>
    </w:p>
    <w:p w14:paraId="6A4C6F92" w14:textId="77777777" w:rsidR="00B16348" w:rsidRPr="00B16348" w:rsidRDefault="00B16348" w:rsidP="00B16348">
      <w:pPr>
        <w:pStyle w:val="a9"/>
        <w:numPr>
          <w:ilvl w:val="2"/>
          <w:numId w:val="34"/>
        </w:numPr>
        <w:rPr>
          <w:rFonts w:ascii="Times New Roman" w:hAnsi="Times New Roman"/>
          <w:color w:val="000000"/>
          <w:sz w:val="24"/>
          <w:szCs w:val="24"/>
        </w:rPr>
      </w:pPr>
      <w:r w:rsidRPr="00B16348">
        <w:rPr>
          <w:rFonts w:ascii="Times New Roman" w:hAnsi="Times New Roman"/>
          <w:color w:val="000000"/>
          <w:sz w:val="24"/>
          <w:szCs w:val="24"/>
        </w:rPr>
        <w:t>– 24.05.2017, член Наблюдательного Совета АО НТБ.</w:t>
      </w:r>
    </w:p>
    <w:p w14:paraId="4AB95D4A" w14:textId="77777777" w:rsidR="00B16348" w:rsidRDefault="00B16348" w:rsidP="00015C0E">
      <w:pPr>
        <w:widowControl w:val="0"/>
        <w:tabs>
          <w:tab w:val="left" w:pos="8820"/>
        </w:tabs>
        <w:overflowPunct w:val="0"/>
        <w:autoSpaceDE w:val="0"/>
        <w:autoSpaceDN w:val="0"/>
        <w:adjustRightInd w:val="0"/>
        <w:ind w:right="76"/>
        <w:jc w:val="center"/>
        <w:textAlignment w:val="baseline"/>
        <w:rPr>
          <w:rFonts w:ascii="Times New Roman" w:eastAsia="Times New Roman" w:hAnsi="Times New Roman"/>
          <w:b/>
          <w:sz w:val="28"/>
          <w:szCs w:val="28"/>
          <w:lang w:eastAsia="ru-RU"/>
        </w:rPr>
      </w:pPr>
    </w:p>
    <w:p w14:paraId="443CC184" w14:textId="77777777" w:rsidR="004F536A" w:rsidRPr="003221B6" w:rsidRDefault="004F536A" w:rsidP="007160B5">
      <w:pPr>
        <w:widowControl w:val="0"/>
        <w:overflowPunct w:val="0"/>
        <w:autoSpaceDE w:val="0"/>
        <w:autoSpaceDN w:val="0"/>
        <w:adjustRightInd w:val="0"/>
        <w:ind w:firstLine="360"/>
        <w:jc w:val="center"/>
        <w:textAlignment w:val="baseline"/>
        <w:outlineLvl w:val="0"/>
        <w:rPr>
          <w:rFonts w:ascii="Times New Roman" w:eastAsia="Times New Roman" w:hAnsi="Times New Roman" w:cs="Arial"/>
          <w:b/>
          <w:sz w:val="32"/>
          <w:szCs w:val="32"/>
          <w:lang w:eastAsia="ru-RU"/>
        </w:rPr>
      </w:pPr>
      <w:bookmarkStart w:id="54" w:name="_Toc510776685"/>
      <w:r w:rsidRPr="003221B6">
        <w:rPr>
          <w:rFonts w:ascii="Times New Roman" w:eastAsia="Times New Roman" w:hAnsi="Times New Roman" w:cs="Arial"/>
          <w:b/>
          <w:sz w:val="32"/>
          <w:szCs w:val="32"/>
          <w:lang w:eastAsia="ru-RU"/>
        </w:rPr>
        <w:t>12. Сведения о Председателе Правления и членах Правления</w:t>
      </w:r>
      <w:bookmarkEnd w:id="54"/>
    </w:p>
    <w:p w14:paraId="69D8B26D" w14:textId="77777777" w:rsidR="004F536A" w:rsidRPr="004F536A" w:rsidRDefault="004F536A" w:rsidP="004F536A">
      <w:pPr>
        <w:widowControl w:val="0"/>
        <w:tabs>
          <w:tab w:val="left" w:pos="8820"/>
        </w:tabs>
        <w:overflowPunct w:val="0"/>
        <w:autoSpaceDE w:val="0"/>
        <w:autoSpaceDN w:val="0"/>
        <w:adjustRightInd w:val="0"/>
        <w:ind w:right="76"/>
        <w:textAlignment w:val="baseline"/>
        <w:rPr>
          <w:rFonts w:ascii="Times New Roman" w:eastAsia="Times New Roman" w:hAnsi="Times New Roman"/>
          <w:b/>
          <w:sz w:val="28"/>
          <w:szCs w:val="28"/>
          <w:lang w:eastAsia="ru-RU"/>
        </w:rPr>
      </w:pPr>
    </w:p>
    <w:p w14:paraId="3941F8C2" w14:textId="77777777" w:rsidR="004F536A" w:rsidRPr="004F536A" w:rsidRDefault="004F536A" w:rsidP="004F536A">
      <w:pPr>
        <w:widowControl w:val="0"/>
        <w:overflowPunct w:val="0"/>
        <w:autoSpaceDE w:val="0"/>
        <w:autoSpaceDN w:val="0"/>
        <w:adjustRightInd w:val="0"/>
        <w:jc w:val="both"/>
        <w:textAlignment w:val="baseline"/>
        <w:rPr>
          <w:rFonts w:ascii="Times New Roman" w:eastAsia="Times New Roman" w:hAnsi="Times New Roman"/>
          <w:i/>
          <w:sz w:val="24"/>
          <w:szCs w:val="24"/>
          <w:lang w:eastAsia="ru-RU"/>
        </w:rPr>
      </w:pPr>
      <w:r w:rsidRPr="004F536A">
        <w:rPr>
          <w:rFonts w:ascii="Times New Roman" w:eastAsia="Times New Roman" w:hAnsi="Times New Roman"/>
          <w:i/>
          <w:sz w:val="24"/>
          <w:szCs w:val="24"/>
          <w:lang w:eastAsia="ru-RU"/>
        </w:rPr>
        <w:t xml:space="preserve">       С 12 апреля 2011 года в соответствии с решением единственного акционера </w:t>
      </w:r>
      <w:r w:rsidRPr="004F536A">
        <w:rPr>
          <w:rFonts w:ascii="Times New Roman" w:eastAsia="Times New Roman" w:hAnsi="Times New Roman"/>
          <w:bCs/>
          <w:i/>
          <w:sz w:val="24"/>
          <w:szCs w:val="24"/>
          <w:lang w:eastAsia="ru-RU"/>
        </w:rPr>
        <w:t xml:space="preserve">Общества </w:t>
      </w:r>
      <w:r w:rsidRPr="004F536A">
        <w:rPr>
          <w:rFonts w:ascii="Times New Roman" w:eastAsia="Times New Roman" w:hAnsi="Times New Roman"/>
          <w:i/>
          <w:sz w:val="24"/>
          <w:szCs w:val="24"/>
          <w:lang w:eastAsia="ru-RU"/>
        </w:rPr>
        <w:t xml:space="preserve">Председателем Правления был избран Хавин Алексей Сергеевич. В апреле 2015 года решением единственного акционера </w:t>
      </w:r>
      <w:r w:rsidRPr="004F536A">
        <w:rPr>
          <w:rFonts w:ascii="Times New Roman" w:eastAsia="Times New Roman" w:hAnsi="Times New Roman"/>
          <w:bCs/>
          <w:i/>
          <w:sz w:val="24"/>
          <w:szCs w:val="24"/>
          <w:lang w:eastAsia="ru-RU"/>
        </w:rPr>
        <w:t xml:space="preserve">Общества </w:t>
      </w:r>
      <w:r w:rsidRPr="004F536A">
        <w:rPr>
          <w:rFonts w:ascii="Times New Roman" w:eastAsia="Times New Roman" w:hAnsi="Times New Roman"/>
          <w:i/>
          <w:sz w:val="24"/>
          <w:szCs w:val="24"/>
          <w:lang w:eastAsia="ru-RU"/>
        </w:rPr>
        <w:t xml:space="preserve">полномочия Хавина Алексей Сергеевича на должности Председателя Правления были продлены. </w:t>
      </w:r>
    </w:p>
    <w:p w14:paraId="32F0F94D" w14:textId="77777777" w:rsidR="004F536A" w:rsidRPr="004F536A" w:rsidRDefault="004F536A" w:rsidP="004F536A">
      <w:pPr>
        <w:widowControl w:val="0"/>
        <w:tabs>
          <w:tab w:val="left" w:pos="705"/>
        </w:tabs>
        <w:overflowPunct w:val="0"/>
        <w:autoSpaceDE w:val="0"/>
        <w:autoSpaceDN w:val="0"/>
        <w:adjustRightInd w:val="0"/>
        <w:ind w:firstLine="567"/>
        <w:jc w:val="both"/>
        <w:textAlignment w:val="baseline"/>
        <w:rPr>
          <w:rFonts w:ascii="Times New Roman" w:eastAsia="Times New Roman" w:hAnsi="Times New Roman"/>
          <w:b/>
          <w:sz w:val="24"/>
          <w:szCs w:val="24"/>
          <w:lang w:eastAsia="ru-RU"/>
        </w:rPr>
      </w:pPr>
    </w:p>
    <w:p w14:paraId="6198DC1B" w14:textId="77777777" w:rsidR="004F536A" w:rsidRPr="004F536A" w:rsidRDefault="004F536A" w:rsidP="004F536A">
      <w:pPr>
        <w:widowControl w:val="0"/>
        <w:overflowPunct w:val="0"/>
        <w:autoSpaceDE w:val="0"/>
        <w:autoSpaceDN w:val="0"/>
        <w:adjustRightInd w:val="0"/>
        <w:spacing w:after="120"/>
        <w:ind w:firstLine="567"/>
        <w:jc w:val="both"/>
        <w:textAlignment w:val="baseline"/>
        <w:rPr>
          <w:rFonts w:ascii="Times New Roman" w:eastAsia="Times New Roman" w:hAnsi="Times New Roman"/>
          <w:b/>
          <w:bCs/>
          <w:sz w:val="24"/>
          <w:szCs w:val="24"/>
          <w:lang w:eastAsia="ru-RU"/>
        </w:rPr>
      </w:pPr>
      <w:r w:rsidRPr="004F536A">
        <w:rPr>
          <w:rFonts w:ascii="Times New Roman" w:eastAsia="Times New Roman" w:hAnsi="Times New Roman"/>
          <w:b/>
          <w:bCs/>
          <w:sz w:val="24"/>
          <w:szCs w:val="24"/>
          <w:lang w:eastAsia="ru-RU"/>
        </w:rPr>
        <w:t>Хавин Алексей Сергеевич</w:t>
      </w:r>
      <w:r w:rsidRPr="004F536A">
        <w:rPr>
          <w:rFonts w:ascii="Times New Roman" w:eastAsia="Times New Roman" w:hAnsi="Times New Roman"/>
          <w:bCs/>
          <w:sz w:val="24"/>
          <w:szCs w:val="24"/>
          <w:lang w:eastAsia="ru-RU"/>
        </w:rPr>
        <w:t>, 1975 года рождения, образование высшее, в 1997 году окончил Финансовую академию при Правительстве Российской Федерации, квалификация: экономист, специальность «Мировая экономика». Имеет квалификационные аттестаты специалиста финансового рынка (с 18.05.2006 – по специализации в области финансового рынка: брокерская, дилерская деятельность и деятельность по управлению ценными бумагами, с 08.10.2012 - по организации торговли на рынке ценных бумаг (деятельности фондовой биржи) и клиринговой деятельности).</w:t>
      </w:r>
    </w:p>
    <w:p w14:paraId="4040EF8B" w14:textId="77777777" w:rsidR="004F536A" w:rsidRPr="004F536A" w:rsidRDefault="004F536A" w:rsidP="004F536A">
      <w:pPr>
        <w:widowControl w:val="0"/>
        <w:tabs>
          <w:tab w:val="left" w:pos="0"/>
          <w:tab w:val="left" w:pos="709"/>
          <w:tab w:val="left" w:pos="851"/>
          <w:tab w:val="left" w:pos="1134"/>
        </w:tabs>
        <w:overflowPunct w:val="0"/>
        <w:autoSpaceDE w:val="0"/>
        <w:autoSpaceDN w:val="0"/>
        <w:adjustRightInd w:val="0"/>
        <w:spacing w:after="120"/>
        <w:ind w:left="1065"/>
        <w:jc w:val="both"/>
        <w:textAlignment w:val="baseline"/>
        <w:rPr>
          <w:rFonts w:ascii="Times New Roman" w:eastAsia="Times New Roman" w:hAnsi="Times New Roman"/>
          <w:bCs/>
          <w:sz w:val="24"/>
          <w:szCs w:val="24"/>
          <w:lang w:eastAsia="ru-RU"/>
        </w:rPr>
      </w:pPr>
    </w:p>
    <w:p w14:paraId="16328B61" w14:textId="77777777" w:rsidR="004F536A" w:rsidRPr="004F536A" w:rsidRDefault="004F536A" w:rsidP="004F536A">
      <w:pPr>
        <w:widowControl w:val="0"/>
        <w:tabs>
          <w:tab w:val="left" w:pos="0"/>
        </w:tabs>
        <w:overflowPunct w:val="0"/>
        <w:autoSpaceDE w:val="0"/>
        <w:autoSpaceDN w:val="0"/>
        <w:adjustRightInd w:val="0"/>
        <w:spacing w:after="120"/>
        <w:jc w:val="both"/>
        <w:textAlignment w:val="baseline"/>
        <w:rPr>
          <w:rFonts w:ascii="Times New Roman" w:eastAsia="Times New Roman" w:hAnsi="Times New Roman"/>
          <w:bCs/>
          <w:i/>
          <w:sz w:val="24"/>
          <w:szCs w:val="24"/>
          <w:lang w:eastAsia="ru-RU"/>
        </w:rPr>
      </w:pPr>
      <w:r w:rsidRPr="004F536A">
        <w:rPr>
          <w:rFonts w:ascii="Times New Roman" w:eastAsia="Times New Roman" w:hAnsi="Times New Roman"/>
          <w:bCs/>
          <w:i/>
          <w:sz w:val="24"/>
          <w:szCs w:val="24"/>
          <w:lang w:eastAsia="ru-RU"/>
        </w:rPr>
        <w:t>Сведения о трудовой деятельности и служебных обязанностях за пять лет:</w:t>
      </w:r>
    </w:p>
    <w:p w14:paraId="2C19C096" w14:textId="77777777" w:rsidR="004F536A" w:rsidRPr="004F536A" w:rsidRDefault="004F536A" w:rsidP="004F536A">
      <w:pPr>
        <w:widowControl w:val="0"/>
        <w:tabs>
          <w:tab w:val="left" w:pos="0"/>
        </w:tabs>
        <w:overflowPunct w:val="0"/>
        <w:autoSpaceDE w:val="0"/>
        <w:autoSpaceDN w:val="0"/>
        <w:adjustRightInd w:val="0"/>
        <w:spacing w:after="120"/>
        <w:jc w:val="both"/>
        <w:textAlignment w:val="baseline"/>
        <w:rPr>
          <w:rFonts w:ascii="Times New Roman" w:eastAsia="Times New Roman" w:hAnsi="Times New Roman"/>
          <w:bCs/>
          <w:sz w:val="24"/>
          <w:szCs w:val="24"/>
          <w:lang w:eastAsia="ru-RU"/>
        </w:rPr>
      </w:pPr>
      <w:r w:rsidRPr="004F536A">
        <w:rPr>
          <w:rFonts w:ascii="Times New Roman" w:eastAsia="Times New Roman" w:hAnsi="Times New Roman"/>
          <w:bCs/>
          <w:sz w:val="24"/>
          <w:szCs w:val="24"/>
          <w:lang w:eastAsia="ru-RU"/>
        </w:rPr>
        <w:t xml:space="preserve">03.09.2007 – 06.03.2009, Первый Вице-президент – начальник Казначейства Акционерного банка газовой промышленности «Газпромбанк» (Открытое акционерное общество), осуществлял курирование собственных и клиентских операций Банка на финансовых рынках. </w:t>
      </w:r>
    </w:p>
    <w:p w14:paraId="72FE04BE" w14:textId="77777777" w:rsidR="004F536A" w:rsidRPr="004F536A" w:rsidRDefault="004F536A" w:rsidP="004F536A">
      <w:pPr>
        <w:widowControl w:val="0"/>
        <w:tabs>
          <w:tab w:val="left" w:pos="0"/>
        </w:tabs>
        <w:overflowPunct w:val="0"/>
        <w:autoSpaceDE w:val="0"/>
        <w:autoSpaceDN w:val="0"/>
        <w:adjustRightInd w:val="0"/>
        <w:spacing w:after="120"/>
        <w:jc w:val="both"/>
        <w:textAlignment w:val="baseline"/>
        <w:rPr>
          <w:rFonts w:ascii="Times New Roman" w:eastAsia="Times New Roman" w:hAnsi="Times New Roman"/>
          <w:bCs/>
          <w:sz w:val="24"/>
          <w:szCs w:val="24"/>
          <w:lang w:eastAsia="ru-RU"/>
        </w:rPr>
      </w:pPr>
      <w:r w:rsidRPr="004F536A">
        <w:rPr>
          <w:rFonts w:ascii="Times New Roman" w:eastAsia="Times New Roman" w:hAnsi="Times New Roman"/>
          <w:bCs/>
          <w:sz w:val="24"/>
          <w:szCs w:val="24"/>
          <w:lang w:eastAsia="ru-RU"/>
        </w:rPr>
        <w:t xml:space="preserve">11.11.2010 – 20.12.2010, Советник Председателя Правления ЗАО АКБ «Национальный Клиринговый Центр», занимался разработкой направлений и совершенствованием механизмов управления временно свободными денежными средствами. </w:t>
      </w:r>
    </w:p>
    <w:p w14:paraId="1608ED74" w14:textId="77777777" w:rsidR="004F536A" w:rsidRPr="004F536A" w:rsidRDefault="004F536A" w:rsidP="004F536A">
      <w:pPr>
        <w:widowControl w:val="0"/>
        <w:tabs>
          <w:tab w:val="left" w:pos="0"/>
        </w:tabs>
        <w:overflowPunct w:val="0"/>
        <w:autoSpaceDE w:val="0"/>
        <w:autoSpaceDN w:val="0"/>
        <w:adjustRightInd w:val="0"/>
        <w:spacing w:after="120"/>
        <w:jc w:val="both"/>
        <w:textAlignment w:val="baseline"/>
        <w:rPr>
          <w:rFonts w:ascii="Times New Roman" w:eastAsia="Times New Roman" w:hAnsi="Times New Roman"/>
          <w:bCs/>
          <w:sz w:val="24"/>
          <w:szCs w:val="24"/>
          <w:lang w:eastAsia="ru-RU"/>
        </w:rPr>
      </w:pPr>
      <w:r w:rsidRPr="004F536A">
        <w:rPr>
          <w:rFonts w:ascii="Times New Roman" w:eastAsia="Times New Roman" w:hAnsi="Times New Roman"/>
          <w:bCs/>
          <w:sz w:val="24"/>
          <w:szCs w:val="24"/>
          <w:lang w:eastAsia="ru-RU"/>
        </w:rPr>
        <w:t>21.12.2010 – 11.04.2011, Заместитель Председателя Правления ЗАО АКБ «Национальный Клиринговый Центр», курировал работу Казначейства и подразделений бэк-офиса.</w:t>
      </w:r>
    </w:p>
    <w:p w14:paraId="6F8A3B80" w14:textId="77777777" w:rsidR="004F536A" w:rsidRPr="004F536A" w:rsidRDefault="004F536A" w:rsidP="004F536A">
      <w:pPr>
        <w:widowControl w:val="0"/>
        <w:tabs>
          <w:tab w:val="left" w:pos="0"/>
        </w:tabs>
        <w:overflowPunct w:val="0"/>
        <w:autoSpaceDE w:val="0"/>
        <w:autoSpaceDN w:val="0"/>
        <w:adjustRightInd w:val="0"/>
        <w:spacing w:after="120"/>
        <w:jc w:val="both"/>
        <w:textAlignment w:val="baseline"/>
        <w:rPr>
          <w:rFonts w:ascii="Times New Roman" w:eastAsia="Times New Roman" w:hAnsi="Times New Roman"/>
          <w:bCs/>
          <w:sz w:val="24"/>
          <w:szCs w:val="24"/>
          <w:lang w:eastAsia="ru-RU"/>
        </w:rPr>
      </w:pPr>
      <w:r w:rsidRPr="004F536A">
        <w:rPr>
          <w:rFonts w:ascii="Times New Roman" w:eastAsia="Times New Roman" w:hAnsi="Times New Roman"/>
          <w:bCs/>
          <w:sz w:val="24"/>
          <w:szCs w:val="24"/>
          <w:lang w:eastAsia="ru-RU"/>
        </w:rPr>
        <w:t>12.04.2011 – настоящее время, Председатель Правления НКО НКЦ (АО), осуществляет общее руководство деятельностью Общества.</w:t>
      </w:r>
    </w:p>
    <w:p w14:paraId="25199ED4" w14:textId="77777777" w:rsidR="004F536A" w:rsidRPr="004F536A" w:rsidRDefault="004F536A" w:rsidP="004F536A">
      <w:pPr>
        <w:widowControl w:val="0"/>
        <w:tabs>
          <w:tab w:val="left" w:pos="0"/>
        </w:tabs>
        <w:overflowPunct w:val="0"/>
        <w:autoSpaceDE w:val="0"/>
        <w:autoSpaceDN w:val="0"/>
        <w:adjustRightInd w:val="0"/>
        <w:spacing w:after="120"/>
        <w:jc w:val="both"/>
        <w:textAlignment w:val="baseline"/>
        <w:rPr>
          <w:rFonts w:ascii="Times New Roman" w:eastAsia="Times New Roman" w:hAnsi="Times New Roman"/>
          <w:bCs/>
          <w:sz w:val="24"/>
          <w:szCs w:val="24"/>
          <w:lang w:eastAsia="ru-RU"/>
        </w:rPr>
      </w:pPr>
    </w:p>
    <w:p w14:paraId="62EEF245" w14:textId="77777777" w:rsidR="004F536A" w:rsidRPr="004F536A" w:rsidRDefault="004F536A" w:rsidP="004F536A">
      <w:pPr>
        <w:widowControl w:val="0"/>
        <w:tabs>
          <w:tab w:val="left" w:pos="0"/>
        </w:tabs>
        <w:overflowPunct w:val="0"/>
        <w:autoSpaceDE w:val="0"/>
        <w:autoSpaceDN w:val="0"/>
        <w:adjustRightInd w:val="0"/>
        <w:spacing w:after="120"/>
        <w:jc w:val="both"/>
        <w:textAlignment w:val="baseline"/>
        <w:rPr>
          <w:rFonts w:ascii="Times New Roman" w:eastAsia="Times New Roman" w:hAnsi="Times New Roman"/>
          <w:bCs/>
          <w:i/>
          <w:sz w:val="24"/>
          <w:szCs w:val="24"/>
          <w:lang w:eastAsia="ru-RU"/>
        </w:rPr>
      </w:pPr>
      <w:r w:rsidRPr="004F536A">
        <w:rPr>
          <w:rFonts w:ascii="Times New Roman" w:eastAsia="Times New Roman" w:hAnsi="Times New Roman"/>
          <w:bCs/>
          <w:i/>
          <w:sz w:val="24"/>
          <w:szCs w:val="24"/>
          <w:lang w:eastAsia="ru-RU"/>
        </w:rPr>
        <w:t>Участие в органах управления других юридических лиц:</w:t>
      </w:r>
    </w:p>
    <w:p w14:paraId="03D1374F" w14:textId="77777777" w:rsidR="004F536A" w:rsidRPr="004F536A" w:rsidRDefault="004F536A" w:rsidP="004F536A">
      <w:pPr>
        <w:spacing w:after="120"/>
        <w:jc w:val="both"/>
        <w:textAlignment w:val="top"/>
        <w:rPr>
          <w:rFonts w:ascii="Helvetica" w:eastAsia="Times New Roman" w:hAnsi="Helvetica" w:cs="Helvetica"/>
          <w:color w:val="000000"/>
          <w:sz w:val="18"/>
          <w:szCs w:val="18"/>
          <w:lang w:eastAsia="ru-RU"/>
        </w:rPr>
      </w:pPr>
      <w:r w:rsidRPr="004F536A">
        <w:rPr>
          <w:rFonts w:ascii="Times New Roman" w:eastAsia="Times New Roman" w:hAnsi="Times New Roman"/>
          <w:color w:val="000000"/>
          <w:sz w:val="24"/>
          <w:szCs w:val="24"/>
          <w:lang w:eastAsia="ru-RU"/>
        </w:rPr>
        <w:t>25.04.2006 - по настоящее время, сопредседатель Совета Национальной Валютной Ассоциации.</w:t>
      </w:r>
    </w:p>
    <w:p w14:paraId="0C4376F1" w14:textId="77777777" w:rsidR="004F536A" w:rsidRPr="004F536A" w:rsidRDefault="004F536A" w:rsidP="004F536A">
      <w:pPr>
        <w:spacing w:after="120"/>
        <w:jc w:val="both"/>
        <w:textAlignment w:val="top"/>
        <w:rPr>
          <w:rFonts w:ascii="Times New Roman" w:eastAsia="Times New Roman" w:hAnsi="Times New Roman"/>
          <w:color w:val="000000"/>
          <w:sz w:val="24"/>
          <w:szCs w:val="24"/>
          <w:lang w:eastAsia="ru-RU"/>
        </w:rPr>
      </w:pPr>
      <w:r w:rsidRPr="004F536A">
        <w:rPr>
          <w:rFonts w:ascii="Times New Roman" w:eastAsia="Times New Roman" w:hAnsi="Times New Roman"/>
          <w:color w:val="000000"/>
          <w:sz w:val="24"/>
          <w:szCs w:val="24"/>
          <w:lang w:eastAsia="ru-RU"/>
        </w:rPr>
        <w:t>24.02.2011 – по настоящее время, член Совета директоров Sea Launch AG.</w:t>
      </w:r>
    </w:p>
    <w:p w14:paraId="1336B998" w14:textId="77777777" w:rsidR="004F536A" w:rsidRPr="004F536A" w:rsidRDefault="004F536A" w:rsidP="004F536A">
      <w:pPr>
        <w:tabs>
          <w:tab w:val="left" w:pos="284"/>
          <w:tab w:val="left" w:pos="567"/>
        </w:tabs>
        <w:spacing w:after="120"/>
        <w:jc w:val="both"/>
        <w:textAlignment w:val="top"/>
        <w:rPr>
          <w:rFonts w:ascii="Times New Roman" w:eastAsia="Times New Roman" w:hAnsi="Times New Roman"/>
          <w:color w:val="000000"/>
          <w:sz w:val="24"/>
          <w:szCs w:val="24"/>
          <w:lang w:eastAsia="ru-RU"/>
        </w:rPr>
      </w:pPr>
      <w:r w:rsidRPr="004F536A">
        <w:rPr>
          <w:rFonts w:ascii="Times New Roman" w:eastAsia="Times New Roman" w:hAnsi="Times New Roman"/>
          <w:color w:val="000000"/>
          <w:sz w:val="24"/>
          <w:szCs w:val="24"/>
          <w:lang w:eastAsia="ru-RU"/>
        </w:rPr>
        <w:t>20.04.2011 – по настоящее время, член Совета Национальной фондовой ассоциации (саморегулируемая некоммерческая организация).</w:t>
      </w:r>
    </w:p>
    <w:p w14:paraId="357ABEFB" w14:textId="77777777" w:rsidR="004F536A" w:rsidRPr="004F536A" w:rsidRDefault="004F536A" w:rsidP="004F536A">
      <w:pPr>
        <w:widowControl w:val="0"/>
        <w:tabs>
          <w:tab w:val="left" w:pos="705"/>
        </w:tabs>
        <w:overflowPunct w:val="0"/>
        <w:autoSpaceDE w:val="0"/>
        <w:autoSpaceDN w:val="0"/>
        <w:adjustRightInd w:val="0"/>
        <w:ind w:firstLine="567"/>
        <w:jc w:val="both"/>
        <w:textAlignment w:val="baseline"/>
        <w:rPr>
          <w:rFonts w:ascii="Times New Roman" w:eastAsia="Times New Roman" w:hAnsi="Times New Roman"/>
          <w:b/>
          <w:sz w:val="24"/>
          <w:szCs w:val="24"/>
          <w:lang w:eastAsia="ru-RU"/>
        </w:rPr>
      </w:pPr>
    </w:p>
    <w:p w14:paraId="40FD76F4" w14:textId="77777777" w:rsidR="004F536A" w:rsidRPr="004F536A" w:rsidRDefault="004F536A" w:rsidP="004F536A">
      <w:pPr>
        <w:widowControl w:val="0"/>
        <w:tabs>
          <w:tab w:val="left" w:pos="705"/>
        </w:tabs>
        <w:overflowPunct w:val="0"/>
        <w:autoSpaceDE w:val="0"/>
        <w:autoSpaceDN w:val="0"/>
        <w:adjustRightInd w:val="0"/>
        <w:ind w:firstLine="567"/>
        <w:jc w:val="both"/>
        <w:textAlignment w:val="baseline"/>
        <w:rPr>
          <w:rFonts w:ascii="Times New Roman" w:eastAsia="Times New Roman" w:hAnsi="Times New Roman"/>
          <w:b/>
          <w:sz w:val="24"/>
          <w:szCs w:val="24"/>
          <w:lang w:eastAsia="ru-RU"/>
        </w:rPr>
      </w:pPr>
    </w:p>
    <w:p w14:paraId="56C94B53" w14:textId="77777777" w:rsidR="004F536A" w:rsidRPr="004F536A" w:rsidRDefault="004F536A" w:rsidP="004F536A">
      <w:pPr>
        <w:widowControl w:val="0"/>
        <w:tabs>
          <w:tab w:val="left" w:pos="705"/>
        </w:tabs>
        <w:overflowPunct w:val="0"/>
        <w:autoSpaceDE w:val="0"/>
        <w:autoSpaceDN w:val="0"/>
        <w:adjustRightInd w:val="0"/>
        <w:ind w:firstLine="567"/>
        <w:jc w:val="both"/>
        <w:textAlignment w:val="baseline"/>
        <w:rPr>
          <w:rFonts w:ascii="Times New Roman" w:eastAsia="Times New Roman" w:hAnsi="Times New Roman"/>
          <w:i/>
          <w:sz w:val="24"/>
          <w:szCs w:val="24"/>
          <w:lang w:eastAsia="ru-RU"/>
        </w:rPr>
      </w:pPr>
      <w:r w:rsidRPr="004F536A">
        <w:rPr>
          <w:rFonts w:ascii="Times New Roman" w:eastAsia="Times New Roman" w:hAnsi="Times New Roman"/>
          <w:i/>
          <w:sz w:val="24"/>
          <w:szCs w:val="24"/>
          <w:lang w:eastAsia="ru-RU"/>
        </w:rPr>
        <w:t xml:space="preserve">В течение отчетного 2017 года численный состав Правления </w:t>
      </w:r>
      <w:r w:rsidRPr="004F536A">
        <w:rPr>
          <w:rFonts w:ascii="Times New Roman" w:eastAsia="Times New Roman" w:hAnsi="Times New Roman"/>
          <w:bCs/>
          <w:i/>
          <w:sz w:val="24"/>
          <w:szCs w:val="24"/>
          <w:lang w:eastAsia="ru-RU"/>
        </w:rPr>
        <w:t>Общества не изменялся, Наблюдательным советом Общества решений о прекращении или продлении полномочий членов Правления не принималось. Таким образом, в 2017 году Правление Общества осуществляло свои функции в следующем составе:</w:t>
      </w:r>
    </w:p>
    <w:p w14:paraId="035BA372" w14:textId="77777777" w:rsidR="004F536A" w:rsidRPr="004F536A" w:rsidRDefault="004F536A" w:rsidP="004F536A">
      <w:pPr>
        <w:widowControl w:val="0"/>
        <w:overflowPunct w:val="0"/>
        <w:autoSpaceDE w:val="0"/>
        <w:autoSpaceDN w:val="0"/>
        <w:adjustRightInd w:val="0"/>
        <w:textAlignment w:val="baseline"/>
        <w:rPr>
          <w:rFonts w:ascii="Times New Roman" w:eastAsia="Times New Roman" w:hAnsi="Times New Roman"/>
          <w:sz w:val="24"/>
          <w:szCs w:val="24"/>
          <w:lang w:eastAsia="ru-RU"/>
        </w:rPr>
      </w:pPr>
    </w:p>
    <w:p w14:paraId="6D99FC4A" w14:textId="77777777" w:rsidR="004F536A" w:rsidRPr="004F536A" w:rsidRDefault="004F536A" w:rsidP="004F536A">
      <w:pPr>
        <w:widowControl w:val="0"/>
        <w:overflowPunct w:val="0"/>
        <w:autoSpaceDE w:val="0"/>
        <w:autoSpaceDN w:val="0"/>
        <w:adjustRightInd w:val="0"/>
        <w:spacing w:after="120"/>
        <w:ind w:firstLine="567"/>
        <w:jc w:val="both"/>
        <w:textAlignment w:val="baseline"/>
        <w:rPr>
          <w:rFonts w:ascii="Times New Roman" w:eastAsia="Times New Roman" w:hAnsi="Times New Roman"/>
          <w:b/>
          <w:bCs/>
          <w:sz w:val="24"/>
          <w:szCs w:val="24"/>
          <w:lang w:eastAsia="ru-RU"/>
        </w:rPr>
      </w:pPr>
      <w:r w:rsidRPr="004F536A">
        <w:rPr>
          <w:rFonts w:ascii="Times New Roman" w:eastAsia="Times New Roman" w:hAnsi="Times New Roman"/>
          <w:b/>
          <w:bCs/>
          <w:sz w:val="24"/>
          <w:szCs w:val="24"/>
          <w:lang w:eastAsia="ru-RU"/>
        </w:rPr>
        <w:t>1. Хавин Алексей Сергеевич</w:t>
      </w:r>
      <w:r w:rsidRPr="004F536A">
        <w:rPr>
          <w:rFonts w:ascii="Times New Roman" w:eastAsia="Times New Roman" w:hAnsi="Times New Roman"/>
          <w:bCs/>
          <w:sz w:val="24"/>
          <w:szCs w:val="24"/>
          <w:lang w:eastAsia="ru-RU"/>
        </w:rPr>
        <w:t>, 1975 года рождения, образование высшее, в 1997 году окончил Финансовую академию при Правительстве Российской Федерации, квалификация: экономист, специальность «Мировая экономика». Имеет квалификационные аттестаты специалиста финансового рынка (с 18.05.2006 – по специализации в области финансового рынка: брокерская, дилерская деятельность и деятельность по управлению ценными бумагами, с 08.10.2012 - по организации торговли на рынке ценных бумаг (деятельности фондовой биржи) и клиринговой деятельности).</w:t>
      </w:r>
    </w:p>
    <w:p w14:paraId="4770A5B5" w14:textId="77777777" w:rsidR="004F536A" w:rsidRPr="004F536A" w:rsidRDefault="004F536A" w:rsidP="004F536A">
      <w:pPr>
        <w:widowControl w:val="0"/>
        <w:tabs>
          <w:tab w:val="left" w:pos="0"/>
          <w:tab w:val="left" w:pos="709"/>
          <w:tab w:val="left" w:pos="851"/>
          <w:tab w:val="left" w:pos="1134"/>
        </w:tabs>
        <w:overflowPunct w:val="0"/>
        <w:autoSpaceDE w:val="0"/>
        <w:autoSpaceDN w:val="0"/>
        <w:adjustRightInd w:val="0"/>
        <w:spacing w:after="120"/>
        <w:ind w:left="1065"/>
        <w:jc w:val="both"/>
        <w:textAlignment w:val="baseline"/>
        <w:rPr>
          <w:rFonts w:ascii="Times New Roman" w:eastAsia="Times New Roman" w:hAnsi="Times New Roman"/>
          <w:bCs/>
          <w:sz w:val="24"/>
          <w:szCs w:val="24"/>
          <w:lang w:eastAsia="ru-RU"/>
        </w:rPr>
      </w:pPr>
    </w:p>
    <w:p w14:paraId="4791F04A" w14:textId="77777777" w:rsidR="004F536A" w:rsidRPr="004F536A" w:rsidRDefault="004F536A" w:rsidP="004F536A">
      <w:pPr>
        <w:widowControl w:val="0"/>
        <w:tabs>
          <w:tab w:val="left" w:pos="0"/>
        </w:tabs>
        <w:overflowPunct w:val="0"/>
        <w:autoSpaceDE w:val="0"/>
        <w:autoSpaceDN w:val="0"/>
        <w:adjustRightInd w:val="0"/>
        <w:spacing w:after="120"/>
        <w:jc w:val="both"/>
        <w:textAlignment w:val="baseline"/>
        <w:rPr>
          <w:rFonts w:ascii="Times New Roman" w:eastAsia="Times New Roman" w:hAnsi="Times New Roman"/>
          <w:bCs/>
          <w:i/>
          <w:sz w:val="24"/>
          <w:szCs w:val="24"/>
          <w:lang w:eastAsia="ru-RU"/>
        </w:rPr>
      </w:pPr>
      <w:r w:rsidRPr="004F536A">
        <w:rPr>
          <w:rFonts w:ascii="Times New Roman" w:eastAsia="Times New Roman" w:hAnsi="Times New Roman"/>
          <w:bCs/>
          <w:i/>
          <w:sz w:val="24"/>
          <w:szCs w:val="24"/>
          <w:lang w:eastAsia="ru-RU"/>
        </w:rPr>
        <w:lastRenderedPageBreak/>
        <w:t>Сведения о трудовой деятельности и служебных обязанностях за пять лет:</w:t>
      </w:r>
    </w:p>
    <w:p w14:paraId="44BC1110" w14:textId="77777777" w:rsidR="004F536A" w:rsidRPr="004F536A" w:rsidRDefault="004F536A" w:rsidP="004F536A">
      <w:pPr>
        <w:widowControl w:val="0"/>
        <w:tabs>
          <w:tab w:val="left" w:pos="0"/>
        </w:tabs>
        <w:overflowPunct w:val="0"/>
        <w:autoSpaceDE w:val="0"/>
        <w:autoSpaceDN w:val="0"/>
        <w:adjustRightInd w:val="0"/>
        <w:spacing w:after="120"/>
        <w:jc w:val="both"/>
        <w:textAlignment w:val="baseline"/>
        <w:rPr>
          <w:rFonts w:ascii="Times New Roman" w:eastAsia="Times New Roman" w:hAnsi="Times New Roman"/>
          <w:bCs/>
          <w:sz w:val="24"/>
          <w:szCs w:val="24"/>
          <w:lang w:eastAsia="ru-RU"/>
        </w:rPr>
      </w:pPr>
      <w:r w:rsidRPr="004F536A">
        <w:rPr>
          <w:rFonts w:ascii="Times New Roman" w:eastAsia="Times New Roman" w:hAnsi="Times New Roman"/>
          <w:bCs/>
          <w:sz w:val="24"/>
          <w:szCs w:val="24"/>
          <w:lang w:eastAsia="ru-RU"/>
        </w:rPr>
        <w:t xml:space="preserve">03.09.2007 – 10.11.2010, Первый Вице-президент – начальник Казначейства Акционерного банка газовой промышленности «Газпромбанк» (Открытое акционерное общество), осуществлял курирование собственных и клиентских операций Банка на финансовых рынках. </w:t>
      </w:r>
    </w:p>
    <w:p w14:paraId="7DE765E8" w14:textId="77777777" w:rsidR="004F536A" w:rsidRPr="004F536A" w:rsidRDefault="004F536A" w:rsidP="004F536A">
      <w:pPr>
        <w:widowControl w:val="0"/>
        <w:tabs>
          <w:tab w:val="left" w:pos="0"/>
        </w:tabs>
        <w:overflowPunct w:val="0"/>
        <w:autoSpaceDE w:val="0"/>
        <w:autoSpaceDN w:val="0"/>
        <w:adjustRightInd w:val="0"/>
        <w:spacing w:after="120"/>
        <w:jc w:val="both"/>
        <w:textAlignment w:val="baseline"/>
        <w:rPr>
          <w:rFonts w:ascii="Times New Roman" w:eastAsia="Times New Roman" w:hAnsi="Times New Roman"/>
          <w:bCs/>
          <w:sz w:val="24"/>
          <w:szCs w:val="24"/>
          <w:lang w:eastAsia="ru-RU"/>
        </w:rPr>
      </w:pPr>
      <w:r w:rsidRPr="004F536A">
        <w:rPr>
          <w:rFonts w:ascii="Times New Roman" w:eastAsia="Times New Roman" w:hAnsi="Times New Roman"/>
          <w:bCs/>
          <w:sz w:val="24"/>
          <w:szCs w:val="24"/>
          <w:lang w:eastAsia="ru-RU"/>
        </w:rPr>
        <w:t xml:space="preserve">11.11.2010 – 20.12.2010, Советник Председателя Правления ЗАО АКБ «Национальный Клиринговый Центр», занимался разработкой направлений и совершенствованием механизмов управления временно свободными денежными средствами. </w:t>
      </w:r>
    </w:p>
    <w:p w14:paraId="313D5FFB" w14:textId="77777777" w:rsidR="004F536A" w:rsidRPr="004F536A" w:rsidRDefault="004F536A" w:rsidP="004F536A">
      <w:pPr>
        <w:widowControl w:val="0"/>
        <w:tabs>
          <w:tab w:val="left" w:pos="0"/>
        </w:tabs>
        <w:overflowPunct w:val="0"/>
        <w:autoSpaceDE w:val="0"/>
        <w:autoSpaceDN w:val="0"/>
        <w:adjustRightInd w:val="0"/>
        <w:spacing w:after="120"/>
        <w:jc w:val="both"/>
        <w:textAlignment w:val="baseline"/>
        <w:rPr>
          <w:rFonts w:ascii="Times New Roman" w:eastAsia="Times New Roman" w:hAnsi="Times New Roman"/>
          <w:bCs/>
          <w:sz w:val="24"/>
          <w:szCs w:val="24"/>
          <w:lang w:eastAsia="ru-RU"/>
        </w:rPr>
      </w:pPr>
      <w:r w:rsidRPr="004F536A">
        <w:rPr>
          <w:rFonts w:ascii="Times New Roman" w:eastAsia="Times New Roman" w:hAnsi="Times New Roman"/>
          <w:bCs/>
          <w:sz w:val="24"/>
          <w:szCs w:val="24"/>
          <w:lang w:eastAsia="ru-RU"/>
        </w:rPr>
        <w:t>21.12.2010 – 11.04.2011, Заместитель Председателя Правления ЗАО АКБ «Национальный Клиринговый Центр», курировал работу Казначейства и подразделений бэк-офиса.</w:t>
      </w:r>
    </w:p>
    <w:p w14:paraId="1A97ECD6" w14:textId="77777777" w:rsidR="004F536A" w:rsidRPr="004F536A" w:rsidRDefault="004F536A" w:rsidP="004F536A">
      <w:pPr>
        <w:widowControl w:val="0"/>
        <w:tabs>
          <w:tab w:val="left" w:pos="0"/>
        </w:tabs>
        <w:overflowPunct w:val="0"/>
        <w:autoSpaceDE w:val="0"/>
        <w:autoSpaceDN w:val="0"/>
        <w:adjustRightInd w:val="0"/>
        <w:spacing w:after="120"/>
        <w:jc w:val="both"/>
        <w:textAlignment w:val="baseline"/>
        <w:rPr>
          <w:rFonts w:ascii="Times New Roman" w:eastAsia="Times New Roman" w:hAnsi="Times New Roman"/>
          <w:bCs/>
          <w:sz w:val="24"/>
          <w:szCs w:val="24"/>
          <w:lang w:eastAsia="ru-RU"/>
        </w:rPr>
      </w:pPr>
      <w:r w:rsidRPr="004F536A">
        <w:rPr>
          <w:rFonts w:ascii="Times New Roman" w:eastAsia="Times New Roman" w:hAnsi="Times New Roman"/>
          <w:bCs/>
          <w:sz w:val="24"/>
          <w:szCs w:val="24"/>
          <w:lang w:eastAsia="ru-RU"/>
        </w:rPr>
        <w:t>12.04.2011 – настоящее время, Председатель Правления НКО НКЦ (АО), осуществляет общее руководство деятельностью Общества.</w:t>
      </w:r>
    </w:p>
    <w:p w14:paraId="5165A09D" w14:textId="77777777" w:rsidR="004F536A" w:rsidRPr="004F536A" w:rsidRDefault="004F536A" w:rsidP="004F536A">
      <w:pPr>
        <w:widowControl w:val="0"/>
        <w:tabs>
          <w:tab w:val="left" w:pos="0"/>
        </w:tabs>
        <w:overflowPunct w:val="0"/>
        <w:autoSpaceDE w:val="0"/>
        <w:autoSpaceDN w:val="0"/>
        <w:adjustRightInd w:val="0"/>
        <w:spacing w:after="120"/>
        <w:jc w:val="both"/>
        <w:textAlignment w:val="baseline"/>
        <w:rPr>
          <w:rFonts w:ascii="Times New Roman" w:eastAsia="Times New Roman" w:hAnsi="Times New Roman"/>
          <w:bCs/>
          <w:sz w:val="24"/>
          <w:szCs w:val="24"/>
          <w:lang w:eastAsia="ru-RU"/>
        </w:rPr>
      </w:pPr>
    </w:p>
    <w:p w14:paraId="42CF7CD4" w14:textId="77777777" w:rsidR="004F536A" w:rsidRPr="004F536A" w:rsidRDefault="004F536A" w:rsidP="004F536A">
      <w:pPr>
        <w:widowControl w:val="0"/>
        <w:tabs>
          <w:tab w:val="left" w:pos="0"/>
        </w:tabs>
        <w:overflowPunct w:val="0"/>
        <w:autoSpaceDE w:val="0"/>
        <w:autoSpaceDN w:val="0"/>
        <w:adjustRightInd w:val="0"/>
        <w:spacing w:after="120"/>
        <w:jc w:val="both"/>
        <w:textAlignment w:val="baseline"/>
        <w:rPr>
          <w:rFonts w:ascii="Times New Roman" w:eastAsia="Times New Roman" w:hAnsi="Times New Roman"/>
          <w:bCs/>
          <w:i/>
          <w:sz w:val="24"/>
          <w:szCs w:val="24"/>
          <w:lang w:eastAsia="ru-RU"/>
        </w:rPr>
      </w:pPr>
      <w:r w:rsidRPr="004F536A">
        <w:rPr>
          <w:rFonts w:ascii="Times New Roman" w:eastAsia="Times New Roman" w:hAnsi="Times New Roman"/>
          <w:bCs/>
          <w:i/>
          <w:sz w:val="24"/>
          <w:szCs w:val="24"/>
          <w:lang w:eastAsia="ru-RU"/>
        </w:rPr>
        <w:t>Участие в органах управления других юридических лиц:</w:t>
      </w:r>
    </w:p>
    <w:p w14:paraId="2CF4AA08" w14:textId="77777777" w:rsidR="004F536A" w:rsidRPr="004F536A" w:rsidRDefault="004F536A" w:rsidP="004F536A">
      <w:pPr>
        <w:spacing w:after="120"/>
        <w:jc w:val="both"/>
        <w:textAlignment w:val="top"/>
        <w:rPr>
          <w:rFonts w:ascii="Helvetica" w:eastAsia="Times New Roman" w:hAnsi="Helvetica" w:cs="Helvetica"/>
          <w:color w:val="000000"/>
          <w:sz w:val="18"/>
          <w:szCs w:val="18"/>
          <w:lang w:eastAsia="ru-RU"/>
        </w:rPr>
      </w:pPr>
      <w:r w:rsidRPr="004F536A">
        <w:rPr>
          <w:rFonts w:ascii="Times New Roman" w:eastAsia="Times New Roman" w:hAnsi="Times New Roman"/>
          <w:color w:val="000000"/>
          <w:sz w:val="24"/>
          <w:szCs w:val="24"/>
          <w:lang w:eastAsia="ru-RU"/>
        </w:rPr>
        <w:t>25.04.2006 - по настоящее время, сопредседатель Совета Национальной Валютной Ассоциации.</w:t>
      </w:r>
    </w:p>
    <w:p w14:paraId="412BC6A7" w14:textId="77777777" w:rsidR="004F536A" w:rsidRPr="004F536A" w:rsidRDefault="004F536A" w:rsidP="004F536A">
      <w:pPr>
        <w:spacing w:after="120"/>
        <w:jc w:val="both"/>
        <w:textAlignment w:val="top"/>
        <w:rPr>
          <w:rFonts w:ascii="Times New Roman" w:eastAsia="Times New Roman" w:hAnsi="Times New Roman"/>
          <w:color w:val="000000"/>
          <w:sz w:val="24"/>
          <w:szCs w:val="24"/>
          <w:lang w:eastAsia="ru-RU"/>
        </w:rPr>
      </w:pPr>
      <w:r w:rsidRPr="004F536A">
        <w:rPr>
          <w:rFonts w:ascii="Times New Roman" w:eastAsia="Times New Roman" w:hAnsi="Times New Roman"/>
          <w:color w:val="000000"/>
          <w:sz w:val="24"/>
          <w:szCs w:val="24"/>
          <w:lang w:eastAsia="ru-RU"/>
        </w:rPr>
        <w:t>24.02.2011 – по настоящее время, член Совета директоров Sea Launch AG.</w:t>
      </w:r>
    </w:p>
    <w:p w14:paraId="4770D507" w14:textId="77777777" w:rsidR="004F536A" w:rsidRPr="004F536A" w:rsidRDefault="004F536A" w:rsidP="004F536A">
      <w:pPr>
        <w:tabs>
          <w:tab w:val="left" w:pos="284"/>
          <w:tab w:val="left" w:pos="567"/>
        </w:tabs>
        <w:spacing w:after="120"/>
        <w:jc w:val="both"/>
        <w:textAlignment w:val="top"/>
        <w:rPr>
          <w:rFonts w:ascii="Times New Roman" w:eastAsia="Times New Roman" w:hAnsi="Times New Roman"/>
          <w:color w:val="000000"/>
          <w:sz w:val="24"/>
          <w:szCs w:val="24"/>
          <w:lang w:eastAsia="ru-RU"/>
        </w:rPr>
      </w:pPr>
      <w:r w:rsidRPr="004F536A">
        <w:rPr>
          <w:rFonts w:ascii="Times New Roman" w:eastAsia="Times New Roman" w:hAnsi="Times New Roman"/>
          <w:color w:val="000000"/>
          <w:sz w:val="24"/>
          <w:szCs w:val="24"/>
          <w:lang w:eastAsia="ru-RU"/>
        </w:rPr>
        <w:t>20.04.2011 – по настоящее время, член Совета Национальной фондовой ассоциации (саморегулируемая некоммерческая организация).</w:t>
      </w:r>
    </w:p>
    <w:p w14:paraId="4EA937A5" w14:textId="77777777" w:rsidR="004F536A" w:rsidRPr="004F536A" w:rsidRDefault="004F536A" w:rsidP="004F536A">
      <w:pPr>
        <w:widowControl w:val="0"/>
        <w:overflowPunct w:val="0"/>
        <w:autoSpaceDE w:val="0"/>
        <w:autoSpaceDN w:val="0"/>
        <w:adjustRightInd w:val="0"/>
        <w:ind w:firstLine="567"/>
        <w:jc w:val="both"/>
        <w:textAlignment w:val="baseline"/>
        <w:rPr>
          <w:rFonts w:ascii="Times New Roman" w:eastAsia="Times New Roman" w:hAnsi="Times New Roman"/>
          <w:b/>
          <w:bCs/>
          <w:sz w:val="24"/>
          <w:szCs w:val="24"/>
          <w:lang w:eastAsia="ru-RU"/>
        </w:rPr>
      </w:pPr>
    </w:p>
    <w:p w14:paraId="4CC8A76E" w14:textId="77777777" w:rsidR="004F536A" w:rsidRPr="004F536A" w:rsidRDefault="004F536A" w:rsidP="004F536A">
      <w:pPr>
        <w:widowControl w:val="0"/>
        <w:overflowPunct w:val="0"/>
        <w:autoSpaceDE w:val="0"/>
        <w:autoSpaceDN w:val="0"/>
        <w:adjustRightInd w:val="0"/>
        <w:ind w:firstLine="567"/>
        <w:jc w:val="both"/>
        <w:textAlignment w:val="baseline"/>
        <w:rPr>
          <w:rFonts w:ascii="Times New Roman" w:eastAsia="Times New Roman" w:hAnsi="Times New Roman"/>
          <w:bCs/>
          <w:sz w:val="24"/>
          <w:szCs w:val="24"/>
          <w:lang w:eastAsia="ru-RU"/>
        </w:rPr>
      </w:pPr>
      <w:r w:rsidRPr="004F536A">
        <w:rPr>
          <w:rFonts w:ascii="Times New Roman" w:eastAsia="Times New Roman" w:hAnsi="Times New Roman"/>
          <w:b/>
          <w:bCs/>
          <w:sz w:val="24"/>
          <w:szCs w:val="24"/>
          <w:lang w:eastAsia="ru-RU"/>
        </w:rPr>
        <w:t>2</w:t>
      </w:r>
      <w:r w:rsidRPr="004F536A">
        <w:rPr>
          <w:rFonts w:ascii="Times New Roman" w:eastAsia="Times New Roman" w:hAnsi="Times New Roman"/>
          <w:bCs/>
          <w:sz w:val="24"/>
          <w:szCs w:val="24"/>
          <w:lang w:eastAsia="ru-RU"/>
        </w:rPr>
        <w:t xml:space="preserve">. </w:t>
      </w:r>
      <w:r w:rsidRPr="004F536A">
        <w:rPr>
          <w:rFonts w:ascii="Times New Roman" w:eastAsia="Times New Roman" w:hAnsi="Times New Roman"/>
          <w:b/>
          <w:bCs/>
          <w:sz w:val="24"/>
          <w:szCs w:val="24"/>
          <w:lang w:eastAsia="ru-RU"/>
        </w:rPr>
        <w:t>Демушкина Екатерина Сергеевна</w:t>
      </w:r>
      <w:r w:rsidRPr="004F536A">
        <w:rPr>
          <w:rFonts w:ascii="Times New Roman" w:eastAsia="Times New Roman" w:hAnsi="Times New Roman"/>
          <w:bCs/>
          <w:sz w:val="24"/>
          <w:szCs w:val="24"/>
          <w:lang w:eastAsia="ru-RU"/>
        </w:rPr>
        <w:t>, 1969 года рождения, в 1992 году окончила Московский государственный университет им. М.В. Ломоносова, специальность: правоведение, квалификация: юрист; в 2006 году окончила Всероссийскую академию внешней торговли Минэкономразвития по программе «Мастер делового администрирования – международный бизнес». Имеет квалификационные аттестаты специалиста финансового рынка (с 23.03.2007 – по организации торговли на рынке ценных бумаг (деятельности фондовой биржи) и клиринговой деятельности); с 27.02.2008 – по депозитарной деятельности).</w:t>
      </w:r>
    </w:p>
    <w:p w14:paraId="48CC15C8" w14:textId="77777777" w:rsidR="004F536A" w:rsidRPr="004F536A" w:rsidRDefault="004F536A" w:rsidP="004F536A">
      <w:pPr>
        <w:widowControl w:val="0"/>
        <w:overflowPunct w:val="0"/>
        <w:autoSpaceDE w:val="0"/>
        <w:autoSpaceDN w:val="0"/>
        <w:adjustRightInd w:val="0"/>
        <w:ind w:firstLine="567"/>
        <w:jc w:val="both"/>
        <w:textAlignment w:val="baseline"/>
        <w:rPr>
          <w:rFonts w:ascii="Times New Roman" w:eastAsia="Times New Roman" w:hAnsi="Times New Roman"/>
          <w:bCs/>
          <w:sz w:val="24"/>
          <w:szCs w:val="24"/>
          <w:lang w:eastAsia="ru-RU"/>
        </w:rPr>
      </w:pPr>
    </w:p>
    <w:p w14:paraId="586C65EF" w14:textId="77777777" w:rsidR="004F536A" w:rsidRPr="004F536A" w:rsidRDefault="004F536A" w:rsidP="004F536A">
      <w:pPr>
        <w:widowControl w:val="0"/>
        <w:overflowPunct w:val="0"/>
        <w:autoSpaceDE w:val="0"/>
        <w:autoSpaceDN w:val="0"/>
        <w:adjustRightInd w:val="0"/>
        <w:jc w:val="both"/>
        <w:textAlignment w:val="baseline"/>
        <w:rPr>
          <w:rFonts w:ascii="Times New Roman" w:eastAsia="Times New Roman" w:hAnsi="Times New Roman"/>
          <w:bCs/>
          <w:i/>
          <w:sz w:val="24"/>
          <w:szCs w:val="24"/>
          <w:lang w:eastAsia="ru-RU"/>
        </w:rPr>
      </w:pPr>
      <w:r w:rsidRPr="004F536A">
        <w:rPr>
          <w:rFonts w:ascii="Times New Roman" w:eastAsia="Times New Roman" w:hAnsi="Times New Roman"/>
          <w:bCs/>
          <w:i/>
          <w:sz w:val="24"/>
          <w:szCs w:val="24"/>
          <w:lang w:eastAsia="ru-RU"/>
        </w:rPr>
        <w:t>Трудовая деятельность за последние пять лет:</w:t>
      </w:r>
    </w:p>
    <w:p w14:paraId="518F5837" w14:textId="77777777" w:rsidR="004F536A" w:rsidRPr="004F536A" w:rsidRDefault="004F536A" w:rsidP="004F536A">
      <w:pPr>
        <w:widowControl w:val="0"/>
        <w:overflowPunct w:val="0"/>
        <w:autoSpaceDE w:val="0"/>
        <w:autoSpaceDN w:val="0"/>
        <w:adjustRightInd w:val="0"/>
        <w:spacing w:after="120"/>
        <w:jc w:val="both"/>
        <w:textAlignment w:val="baseline"/>
        <w:rPr>
          <w:rFonts w:ascii="Times New Roman" w:eastAsia="Times New Roman" w:hAnsi="Times New Roman"/>
          <w:bCs/>
          <w:sz w:val="24"/>
          <w:szCs w:val="24"/>
          <w:lang w:eastAsia="ru-RU"/>
        </w:rPr>
      </w:pPr>
      <w:r w:rsidRPr="004F536A">
        <w:rPr>
          <w:rFonts w:ascii="Times New Roman" w:eastAsia="Times New Roman" w:hAnsi="Times New Roman"/>
          <w:bCs/>
          <w:sz w:val="24"/>
          <w:szCs w:val="24"/>
          <w:lang w:eastAsia="ru-RU"/>
        </w:rPr>
        <w:t>18.12.2007 – 27.07.2010, Вице-Президент Закрытого акционерного общества «Депозитарно-Клиринговая Компания», курировала вопросы правового обеспечения, риск-менеджмент и деятельность по противодействию легализации доходов, полученных преступным путем.</w:t>
      </w:r>
    </w:p>
    <w:p w14:paraId="03382062" w14:textId="77777777" w:rsidR="004F536A" w:rsidRPr="004F536A" w:rsidRDefault="004F536A" w:rsidP="004F536A">
      <w:pPr>
        <w:widowControl w:val="0"/>
        <w:overflowPunct w:val="0"/>
        <w:autoSpaceDE w:val="0"/>
        <w:autoSpaceDN w:val="0"/>
        <w:adjustRightInd w:val="0"/>
        <w:spacing w:after="120"/>
        <w:jc w:val="both"/>
        <w:textAlignment w:val="baseline"/>
        <w:rPr>
          <w:rFonts w:ascii="Times New Roman" w:eastAsia="Times New Roman" w:hAnsi="Times New Roman"/>
          <w:bCs/>
          <w:sz w:val="24"/>
          <w:szCs w:val="24"/>
          <w:lang w:eastAsia="ru-RU"/>
        </w:rPr>
      </w:pPr>
      <w:r w:rsidRPr="004F536A">
        <w:rPr>
          <w:rFonts w:ascii="Times New Roman" w:eastAsia="Times New Roman" w:hAnsi="Times New Roman"/>
          <w:bCs/>
          <w:sz w:val="24"/>
          <w:szCs w:val="24"/>
          <w:lang w:eastAsia="ru-RU"/>
        </w:rPr>
        <w:t xml:space="preserve">16.08.2010 – 10.11.2010, Заместитель Генерального директора Закрытого акционерного общества «Национальный Депозитарный Центр» (ЗАО НДЦ). В связи с реорганизацией ЗАО НДЦ в форме присоединения к Небанковской кредитной организации Закрытому акционерному обществу «Национальный расчетный депозитарий» (НКО АО НРД) с 11.11.2010 переведена на должность Заместителя Председателя Правления, которую занимала до 01.08.2011. Являлась членом Правления. На указанных должностях курировала юридические вопросы, вопросы развития бизнеса, клиентскую работу. </w:t>
      </w:r>
    </w:p>
    <w:p w14:paraId="1B3F0062" w14:textId="77777777" w:rsidR="004F536A" w:rsidRPr="004F536A" w:rsidRDefault="004F536A" w:rsidP="004F536A">
      <w:pPr>
        <w:widowControl w:val="0"/>
        <w:overflowPunct w:val="0"/>
        <w:autoSpaceDE w:val="0"/>
        <w:autoSpaceDN w:val="0"/>
        <w:adjustRightInd w:val="0"/>
        <w:spacing w:after="120"/>
        <w:jc w:val="both"/>
        <w:textAlignment w:val="baseline"/>
        <w:rPr>
          <w:rFonts w:ascii="Times New Roman" w:eastAsia="Times New Roman" w:hAnsi="Times New Roman"/>
          <w:bCs/>
          <w:sz w:val="24"/>
          <w:szCs w:val="24"/>
          <w:lang w:eastAsia="ru-RU"/>
        </w:rPr>
      </w:pPr>
      <w:r w:rsidRPr="004F536A">
        <w:rPr>
          <w:rFonts w:ascii="Times New Roman" w:eastAsia="Times New Roman" w:hAnsi="Times New Roman"/>
          <w:bCs/>
          <w:sz w:val="24"/>
          <w:szCs w:val="24"/>
          <w:lang w:eastAsia="ru-RU"/>
        </w:rPr>
        <w:t xml:space="preserve">02.08.2011 </w:t>
      </w:r>
      <w:r w:rsidRPr="004F536A">
        <w:rPr>
          <w:rFonts w:ascii="Times New Roman" w:eastAsia="Times New Roman" w:hAnsi="Times New Roman"/>
          <w:color w:val="000000"/>
          <w:sz w:val="24"/>
          <w:szCs w:val="24"/>
          <w:lang w:eastAsia="ru-RU"/>
        </w:rPr>
        <w:t xml:space="preserve">– по настоящее время, </w:t>
      </w:r>
      <w:r w:rsidRPr="004F536A">
        <w:rPr>
          <w:rFonts w:ascii="Times New Roman" w:eastAsia="Times New Roman" w:hAnsi="Times New Roman"/>
          <w:bCs/>
          <w:sz w:val="24"/>
          <w:szCs w:val="24"/>
          <w:lang w:eastAsia="ru-RU"/>
        </w:rPr>
        <w:t>Заместитель Председателя Правления НКО НКЦ (АО), член Правления. Осуществляет координацию и контроль деятельности Департамента информационных технологий, Юридического управления, Службы финансового мониторинга, менеджера по качеству.</w:t>
      </w:r>
    </w:p>
    <w:p w14:paraId="5AFE6C98" w14:textId="77777777" w:rsidR="004F536A" w:rsidRPr="004F536A" w:rsidRDefault="004F536A" w:rsidP="004F536A">
      <w:pPr>
        <w:widowControl w:val="0"/>
        <w:overflowPunct w:val="0"/>
        <w:autoSpaceDE w:val="0"/>
        <w:autoSpaceDN w:val="0"/>
        <w:adjustRightInd w:val="0"/>
        <w:spacing w:after="120"/>
        <w:jc w:val="both"/>
        <w:textAlignment w:val="baseline"/>
        <w:rPr>
          <w:rFonts w:ascii="Times New Roman" w:eastAsia="Times New Roman" w:hAnsi="Times New Roman"/>
          <w:bCs/>
          <w:sz w:val="24"/>
          <w:szCs w:val="24"/>
          <w:lang w:eastAsia="ru-RU"/>
        </w:rPr>
      </w:pPr>
      <w:r w:rsidRPr="004F536A">
        <w:rPr>
          <w:rFonts w:ascii="Times New Roman" w:eastAsia="Times New Roman" w:hAnsi="Times New Roman"/>
          <w:bCs/>
          <w:sz w:val="24"/>
          <w:szCs w:val="24"/>
          <w:lang w:eastAsia="ru-RU"/>
        </w:rPr>
        <w:lastRenderedPageBreak/>
        <w:t>Демушкина Е.С. не занимает должности в органах управления иных юридических лиц.</w:t>
      </w:r>
    </w:p>
    <w:p w14:paraId="6D98EE83" w14:textId="77777777" w:rsidR="004F536A" w:rsidRPr="004F536A" w:rsidRDefault="004F536A" w:rsidP="004F536A">
      <w:pPr>
        <w:widowControl w:val="0"/>
        <w:overflowPunct w:val="0"/>
        <w:autoSpaceDE w:val="0"/>
        <w:autoSpaceDN w:val="0"/>
        <w:adjustRightInd w:val="0"/>
        <w:spacing w:after="120"/>
        <w:jc w:val="both"/>
        <w:textAlignment w:val="baseline"/>
        <w:rPr>
          <w:rFonts w:ascii="Times New Roman" w:eastAsia="Times New Roman" w:hAnsi="Times New Roman"/>
          <w:bCs/>
          <w:sz w:val="24"/>
          <w:szCs w:val="24"/>
          <w:lang w:eastAsia="ru-RU"/>
        </w:rPr>
      </w:pPr>
    </w:p>
    <w:p w14:paraId="3A5C8CD1" w14:textId="77777777" w:rsidR="006B05A8" w:rsidRDefault="006B05A8" w:rsidP="004F536A">
      <w:pPr>
        <w:widowControl w:val="0"/>
        <w:overflowPunct w:val="0"/>
        <w:autoSpaceDE w:val="0"/>
        <w:autoSpaceDN w:val="0"/>
        <w:adjustRightInd w:val="0"/>
        <w:spacing w:after="120"/>
        <w:ind w:firstLine="181"/>
        <w:jc w:val="both"/>
        <w:textAlignment w:val="baseline"/>
        <w:rPr>
          <w:rFonts w:ascii="Times New Roman" w:eastAsia="Times New Roman" w:hAnsi="Times New Roman"/>
          <w:b/>
          <w:bCs/>
          <w:sz w:val="24"/>
          <w:szCs w:val="24"/>
          <w:lang w:eastAsia="ru-RU"/>
        </w:rPr>
      </w:pPr>
    </w:p>
    <w:p w14:paraId="1F031BFE" w14:textId="77777777" w:rsidR="004F536A" w:rsidRPr="004F536A" w:rsidRDefault="004F536A" w:rsidP="004F536A">
      <w:pPr>
        <w:widowControl w:val="0"/>
        <w:overflowPunct w:val="0"/>
        <w:autoSpaceDE w:val="0"/>
        <w:autoSpaceDN w:val="0"/>
        <w:adjustRightInd w:val="0"/>
        <w:spacing w:after="120"/>
        <w:ind w:firstLine="181"/>
        <w:jc w:val="both"/>
        <w:textAlignment w:val="baseline"/>
        <w:rPr>
          <w:rFonts w:ascii="Times New Roman" w:eastAsia="Times New Roman" w:hAnsi="Times New Roman"/>
          <w:sz w:val="24"/>
          <w:szCs w:val="24"/>
          <w:lang w:eastAsia="ru-RU"/>
        </w:rPr>
      </w:pPr>
      <w:r w:rsidRPr="004F536A">
        <w:rPr>
          <w:rFonts w:ascii="Times New Roman" w:eastAsia="Times New Roman" w:hAnsi="Times New Roman"/>
          <w:b/>
          <w:bCs/>
          <w:sz w:val="24"/>
          <w:szCs w:val="24"/>
          <w:lang w:eastAsia="ru-RU"/>
        </w:rPr>
        <w:t>3</w:t>
      </w:r>
      <w:r w:rsidRPr="004F536A">
        <w:rPr>
          <w:rFonts w:ascii="Times New Roman" w:eastAsia="Times New Roman" w:hAnsi="Times New Roman"/>
          <w:bCs/>
          <w:sz w:val="24"/>
          <w:szCs w:val="24"/>
          <w:lang w:eastAsia="ru-RU"/>
        </w:rPr>
        <w:t xml:space="preserve">. </w:t>
      </w:r>
      <w:r w:rsidRPr="004F536A">
        <w:rPr>
          <w:rFonts w:ascii="Times New Roman" w:eastAsia="Times New Roman" w:hAnsi="Times New Roman"/>
          <w:b/>
          <w:bCs/>
          <w:sz w:val="24"/>
          <w:szCs w:val="24"/>
          <w:lang w:eastAsia="ru-RU"/>
        </w:rPr>
        <w:t>Горина Марианна Петровна</w:t>
      </w:r>
      <w:r w:rsidRPr="004F536A">
        <w:rPr>
          <w:rFonts w:ascii="Times New Roman" w:eastAsia="Times New Roman" w:hAnsi="Times New Roman"/>
          <w:bCs/>
          <w:sz w:val="24"/>
          <w:szCs w:val="24"/>
          <w:lang w:eastAsia="ru-RU"/>
        </w:rPr>
        <w:t xml:space="preserve">, 1963 года рождения, образование высшее, </w:t>
      </w:r>
      <w:r w:rsidRPr="004F536A">
        <w:rPr>
          <w:rFonts w:ascii="Times New Roman" w:eastAsia="Times New Roman" w:hAnsi="Times New Roman"/>
          <w:sz w:val="24"/>
          <w:szCs w:val="24"/>
          <w:lang w:eastAsia="ru-RU"/>
        </w:rPr>
        <w:t xml:space="preserve">В 1988 году окончила Всесоюзный заочный учетно-кредитный техникум Госбанка СССР по специальности «Учет и оперативная техника в Госбанке», с присвоением квалификации бухгалтера. В 2001 году окончила Всероссийский заочный финансово-экономический институт, квалификация: экономист, специальность: «Бухгалтерский учет и аудит». В 2004 году проходила повышение квалификации по международным стандартам финансовой отчетности в ОФ «Международная московская финансово-банковская школа» (Институт дополнительного профессионального образования). </w:t>
      </w:r>
    </w:p>
    <w:p w14:paraId="55559140" w14:textId="77777777" w:rsidR="004F536A" w:rsidRPr="004F536A" w:rsidRDefault="004F536A" w:rsidP="004F536A">
      <w:pPr>
        <w:widowControl w:val="0"/>
        <w:overflowPunct w:val="0"/>
        <w:autoSpaceDE w:val="0"/>
        <w:autoSpaceDN w:val="0"/>
        <w:adjustRightInd w:val="0"/>
        <w:jc w:val="both"/>
        <w:textAlignment w:val="baseline"/>
        <w:rPr>
          <w:rFonts w:ascii="Times New Roman" w:eastAsia="Times New Roman" w:hAnsi="Times New Roman"/>
          <w:bCs/>
          <w:i/>
          <w:sz w:val="24"/>
          <w:szCs w:val="24"/>
          <w:lang w:eastAsia="ru-RU"/>
        </w:rPr>
      </w:pPr>
    </w:p>
    <w:p w14:paraId="4EB22402" w14:textId="77777777" w:rsidR="004F536A" w:rsidRPr="004F536A" w:rsidRDefault="004F536A" w:rsidP="004F536A">
      <w:pPr>
        <w:widowControl w:val="0"/>
        <w:overflowPunct w:val="0"/>
        <w:autoSpaceDE w:val="0"/>
        <w:autoSpaceDN w:val="0"/>
        <w:adjustRightInd w:val="0"/>
        <w:jc w:val="both"/>
        <w:textAlignment w:val="baseline"/>
        <w:rPr>
          <w:rFonts w:ascii="Times New Roman" w:eastAsia="Times New Roman" w:hAnsi="Times New Roman"/>
          <w:bCs/>
          <w:i/>
          <w:sz w:val="24"/>
          <w:szCs w:val="24"/>
          <w:lang w:eastAsia="ru-RU"/>
        </w:rPr>
      </w:pPr>
      <w:r w:rsidRPr="004F536A">
        <w:rPr>
          <w:rFonts w:ascii="Times New Roman" w:eastAsia="Times New Roman" w:hAnsi="Times New Roman"/>
          <w:bCs/>
          <w:i/>
          <w:sz w:val="24"/>
          <w:szCs w:val="24"/>
          <w:lang w:eastAsia="ru-RU"/>
        </w:rPr>
        <w:t>Трудовая деятельность за последние пять лет:</w:t>
      </w:r>
    </w:p>
    <w:p w14:paraId="231C3FD0" w14:textId="77777777" w:rsidR="004F536A" w:rsidRPr="004F536A" w:rsidRDefault="004F536A" w:rsidP="004F536A">
      <w:pPr>
        <w:widowControl w:val="0"/>
        <w:overflowPunct w:val="0"/>
        <w:autoSpaceDE w:val="0"/>
        <w:autoSpaceDN w:val="0"/>
        <w:adjustRightInd w:val="0"/>
        <w:spacing w:after="120"/>
        <w:jc w:val="both"/>
        <w:textAlignment w:val="baseline"/>
        <w:rPr>
          <w:rFonts w:ascii="Times New Roman" w:eastAsia="Times New Roman" w:hAnsi="Times New Roman"/>
          <w:sz w:val="24"/>
          <w:szCs w:val="24"/>
          <w:lang w:eastAsia="ru-RU"/>
        </w:rPr>
      </w:pPr>
      <w:r w:rsidRPr="004F536A">
        <w:rPr>
          <w:rFonts w:ascii="Times New Roman" w:eastAsia="Times New Roman" w:hAnsi="Times New Roman"/>
          <w:sz w:val="24"/>
          <w:szCs w:val="24"/>
          <w:lang w:eastAsia="ru-RU"/>
        </w:rPr>
        <w:t xml:space="preserve">12.04.2004 </w:t>
      </w:r>
      <w:r w:rsidRPr="004F536A">
        <w:rPr>
          <w:rFonts w:ascii="Times New Roman" w:eastAsia="Times New Roman" w:hAnsi="Times New Roman"/>
          <w:color w:val="000000"/>
          <w:sz w:val="24"/>
          <w:szCs w:val="24"/>
          <w:lang w:eastAsia="ru-RU"/>
        </w:rPr>
        <w:t>– 0</w:t>
      </w:r>
      <w:r w:rsidRPr="004F536A">
        <w:rPr>
          <w:rFonts w:ascii="Times New Roman" w:eastAsia="Times New Roman" w:hAnsi="Times New Roman"/>
          <w:sz w:val="24"/>
          <w:szCs w:val="24"/>
          <w:lang w:eastAsia="ru-RU"/>
        </w:rPr>
        <w:t>7.04.2011, работала на различных руководящих должностях в Акционерном коммерческом банке «Банк Москвы» (открытое акционерное общество), с 04.04.2005 г. занимала должность Заместителя главного бухгалтера - заместителя Директора Департамента бухгалтерского учета, отчетности и расчетов, где курировала деятельность Управления отчетности, Управления учета банковских операций.</w:t>
      </w:r>
    </w:p>
    <w:p w14:paraId="0DC8D54C" w14:textId="77777777" w:rsidR="004F536A" w:rsidRPr="004F536A" w:rsidRDefault="004F536A" w:rsidP="004F536A">
      <w:pPr>
        <w:widowControl w:val="0"/>
        <w:overflowPunct w:val="0"/>
        <w:autoSpaceDE w:val="0"/>
        <w:autoSpaceDN w:val="0"/>
        <w:adjustRightInd w:val="0"/>
        <w:spacing w:after="120"/>
        <w:jc w:val="both"/>
        <w:textAlignment w:val="baseline"/>
        <w:rPr>
          <w:rFonts w:ascii="Times New Roman" w:eastAsia="Times New Roman" w:hAnsi="Times New Roman"/>
          <w:sz w:val="24"/>
          <w:szCs w:val="24"/>
          <w:lang w:eastAsia="ru-RU"/>
        </w:rPr>
      </w:pPr>
      <w:r w:rsidRPr="004F536A">
        <w:rPr>
          <w:rFonts w:ascii="Times New Roman" w:eastAsia="Times New Roman" w:hAnsi="Times New Roman"/>
          <w:sz w:val="24"/>
          <w:szCs w:val="24"/>
          <w:lang w:eastAsia="ru-RU"/>
        </w:rPr>
        <w:t xml:space="preserve">12.04.2011 </w:t>
      </w:r>
      <w:r w:rsidRPr="004F536A">
        <w:rPr>
          <w:rFonts w:ascii="Times New Roman" w:eastAsia="Times New Roman" w:hAnsi="Times New Roman"/>
          <w:color w:val="000000"/>
          <w:sz w:val="24"/>
          <w:szCs w:val="24"/>
          <w:lang w:eastAsia="ru-RU"/>
        </w:rPr>
        <w:t>–</w:t>
      </w:r>
      <w:r w:rsidRPr="004F536A">
        <w:rPr>
          <w:rFonts w:ascii="Times New Roman" w:eastAsia="Times New Roman" w:hAnsi="Times New Roman"/>
          <w:sz w:val="24"/>
          <w:szCs w:val="24"/>
          <w:lang w:eastAsia="ru-RU"/>
        </w:rPr>
        <w:t>16.05.2011, Советник Председателя Правления ЗАО АКБ «Национальный Клиринговый Центр», отвечала за методологическую и консультационную работу в части организации и постановки бухгалтерского и налогового учета.</w:t>
      </w:r>
    </w:p>
    <w:p w14:paraId="6CAB8A11" w14:textId="77777777" w:rsidR="004F536A" w:rsidRPr="004F536A" w:rsidRDefault="004F536A" w:rsidP="004F536A">
      <w:pPr>
        <w:widowControl w:val="0"/>
        <w:overflowPunct w:val="0"/>
        <w:autoSpaceDE w:val="0"/>
        <w:autoSpaceDN w:val="0"/>
        <w:adjustRightInd w:val="0"/>
        <w:spacing w:after="120"/>
        <w:jc w:val="both"/>
        <w:textAlignment w:val="baseline"/>
        <w:rPr>
          <w:rFonts w:ascii="Times New Roman" w:eastAsia="Times New Roman" w:hAnsi="Times New Roman"/>
          <w:sz w:val="24"/>
          <w:szCs w:val="24"/>
          <w:lang w:eastAsia="ru-RU"/>
        </w:rPr>
      </w:pPr>
      <w:r w:rsidRPr="004F536A">
        <w:rPr>
          <w:rFonts w:ascii="Times New Roman" w:eastAsia="Times New Roman" w:hAnsi="Times New Roman"/>
          <w:sz w:val="24"/>
          <w:szCs w:val="24"/>
          <w:lang w:eastAsia="ru-RU"/>
        </w:rPr>
        <w:t xml:space="preserve">17.05.2011 </w:t>
      </w:r>
      <w:r w:rsidRPr="004F536A">
        <w:rPr>
          <w:rFonts w:ascii="Times New Roman" w:eastAsia="Times New Roman" w:hAnsi="Times New Roman"/>
          <w:color w:val="000000"/>
          <w:sz w:val="24"/>
          <w:szCs w:val="24"/>
          <w:lang w:eastAsia="ru-RU"/>
        </w:rPr>
        <w:t xml:space="preserve">– по настоящее время, </w:t>
      </w:r>
      <w:r w:rsidRPr="004F536A">
        <w:rPr>
          <w:rFonts w:ascii="Times New Roman" w:eastAsia="Times New Roman" w:hAnsi="Times New Roman"/>
          <w:sz w:val="24"/>
          <w:szCs w:val="24"/>
          <w:lang w:eastAsia="ru-RU"/>
        </w:rPr>
        <w:t xml:space="preserve">Главный бухгалтер, член Правления НКО НКЦ (АО), курирует Управление бухгалтерского, налогового учета и отчетности, Управление оформления и учета операций Казначейства, Управление расчетов. </w:t>
      </w:r>
    </w:p>
    <w:p w14:paraId="0BDC96A1" w14:textId="77777777" w:rsidR="004F536A" w:rsidRPr="004F536A" w:rsidRDefault="004F536A" w:rsidP="004F536A">
      <w:pPr>
        <w:widowControl w:val="0"/>
        <w:overflowPunct w:val="0"/>
        <w:autoSpaceDE w:val="0"/>
        <w:autoSpaceDN w:val="0"/>
        <w:adjustRightInd w:val="0"/>
        <w:spacing w:after="120"/>
        <w:jc w:val="both"/>
        <w:textAlignment w:val="baseline"/>
        <w:rPr>
          <w:rFonts w:ascii="Times New Roman" w:eastAsia="Times New Roman" w:hAnsi="Times New Roman"/>
          <w:sz w:val="24"/>
          <w:szCs w:val="24"/>
          <w:lang w:eastAsia="ru-RU"/>
        </w:rPr>
      </w:pPr>
      <w:r w:rsidRPr="004F536A">
        <w:rPr>
          <w:rFonts w:ascii="Times New Roman" w:eastAsia="Times New Roman" w:hAnsi="Times New Roman"/>
          <w:sz w:val="24"/>
          <w:szCs w:val="24"/>
          <w:lang w:eastAsia="ru-RU"/>
        </w:rPr>
        <w:t>Горина М.П. не занимает должности в органах управления иных юридических лиц.</w:t>
      </w:r>
    </w:p>
    <w:p w14:paraId="288B5A0F" w14:textId="77777777" w:rsidR="004F536A" w:rsidRPr="004F536A" w:rsidRDefault="004F536A" w:rsidP="004F536A">
      <w:pPr>
        <w:widowControl w:val="0"/>
        <w:overflowPunct w:val="0"/>
        <w:autoSpaceDE w:val="0"/>
        <w:autoSpaceDN w:val="0"/>
        <w:adjustRightInd w:val="0"/>
        <w:spacing w:after="120"/>
        <w:ind w:firstLine="181"/>
        <w:jc w:val="both"/>
        <w:textAlignment w:val="baseline"/>
        <w:rPr>
          <w:rFonts w:ascii="Times New Roman" w:eastAsia="Times New Roman" w:hAnsi="Times New Roman"/>
          <w:sz w:val="24"/>
          <w:szCs w:val="24"/>
          <w:lang w:eastAsia="ru-RU"/>
        </w:rPr>
      </w:pPr>
    </w:p>
    <w:p w14:paraId="050AB470" w14:textId="4BF1AC73" w:rsidR="004F536A" w:rsidRPr="004F536A" w:rsidRDefault="004F536A" w:rsidP="004F536A">
      <w:pPr>
        <w:widowControl w:val="0"/>
        <w:tabs>
          <w:tab w:val="left" w:pos="426"/>
          <w:tab w:val="left" w:pos="851"/>
        </w:tabs>
        <w:overflowPunct w:val="0"/>
        <w:autoSpaceDE w:val="0"/>
        <w:autoSpaceDN w:val="0"/>
        <w:adjustRightInd w:val="0"/>
        <w:jc w:val="both"/>
        <w:textAlignment w:val="baseline"/>
        <w:rPr>
          <w:rFonts w:ascii="Times New Roman" w:eastAsia="Times New Roman" w:hAnsi="Times New Roman"/>
          <w:b/>
          <w:sz w:val="24"/>
          <w:szCs w:val="24"/>
          <w:lang w:eastAsia="ru-RU"/>
        </w:rPr>
      </w:pPr>
      <w:r w:rsidRPr="004F536A">
        <w:rPr>
          <w:rFonts w:ascii="Times New Roman" w:eastAsia="Times New Roman" w:hAnsi="Times New Roman"/>
          <w:b/>
          <w:sz w:val="24"/>
          <w:szCs w:val="24"/>
          <w:lang w:eastAsia="ru-RU"/>
        </w:rPr>
        <w:t xml:space="preserve">     4. Горбаченко Сергей Геннадьевич, </w:t>
      </w:r>
      <w:r w:rsidRPr="004F536A">
        <w:rPr>
          <w:rFonts w:ascii="Times New Roman" w:eastAsia="Times New Roman" w:hAnsi="Times New Roman"/>
          <w:sz w:val="24"/>
          <w:szCs w:val="24"/>
          <w:lang w:eastAsia="ru-RU"/>
        </w:rPr>
        <w:t>1966 года рождения, образование высшее, в 1989 году окончил Московский Инженерно-Физический Институт, специальность: «Физика твердого тела», квалификация: инженер-физик.</w:t>
      </w:r>
      <w:r w:rsidRPr="004F536A">
        <w:rPr>
          <w:rFonts w:ascii="Times New Roman" w:eastAsia="Times New Roman" w:hAnsi="Times New Roman"/>
          <w:bCs/>
          <w:sz w:val="24"/>
          <w:szCs w:val="24"/>
          <w:lang w:eastAsia="ru-RU"/>
        </w:rPr>
        <w:t xml:space="preserve"> Имеет с 24.12.2003 квалификационный аттестат соответствующий должности руководителя или контролера или специалиста организаций, осуществляющих деятельность по организации торговли (деятельность фондовых бирж), клиринговую деятельность.</w:t>
      </w:r>
    </w:p>
    <w:p w14:paraId="06B8EF01" w14:textId="77777777" w:rsidR="004F536A" w:rsidRPr="004F536A" w:rsidRDefault="004F536A" w:rsidP="004F536A">
      <w:pPr>
        <w:widowControl w:val="0"/>
        <w:overflowPunct w:val="0"/>
        <w:autoSpaceDE w:val="0"/>
        <w:autoSpaceDN w:val="0"/>
        <w:adjustRightInd w:val="0"/>
        <w:ind w:firstLine="142"/>
        <w:jc w:val="both"/>
        <w:textAlignment w:val="baseline"/>
        <w:rPr>
          <w:rFonts w:ascii="Times New Roman" w:eastAsia="Times New Roman" w:hAnsi="Times New Roman"/>
          <w:i/>
          <w:sz w:val="24"/>
          <w:szCs w:val="24"/>
          <w:lang w:eastAsia="ru-RU"/>
        </w:rPr>
      </w:pPr>
    </w:p>
    <w:p w14:paraId="7FB5A352" w14:textId="77777777" w:rsidR="004F536A" w:rsidRPr="004F536A" w:rsidRDefault="004F536A" w:rsidP="004F536A">
      <w:pPr>
        <w:widowControl w:val="0"/>
        <w:overflowPunct w:val="0"/>
        <w:autoSpaceDE w:val="0"/>
        <w:autoSpaceDN w:val="0"/>
        <w:adjustRightInd w:val="0"/>
        <w:jc w:val="both"/>
        <w:textAlignment w:val="baseline"/>
        <w:rPr>
          <w:rFonts w:ascii="Times New Roman" w:eastAsia="Times New Roman" w:hAnsi="Times New Roman"/>
          <w:i/>
          <w:sz w:val="24"/>
          <w:szCs w:val="24"/>
          <w:lang w:eastAsia="ru-RU"/>
        </w:rPr>
      </w:pPr>
      <w:r w:rsidRPr="004F536A">
        <w:rPr>
          <w:rFonts w:ascii="Times New Roman" w:eastAsia="Times New Roman" w:hAnsi="Times New Roman"/>
          <w:i/>
          <w:sz w:val="24"/>
          <w:szCs w:val="24"/>
          <w:lang w:eastAsia="ru-RU"/>
        </w:rPr>
        <w:t>Трудовая деятельность за последние пять лет:</w:t>
      </w:r>
    </w:p>
    <w:p w14:paraId="76477633" w14:textId="77777777" w:rsidR="004F536A" w:rsidRPr="004F536A" w:rsidRDefault="004F536A" w:rsidP="004F536A">
      <w:pPr>
        <w:widowControl w:val="0"/>
        <w:overflowPunct w:val="0"/>
        <w:autoSpaceDE w:val="0"/>
        <w:autoSpaceDN w:val="0"/>
        <w:adjustRightInd w:val="0"/>
        <w:jc w:val="both"/>
        <w:textAlignment w:val="baseline"/>
        <w:rPr>
          <w:rFonts w:ascii="Times New Roman" w:eastAsia="Times New Roman" w:hAnsi="Times New Roman"/>
          <w:sz w:val="24"/>
          <w:szCs w:val="24"/>
          <w:lang w:eastAsia="ru-RU"/>
        </w:rPr>
      </w:pPr>
      <w:r w:rsidRPr="004F536A">
        <w:rPr>
          <w:rFonts w:ascii="Times New Roman" w:eastAsia="Times New Roman" w:hAnsi="Times New Roman"/>
          <w:sz w:val="24"/>
          <w:szCs w:val="24"/>
          <w:lang w:eastAsia="ru-RU"/>
        </w:rPr>
        <w:t>28.08.2003 – 26.01.2010, Генеральный директор Закрытого акционерного общества «Клиринговый центр РТС» (до переименования ЗАО «Технический центр РТС»), осуществлял общее руководство деятельностью общества.</w:t>
      </w:r>
    </w:p>
    <w:p w14:paraId="2E8E74A5" w14:textId="77777777" w:rsidR="004F536A" w:rsidRPr="004F536A" w:rsidRDefault="004F536A" w:rsidP="004F536A">
      <w:pPr>
        <w:widowControl w:val="0"/>
        <w:overflowPunct w:val="0"/>
        <w:autoSpaceDE w:val="0"/>
        <w:autoSpaceDN w:val="0"/>
        <w:adjustRightInd w:val="0"/>
        <w:jc w:val="both"/>
        <w:textAlignment w:val="baseline"/>
        <w:rPr>
          <w:rFonts w:ascii="Times New Roman" w:eastAsia="Times New Roman" w:hAnsi="Times New Roman"/>
          <w:sz w:val="24"/>
          <w:szCs w:val="24"/>
          <w:lang w:eastAsia="ru-RU"/>
        </w:rPr>
      </w:pPr>
      <w:r w:rsidRPr="004F536A">
        <w:rPr>
          <w:rFonts w:ascii="Times New Roman" w:eastAsia="Times New Roman" w:hAnsi="Times New Roman"/>
          <w:sz w:val="24"/>
          <w:szCs w:val="24"/>
          <w:lang w:eastAsia="ru-RU"/>
        </w:rPr>
        <w:t>24.02.2010 – 20.12.2013, Директор по проектам Центра развития и проектной деятельности</w:t>
      </w:r>
    </w:p>
    <w:p w14:paraId="2A1DA9FF" w14:textId="77777777" w:rsidR="004F536A" w:rsidRPr="004F536A" w:rsidRDefault="004F536A" w:rsidP="004F536A">
      <w:pPr>
        <w:widowControl w:val="0"/>
        <w:overflowPunct w:val="0"/>
        <w:autoSpaceDE w:val="0"/>
        <w:autoSpaceDN w:val="0"/>
        <w:adjustRightInd w:val="0"/>
        <w:jc w:val="both"/>
        <w:textAlignment w:val="baseline"/>
        <w:rPr>
          <w:rFonts w:ascii="Times New Roman" w:eastAsia="Times New Roman" w:hAnsi="Times New Roman"/>
          <w:sz w:val="24"/>
          <w:szCs w:val="24"/>
          <w:lang w:eastAsia="ru-RU"/>
        </w:rPr>
      </w:pPr>
      <w:r w:rsidRPr="004F536A">
        <w:rPr>
          <w:rFonts w:ascii="Times New Roman" w:eastAsia="Times New Roman" w:hAnsi="Times New Roman"/>
          <w:sz w:val="24"/>
          <w:szCs w:val="24"/>
          <w:lang w:eastAsia="ru-RU"/>
        </w:rPr>
        <w:t xml:space="preserve">Закрытого акционерного общества «Московская межбанковская валютная биржа» (после переименования – ПАО Московская Биржа) и курировал реализацию проектов общества. </w:t>
      </w:r>
    </w:p>
    <w:p w14:paraId="4F0F5D20" w14:textId="77777777" w:rsidR="004F536A" w:rsidRPr="004F536A" w:rsidRDefault="004F536A" w:rsidP="004F536A">
      <w:pPr>
        <w:widowControl w:val="0"/>
        <w:overflowPunct w:val="0"/>
        <w:autoSpaceDE w:val="0"/>
        <w:autoSpaceDN w:val="0"/>
        <w:adjustRightInd w:val="0"/>
        <w:jc w:val="both"/>
        <w:textAlignment w:val="baseline"/>
        <w:rPr>
          <w:rFonts w:ascii="Times New Roman" w:eastAsia="Times New Roman" w:hAnsi="Times New Roman"/>
          <w:sz w:val="24"/>
          <w:szCs w:val="24"/>
          <w:lang w:eastAsia="ru-RU"/>
        </w:rPr>
      </w:pPr>
      <w:r w:rsidRPr="004F536A">
        <w:rPr>
          <w:rFonts w:ascii="Times New Roman" w:eastAsia="Times New Roman" w:hAnsi="Times New Roman"/>
          <w:sz w:val="24"/>
          <w:szCs w:val="24"/>
          <w:lang w:eastAsia="ru-RU"/>
        </w:rPr>
        <w:lastRenderedPageBreak/>
        <w:t xml:space="preserve">21.06.2010 – 31.05.2011, Директор по развитию ЗАО АКБ «Национальный Клиринговый Центр» (по совместительству), отвечал за реализацию проектов по клиринговой деятельности. </w:t>
      </w:r>
    </w:p>
    <w:p w14:paraId="1B746507" w14:textId="77777777" w:rsidR="004F536A" w:rsidRPr="004F536A" w:rsidRDefault="004F536A" w:rsidP="004F536A">
      <w:pPr>
        <w:widowControl w:val="0"/>
        <w:overflowPunct w:val="0"/>
        <w:autoSpaceDE w:val="0"/>
        <w:autoSpaceDN w:val="0"/>
        <w:adjustRightInd w:val="0"/>
        <w:jc w:val="both"/>
        <w:textAlignment w:val="baseline"/>
        <w:rPr>
          <w:rFonts w:ascii="Times New Roman" w:eastAsia="Times New Roman" w:hAnsi="Times New Roman"/>
          <w:sz w:val="24"/>
          <w:szCs w:val="24"/>
          <w:lang w:eastAsia="ru-RU"/>
        </w:rPr>
      </w:pPr>
      <w:r w:rsidRPr="004F536A">
        <w:rPr>
          <w:rFonts w:ascii="Times New Roman" w:eastAsia="Times New Roman" w:hAnsi="Times New Roman"/>
          <w:sz w:val="24"/>
          <w:szCs w:val="24"/>
          <w:lang w:eastAsia="ru-RU"/>
        </w:rPr>
        <w:t>01.06.2011 – 01.07.2012, Директор Центра клиринга ЗАО АКБ «Национальный Клиринговый Центр», отвечал за организацию работы данного структурного подразделения.</w:t>
      </w:r>
    </w:p>
    <w:p w14:paraId="5B546D32" w14:textId="77777777" w:rsidR="004F536A" w:rsidRPr="004F536A" w:rsidRDefault="004F536A" w:rsidP="004F536A">
      <w:pPr>
        <w:widowControl w:val="0"/>
        <w:overflowPunct w:val="0"/>
        <w:autoSpaceDE w:val="0"/>
        <w:autoSpaceDN w:val="0"/>
        <w:adjustRightInd w:val="0"/>
        <w:jc w:val="both"/>
        <w:textAlignment w:val="baseline"/>
        <w:rPr>
          <w:rFonts w:ascii="Times New Roman" w:eastAsia="Times New Roman" w:hAnsi="Times New Roman"/>
          <w:sz w:val="24"/>
          <w:szCs w:val="24"/>
          <w:lang w:eastAsia="ru-RU"/>
        </w:rPr>
      </w:pPr>
      <w:r w:rsidRPr="004F536A">
        <w:rPr>
          <w:rFonts w:ascii="Times New Roman" w:eastAsia="Times New Roman" w:hAnsi="Times New Roman"/>
          <w:sz w:val="24"/>
          <w:szCs w:val="24"/>
          <w:lang w:eastAsia="ru-RU"/>
        </w:rPr>
        <w:t xml:space="preserve">02.07.2012 – настоящее время, Директор Департамента клиринга НКО НКЦ (АО), осуществляет общее руководство подразделением и отвечает за обеспечение клиринга на всех рынках Группы «Московская Биржа» (с 23.12.2013 работает на данной должности по основному месту работы). </w:t>
      </w:r>
    </w:p>
    <w:p w14:paraId="50EE0515" w14:textId="77777777" w:rsidR="004F536A" w:rsidRPr="004F536A" w:rsidRDefault="004F536A" w:rsidP="004F536A">
      <w:pPr>
        <w:widowControl w:val="0"/>
        <w:overflowPunct w:val="0"/>
        <w:autoSpaceDE w:val="0"/>
        <w:autoSpaceDN w:val="0"/>
        <w:adjustRightInd w:val="0"/>
        <w:jc w:val="both"/>
        <w:textAlignment w:val="baseline"/>
        <w:rPr>
          <w:rFonts w:ascii="Times New Roman" w:eastAsia="Times New Roman" w:hAnsi="Times New Roman"/>
          <w:sz w:val="24"/>
          <w:szCs w:val="24"/>
          <w:lang w:eastAsia="ru-RU"/>
        </w:rPr>
      </w:pPr>
      <w:r w:rsidRPr="004F536A">
        <w:rPr>
          <w:rFonts w:ascii="Times New Roman" w:eastAsia="Times New Roman" w:hAnsi="Times New Roman"/>
          <w:sz w:val="24"/>
          <w:szCs w:val="24"/>
          <w:lang w:eastAsia="ru-RU"/>
        </w:rPr>
        <w:t>24.12.2013 – настоящее время, член Правления НКО НКЦ (АО), осуществляет курирование Департамента клиринга, Отдела оператора товарных поставок.</w:t>
      </w:r>
    </w:p>
    <w:p w14:paraId="5645E260" w14:textId="77777777" w:rsidR="004F536A" w:rsidRPr="004F536A" w:rsidRDefault="004F536A" w:rsidP="004F536A">
      <w:pPr>
        <w:widowControl w:val="0"/>
        <w:overflowPunct w:val="0"/>
        <w:autoSpaceDE w:val="0"/>
        <w:autoSpaceDN w:val="0"/>
        <w:adjustRightInd w:val="0"/>
        <w:jc w:val="both"/>
        <w:textAlignment w:val="baseline"/>
        <w:rPr>
          <w:rFonts w:ascii="Times New Roman" w:eastAsia="Times New Roman" w:hAnsi="Times New Roman"/>
          <w:sz w:val="24"/>
          <w:szCs w:val="24"/>
          <w:lang w:eastAsia="ru-RU"/>
        </w:rPr>
      </w:pPr>
    </w:p>
    <w:p w14:paraId="520A5E5B" w14:textId="77777777" w:rsidR="004F536A" w:rsidRPr="004F536A" w:rsidRDefault="004F536A" w:rsidP="004F536A">
      <w:pPr>
        <w:widowControl w:val="0"/>
        <w:overflowPunct w:val="0"/>
        <w:autoSpaceDE w:val="0"/>
        <w:autoSpaceDN w:val="0"/>
        <w:adjustRightInd w:val="0"/>
        <w:spacing w:after="120"/>
        <w:jc w:val="both"/>
        <w:textAlignment w:val="baseline"/>
        <w:rPr>
          <w:rFonts w:ascii="Times New Roman" w:eastAsia="Times New Roman" w:hAnsi="Times New Roman"/>
          <w:sz w:val="24"/>
          <w:szCs w:val="24"/>
          <w:lang w:eastAsia="ru-RU"/>
        </w:rPr>
      </w:pPr>
      <w:r w:rsidRPr="004F536A">
        <w:rPr>
          <w:rFonts w:ascii="Times New Roman" w:eastAsia="Times New Roman" w:hAnsi="Times New Roman"/>
          <w:sz w:val="24"/>
          <w:szCs w:val="24"/>
          <w:lang w:eastAsia="ru-RU"/>
        </w:rPr>
        <w:t>Горбаченко С.Г. не занимает должности в органах управления иных юридических лиц.</w:t>
      </w:r>
    </w:p>
    <w:p w14:paraId="72D2AEF5" w14:textId="77777777" w:rsidR="004F536A" w:rsidRPr="004F536A" w:rsidRDefault="004F536A" w:rsidP="004F536A">
      <w:pPr>
        <w:widowControl w:val="0"/>
        <w:overflowPunct w:val="0"/>
        <w:autoSpaceDE w:val="0"/>
        <w:autoSpaceDN w:val="0"/>
        <w:adjustRightInd w:val="0"/>
        <w:jc w:val="both"/>
        <w:textAlignment w:val="baseline"/>
        <w:rPr>
          <w:rFonts w:ascii="Times New Roman" w:eastAsia="Times New Roman" w:hAnsi="Times New Roman"/>
          <w:sz w:val="24"/>
          <w:szCs w:val="24"/>
          <w:lang w:eastAsia="ru-RU"/>
        </w:rPr>
      </w:pPr>
      <w:r w:rsidRPr="004F536A">
        <w:rPr>
          <w:rFonts w:ascii="Times New Roman" w:eastAsia="Times New Roman" w:hAnsi="Times New Roman"/>
          <w:sz w:val="24"/>
          <w:szCs w:val="24"/>
          <w:lang w:eastAsia="ru-RU"/>
        </w:rPr>
        <w:t xml:space="preserve"> </w:t>
      </w:r>
    </w:p>
    <w:p w14:paraId="42216A9C" w14:textId="77777777" w:rsidR="004F536A" w:rsidRDefault="004F536A" w:rsidP="004F536A">
      <w:pPr>
        <w:widowControl w:val="0"/>
        <w:overflowPunct w:val="0"/>
        <w:autoSpaceDE w:val="0"/>
        <w:autoSpaceDN w:val="0"/>
        <w:adjustRightInd w:val="0"/>
        <w:jc w:val="both"/>
        <w:textAlignment w:val="baseline"/>
        <w:rPr>
          <w:rFonts w:ascii="Times New Roman" w:eastAsia="Times New Roman" w:hAnsi="Times New Roman"/>
          <w:sz w:val="24"/>
          <w:szCs w:val="24"/>
          <w:lang w:eastAsia="ru-RU"/>
        </w:rPr>
      </w:pPr>
      <w:r w:rsidRPr="004F536A">
        <w:rPr>
          <w:rFonts w:ascii="Times New Roman" w:eastAsia="Times New Roman" w:hAnsi="Times New Roman"/>
          <w:sz w:val="24"/>
          <w:szCs w:val="24"/>
          <w:lang w:eastAsia="ru-RU"/>
        </w:rPr>
        <w:t>Председатель Правления и члены Правления НКО НКЦ (АО) акциями НКЦ в течение отчетного периода не владели.</w:t>
      </w:r>
    </w:p>
    <w:p w14:paraId="1703B2C6" w14:textId="77777777" w:rsidR="00C67BA9" w:rsidRDefault="00C67BA9" w:rsidP="004F536A">
      <w:pPr>
        <w:widowControl w:val="0"/>
        <w:overflowPunct w:val="0"/>
        <w:autoSpaceDE w:val="0"/>
        <w:autoSpaceDN w:val="0"/>
        <w:adjustRightInd w:val="0"/>
        <w:jc w:val="both"/>
        <w:textAlignment w:val="baseline"/>
        <w:rPr>
          <w:rFonts w:ascii="Times New Roman" w:eastAsia="Times New Roman" w:hAnsi="Times New Roman"/>
          <w:sz w:val="24"/>
          <w:szCs w:val="24"/>
          <w:lang w:eastAsia="ru-RU"/>
        </w:rPr>
      </w:pPr>
    </w:p>
    <w:p w14:paraId="03EE1014" w14:textId="77777777" w:rsidR="00C67BA9" w:rsidRDefault="00C67BA9" w:rsidP="00C67BA9">
      <w:pPr>
        <w:tabs>
          <w:tab w:val="left" w:pos="8820"/>
        </w:tabs>
        <w:ind w:right="76" w:firstLine="567"/>
        <w:jc w:val="both"/>
        <w:rPr>
          <w:sz w:val="24"/>
          <w:szCs w:val="24"/>
        </w:rPr>
      </w:pPr>
    </w:p>
    <w:p w14:paraId="5EEB80F1" w14:textId="0E638348" w:rsidR="00C67BA9" w:rsidRPr="003221B6" w:rsidRDefault="007F55DE" w:rsidP="007160B5">
      <w:pPr>
        <w:widowControl w:val="0"/>
        <w:overflowPunct w:val="0"/>
        <w:autoSpaceDE w:val="0"/>
        <w:autoSpaceDN w:val="0"/>
        <w:adjustRightInd w:val="0"/>
        <w:ind w:firstLine="360"/>
        <w:jc w:val="center"/>
        <w:textAlignment w:val="baseline"/>
        <w:outlineLvl w:val="0"/>
        <w:rPr>
          <w:rFonts w:ascii="Times New Roman" w:eastAsia="Times New Roman" w:hAnsi="Times New Roman" w:cs="Arial"/>
          <w:b/>
          <w:sz w:val="32"/>
          <w:szCs w:val="32"/>
          <w:lang w:eastAsia="ru-RU"/>
        </w:rPr>
      </w:pPr>
      <w:r w:rsidRPr="007160B5">
        <w:rPr>
          <w:rFonts w:ascii="Times New Roman" w:eastAsia="Times New Roman" w:hAnsi="Times New Roman" w:cs="Arial"/>
          <w:b/>
          <w:sz w:val="28"/>
          <w:szCs w:val="28"/>
          <w:lang w:eastAsia="ru-RU"/>
        </w:rPr>
        <w:t xml:space="preserve"> </w:t>
      </w:r>
      <w:bookmarkStart w:id="55" w:name="_Toc510776686"/>
      <w:r w:rsidR="007160B5" w:rsidRPr="00090649">
        <w:rPr>
          <w:rFonts w:ascii="Times New Roman" w:eastAsia="Times New Roman" w:hAnsi="Times New Roman" w:cs="Arial"/>
          <w:b/>
          <w:sz w:val="32"/>
          <w:szCs w:val="32"/>
          <w:lang w:eastAsia="ru-RU"/>
        </w:rPr>
        <w:t xml:space="preserve">13. </w:t>
      </w:r>
      <w:r w:rsidR="00C67BA9" w:rsidRPr="003221B6">
        <w:rPr>
          <w:rFonts w:ascii="Times New Roman" w:eastAsia="Times New Roman" w:hAnsi="Times New Roman" w:cs="Arial"/>
          <w:b/>
          <w:sz w:val="32"/>
          <w:szCs w:val="32"/>
          <w:lang w:eastAsia="ru-RU"/>
        </w:rPr>
        <w:t>Кадровая политика. Информация о системе оплаты труда.</w:t>
      </w:r>
      <w:bookmarkEnd w:id="55"/>
    </w:p>
    <w:p w14:paraId="0BBE87CD" w14:textId="77777777" w:rsidR="00C67BA9" w:rsidRPr="00C67BA9" w:rsidRDefault="00C67BA9" w:rsidP="00C67BA9">
      <w:pPr>
        <w:spacing w:line="276" w:lineRule="auto"/>
        <w:ind w:firstLine="567"/>
        <w:jc w:val="center"/>
        <w:rPr>
          <w:rFonts w:ascii="Times New Roman" w:eastAsia="Calibri" w:hAnsi="Times New Roman"/>
          <w:b/>
          <w:sz w:val="24"/>
          <w:szCs w:val="24"/>
        </w:rPr>
      </w:pPr>
    </w:p>
    <w:p w14:paraId="276C8CAE" w14:textId="77777777" w:rsidR="00C67BA9" w:rsidRPr="00C67BA9" w:rsidRDefault="00C67BA9" w:rsidP="000D500B">
      <w:pPr>
        <w:ind w:firstLine="567"/>
        <w:jc w:val="both"/>
        <w:rPr>
          <w:rFonts w:ascii="Times New Roman" w:eastAsia="Calibri" w:hAnsi="Times New Roman"/>
          <w:sz w:val="24"/>
          <w:szCs w:val="24"/>
        </w:rPr>
      </w:pPr>
      <w:r w:rsidRPr="00C67BA9">
        <w:rPr>
          <w:rFonts w:ascii="Times New Roman" w:eastAsia="Calibri" w:hAnsi="Times New Roman"/>
          <w:sz w:val="24"/>
          <w:szCs w:val="24"/>
        </w:rPr>
        <w:t xml:space="preserve">Кадровая политика </w:t>
      </w:r>
      <w:r w:rsidR="007E57BF">
        <w:rPr>
          <w:rFonts w:ascii="Times New Roman" w:eastAsia="Calibri" w:hAnsi="Times New Roman"/>
          <w:sz w:val="24"/>
          <w:szCs w:val="24"/>
        </w:rPr>
        <w:t>НКЦ</w:t>
      </w:r>
      <w:r w:rsidRPr="00C67BA9">
        <w:rPr>
          <w:rFonts w:ascii="Times New Roman" w:eastAsia="Calibri" w:hAnsi="Times New Roman"/>
          <w:sz w:val="24"/>
          <w:szCs w:val="24"/>
        </w:rPr>
        <w:t xml:space="preserve"> направлена на решение трех основных задач: </w:t>
      </w:r>
    </w:p>
    <w:p w14:paraId="0A5DB473" w14:textId="77777777" w:rsidR="00C67BA9" w:rsidRPr="00C67BA9" w:rsidRDefault="00C67BA9" w:rsidP="000D500B">
      <w:pPr>
        <w:ind w:firstLine="567"/>
        <w:jc w:val="both"/>
        <w:rPr>
          <w:rFonts w:ascii="Times New Roman" w:eastAsia="Calibri" w:hAnsi="Times New Roman"/>
          <w:sz w:val="24"/>
          <w:szCs w:val="24"/>
        </w:rPr>
      </w:pPr>
      <w:r w:rsidRPr="00C67BA9">
        <w:rPr>
          <w:rFonts w:ascii="Times New Roman" w:eastAsia="Calibri" w:hAnsi="Times New Roman"/>
          <w:sz w:val="24"/>
          <w:szCs w:val="24"/>
        </w:rPr>
        <w:t>•</w:t>
      </w:r>
      <w:r w:rsidRPr="00C67BA9">
        <w:rPr>
          <w:rFonts w:ascii="Times New Roman" w:eastAsia="Calibri" w:hAnsi="Times New Roman"/>
          <w:sz w:val="24"/>
          <w:szCs w:val="24"/>
        </w:rPr>
        <w:tab/>
      </w:r>
      <w:r w:rsidR="007E57BF">
        <w:rPr>
          <w:rFonts w:ascii="Times New Roman" w:eastAsia="Calibri" w:hAnsi="Times New Roman"/>
          <w:sz w:val="24"/>
          <w:szCs w:val="24"/>
        </w:rPr>
        <w:t>п</w:t>
      </w:r>
      <w:r w:rsidRPr="00C67BA9">
        <w:rPr>
          <w:rFonts w:ascii="Times New Roman" w:eastAsia="Calibri" w:hAnsi="Times New Roman"/>
          <w:sz w:val="24"/>
          <w:szCs w:val="24"/>
        </w:rPr>
        <w:t>ривлечение, мотивация и удержание высококлассных специалистов и руководителей</w:t>
      </w:r>
      <w:r w:rsidR="007E57BF">
        <w:rPr>
          <w:rFonts w:ascii="Times New Roman" w:eastAsia="Calibri" w:hAnsi="Times New Roman"/>
          <w:sz w:val="24"/>
          <w:szCs w:val="24"/>
        </w:rPr>
        <w:t>;</w:t>
      </w:r>
    </w:p>
    <w:p w14:paraId="47E04CF5" w14:textId="77777777" w:rsidR="00C67BA9" w:rsidRPr="00C67BA9" w:rsidRDefault="00C67BA9" w:rsidP="000D500B">
      <w:pPr>
        <w:ind w:firstLine="567"/>
        <w:jc w:val="both"/>
        <w:rPr>
          <w:rFonts w:ascii="Times New Roman" w:eastAsia="Calibri" w:hAnsi="Times New Roman"/>
          <w:sz w:val="24"/>
          <w:szCs w:val="24"/>
        </w:rPr>
      </w:pPr>
      <w:r w:rsidRPr="00C67BA9">
        <w:rPr>
          <w:rFonts w:ascii="Times New Roman" w:eastAsia="Calibri" w:hAnsi="Times New Roman"/>
          <w:sz w:val="24"/>
          <w:szCs w:val="24"/>
        </w:rPr>
        <w:t>•</w:t>
      </w:r>
      <w:r w:rsidRPr="00C67BA9">
        <w:rPr>
          <w:rFonts w:ascii="Times New Roman" w:eastAsia="Calibri" w:hAnsi="Times New Roman"/>
          <w:sz w:val="24"/>
          <w:szCs w:val="24"/>
        </w:rPr>
        <w:tab/>
      </w:r>
      <w:r w:rsidR="007E57BF">
        <w:rPr>
          <w:rFonts w:ascii="Times New Roman" w:eastAsia="Calibri" w:hAnsi="Times New Roman"/>
          <w:sz w:val="24"/>
          <w:szCs w:val="24"/>
        </w:rPr>
        <w:t>н</w:t>
      </w:r>
      <w:r w:rsidRPr="00C67BA9">
        <w:rPr>
          <w:rFonts w:ascii="Times New Roman" w:eastAsia="Calibri" w:hAnsi="Times New Roman"/>
          <w:sz w:val="24"/>
          <w:szCs w:val="24"/>
        </w:rPr>
        <w:t>епрерывное профессиональное развитие сотрудников</w:t>
      </w:r>
      <w:r w:rsidR="007E57BF">
        <w:rPr>
          <w:rFonts w:ascii="Times New Roman" w:eastAsia="Calibri" w:hAnsi="Times New Roman"/>
          <w:sz w:val="24"/>
          <w:szCs w:val="24"/>
        </w:rPr>
        <w:t>;</w:t>
      </w:r>
    </w:p>
    <w:p w14:paraId="02F54127" w14:textId="77777777" w:rsidR="00C67BA9" w:rsidRPr="00C67BA9" w:rsidRDefault="00C67BA9" w:rsidP="000D500B">
      <w:pPr>
        <w:ind w:firstLine="567"/>
        <w:jc w:val="both"/>
        <w:rPr>
          <w:rFonts w:ascii="Times New Roman" w:eastAsia="Calibri" w:hAnsi="Times New Roman"/>
          <w:sz w:val="24"/>
          <w:szCs w:val="24"/>
        </w:rPr>
      </w:pPr>
      <w:r w:rsidRPr="00C67BA9">
        <w:rPr>
          <w:rFonts w:ascii="Times New Roman" w:eastAsia="Calibri" w:hAnsi="Times New Roman"/>
          <w:sz w:val="24"/>
          <w:szCs w:val="24"/>
        </w:rPr>
        <w:t>•</w:t>
      </w:r>
      <w:r w:rsidRPr="00C67BA9">
        <w:rPr>
          <w:rFonts w:ascii="Times New Roman" w:eastAsia="Calibri" w:hAnsi="Times New Roman"/>
          <w:sz w:val="24"/>
          <w:szCs w:val="24"/>
        </w:rPr>
        <w:tab/>
      </w:r>
      <w:r w:rsidR="007E57BF">
        <w:rPr>
          <w:rFonts w:ascii="Times New Roman" w:eastAsia="Calibri" w:hAnsi="Times New Roman"/>
          <w:sz w:val="24"/>
          <w:szCs w:val="24"/>
        </w:rPr>
        <w:t>с</w:t>
      </w:r>
      <w:r w:rsidRPr="00C67BA9">
        <w:rPr>
          <w:rFonts w:ascii="Times New Roman" w:eastAsia="Calibri" w:hAnsi="Times New Roman"/>
          <w:sz w:val="24"/>
          <w:szCs w:val="24"/>
        </w:rPr>
        <w:t xml:space="preserve">оздание атмосферы, способствующей раскрытию потенциала сотрудников и достижению лучших результатов и реализации стратегических целей </w:t>
      </w:r>
      <w:r w:rsidR="007E57BF">
        <w:rPr>
          <w:rFonts w:ascii="Times New Roman" w:eastAsia="Calibri" w:hAnsi="Times New Roman"/>
          <w:sz w:val="24"/>
          <w:szCs w:val="24"/>
        </w:rPr>
        <w:t>Общества</w:t>
      </w:r>
      <w:r w:rsidRPr="00C67BA9">
        <w:rPr>
          <w:rFonts w:ascii="Times New Roman" w:eastAsia="Calibri" w:hAnsi="Times New Roman"/>
          <w:sz w:val="24"/>
          <w:szCs w:val="24"/>
        </w:rPr>
        <w:t xml:space="preserve">. </w:t>
      </w:r>
    </w:p>
    <w:p w14:paraId="15D12919" w14:textId="77777777" w:rsidR="007E57BF" w:rsidRDefault="007E57BF" w:rsidP="000D500B">
      <w:pPr>
        <w:ind w:firstLine="567"/>
        <w:jc w:val="both"/>
        <w:rPr>
          <w:rFonts w:ascii="Times New Roman" w:eastAsia="Calibri" w:hAnsi="Times New Roman"/>
          <w:sz w:val="24"/>
          <w:szCs w:val="24"/>
        </w:rPr>
      </w:pPr>
    </w:p>
    <w:p w14:paraId="142252D8" w14:textId="0A73369F" w:rsidR="00C67BA9" w:rsidRPr="00C67BA9" w:rsidRDefault="0078048B" w:rsidP="009E4D5C">
      <w:pPr>
        <w:jc w:val="both"/>
        <w:rPr>
          <w:rFonts w:ascii="Times New Roman" w:eastAsia="Calibri" w:hAnsi="Times New Roman"/>
          <w:sz w:val="24"/>
          <w:szCs w:val="24"/>
        </w:rPr>
      </w:pPr>
      <w:r>
        <w:rPr>
          <w:rFonts w:ascii="Times New Roman" w:eastAsia="Calibri" w:hAnsi="Times New Roman"/>
          <w:sz w:val="24"/>
          <w:szCs w:val="24"/>
        </w:rPr>
        <w:t xml:space="preserve">     </w:t>
      </w:r>
      <w:r w:rsidR="00C67BA9" w:rsidRPr="00C67BA9">
        <w:rPr>
          <w:rFonts w:ascii="Times New Roman" w:eastAsia="Calibri" w:hAnsi="Times New Roman"/>
          <w:sz w:val="24"/>
          <w:szCs w:val="24"/>
        </w:rPr>
        <w:t>НКЦ планомерно и системно выстраивает эффективную организацию, внедряя современные практики и технологии управления, в том числе путем непрерывного совершенствования процессов управления персоналом и обучения сотрудников всех уровней.</w:t>
      </w:r>
    </w:p>
    <w:p w14:paraId="03D0D9C7" w14:textId="77777777" w:rsidR="007E57BF" w:rsidRDefault="007E57BF" w:rsidP="000D500B">
      <w:pPr>
        <w:ind w:firstLine="567"/>
        <w:jc w:val="both"/>
        <w:rPr>
          <w:rFonts w:ascii="Times New Roman" w:eastAsia="Calibri" w:hAnsi="Times New Roman"/>
          <w:sz w:val="24"/>
          <w:szCs w:val="24"/>
        </w:rPr>
      </w:pPr>
    </w:p>
    <w:p w14:paraId="7E3F4855" w14:textId="203B528C" w:rsidR="00C67BA9" w:rsidRPr="00C67BA9" w:rsidRDefault="0078048B" w:rsidP="0078048B">
      <w:pPr>
        <w:jc w:val="both"/>
        <w:rPr>
          <w:rFonts w:ascii="Times New Roman" w:eastAsia="Calibri" w:hAnsi="Times New Roman"/>
          <w:sz w:val="24"/>
          <w:szCs w:val="24"/>
        </w:rPr>
      </w:pPr>
      <w:r>
        <w:rPr>
          <w:rFonts w:ascii="Times New Roman" w:eastAsia="Calibri" w:hAnsi="Times New Roman"/>
          <w:sz w:val="24"/>
          <w:szCs w:val="24"/>
        </w:rPr>
        <w:t xml:space="preserve">     </w:t>
      </w:r>
      <w:r w:rsidR="00C67BA9" w:rsidRPr="00C67BA9">
        <w:rPr>
          <w:rFonts w:ascii="Times New Roman" w:eastAsia="Calibri" w:hAnsi="Times New Roman"/>
          <w:sz w:val="24"/>
          <w:szCs w:val="24"/>
        </w:rPr>
        <w:t>Эффе</w:t>
      </w:r>
      <w:r w:rsidR="0035690E">
        <w:rPr>
          <w:rFonts w:ascii="Times New Roman" w:eastAsia="Calibri" w:hAnsi="Times New Roman"/>
          <w:sz w:val="24"/>
          <w:szCs w:val="24"/>
        </w:rPr>
        <w:t xml:space="preserve">ктивная численность работников НКЦ </w:t>
      </w:r>
      <w:r w:rsidR="00C67BA9" w:rsidRPr="00C67BA9">
        <w:rPr>
          <w:rFonts w:ascii="Times New Roman" w:eastAsia="Calibri" w:hAnsi="Times New Roman"/>
          <w:sz w:val="24"/>
          <w:szCs w:val="24"/>
        </w:rPr>
        <w:t>за отчетный период по сравнению с 2016 годом выросла на 3% и на конец 2017 года составила 165 работников. Количественный состав Правления НКО НКЦ (АО) в отчетном году не изменился. В 2016-2017 годах оптимизация численности не проводилась и не планируется в 2018 году.</w:t>
      </w:r>
    </w:p>
    <w:p w14:paraId="65D59A0F" w14:textId="26349E4C" w:rsidR="0078048B" w:rsidRPr="00963277" w:rsidRDefault="00C67BA9" w:rsidP="003221B6">
      <w:pPr>
        <w:tabs>
          <w:tab w:val="left" w:pos="567"/>
        </w:tabs>
        <w:spacing w:line="276" w:lineRule="auto"/>
        <w:contextualSpacing/>
        <w:jc w:val="both"/>
        <w:rPr>
          <w:rFonts w:ascii="Times New Roman" w:hAnsi="Times New Roman"/>
          <w:b/>
          <w:sz w:val="24"/>
          <w:szCs w:val="24"/>
        </w:rPr>
      </w:pPr>
      <w:r w:rsidRPr="00C67BA9">
        <w:rPr>
          <w:rFonts w:ascii="Times New Roman" w:eastAsia="Calibri" w:hAnsi="Times New Roman"/>
          <w:sz w:val="24"/>
          <w:szCs w:val="24"/>
        </w:rPr>
        <w:tab/>
      </w:r>
    </w:p>
    <w:p w14:paraId="55E78172" w14:textId="7B89858E" w:rsidR="00C67BA9" w:rsidRPr="000D500B" w:rsidRDefault="000D500B" w:rsidP="009E4D5C">
      <w:pPr>
        <w:pStyle w:val="a9"/>
        <w:spacing w:after="160" w:line="240" w:lineRule="auto"/>
        <w:ind w:left="2520"/>
        <w:rPr>
          <w:rFonts w:ascii="Times New Roman" w:hAnsi="Times New Roman"/>
          <w:b/>
          <w:sz w:val="24"/>
          <w:szCs w:val="24"/>
        </w:rPr>
      </w:pPr>
      <w:r>
        <w:rPr>
          <w:rFonts w:ascii="Times New Roman" w:hAnsi="Times New Roman"/>
          <w:b/>
          <w:sz w:val="24"/>
          <w:szCs w:val="24"/>
          <w:lang w:val="en-US"/>
        </w:rPr>
        <w:t>I</w:t>
      </w:r>
      <w:r w:rsidRPr="000D500B">
        <w:rPr>
          <w:rFonts w:ascii="Times New Roman" w:hAnsi="Times New Roman"/>
          <w:b/>
          <w:sz w:val="24"/>
          <w:szCs w:val="24"/>
        </w:rPr>
        <w:t>.</w:t>
      </w:r>
      <w:r w:rsidR="00C67BA9" w:rsidRPr="000D500B">
        <w:rPr>
          <w:rFonts w:ascii="Times New Roman" w:hAnsi="Times New Roman"/>
          <w:b/>
          <w:sz w:val="24"/>
          <w:szCs w:val="24"/>
        </w:rPr>
        <w:t>Политика в области оплаты труда</w:t>
      </w:r>
    </w:p>
    <w:p w14:paraId="0423B7C3" w14:textId="2F25D699" w:rsidR="000D500B" w:rsidRDefault="0078048B" w:rsidP="009E4D5C">
      <w:pPr>
        <w:jc w:val="both"/>
        <w:rPr>
          <w:rFonts w:ascii="Times New Roman" w:eastAsia="Calibri" w:hAnsi="Times New Roman"/>
          <w:sz w:val="24"/>
          <w:szCs w:val="24"/>
        </w:rPr>
      </w:pPr>
      <w:r>
        <w:rPr>
          <w:rFonts w:ascii="Times New Roman" w:eastAsia="Calibri" w:hAnsi="Times New Roman"/>
          <w:b/>
          <w:sz w:val="24"/>
          <w:szCs w:val="24"/>
        </w:rPr>
        <w:t xml:space="preserve">     </w:t>
      </w:r>
      <w:r w:rsidR="00C67BA9" w:rsidRPr="00C67BA9">
        <w:rPr>
          <w:rFonts w:ascii="Times New Roman" w:eastAsia="Calibri" w:hAnsi="Times New Roman"/>
          <w:sz w:val="24"/>
          <w:szCs w:val="24"/>
        </w:rPr>
        <w:t xml:space="preserve">Политика в области оплаты труда соответствует стратегии НКЦ, характеру и масштабу совершаемых </w:t>
      </w:r>
      <w:r w:rsidR="000D500B">
        <w:rPr>
          <w:rFonts w:ascii="Times New Roman" w:eastAsia="Calibri" w:hAnsi="Times New Roman"/>
          <w:sz w:val="24"/>
          <w:szCs w:val="24"/>
        </w:rPr>
        <w:t xml:space="preserve">Обществом </w:t>
      </w:r>
      <w:r w:rsidR="00C67BA9" w:rsidRPr="00C67BA9">
        <w:rPr>
          <w:rFonts w:ascii="Times New Roman" w:eastAsia="Calibri" w:hAnsi="Times New Roman"/>
          <w:sz w:val="24"/>
          <w:szCs w:val="24"/>
        </w:rPr>
        <w:t>операций, результатов его деятельности, уровня и сочетания принимаемых рисков.</w:t>
      </w:r>
      <w:r w:rsidR="000D500B">
        <w:rPr>
          <w:rFonts w:ascii="Times New Roman" w:eastAsia="Calibri" w:hAnsi="Times New Roman"/>
          <w:sz w:val="24"/>
          <w:szCs w:val="24"/>
        </w:rPr>
        <w:t xml:space="preserve"> </w:t>
      </w:r>
    </w:p>
    <w:p w14:paraId="694D5E66" w14:textId="77777777" w:rsidR="000D500B" w:rsidRDefault="000D500B" w:rsidP="009E4D5C">
      <w:pPr>
        <w:ind w:firstLine="567"/>
        <w:jc w:val="both"/>
        <w:rPr>
          <w:rFonts w:ascii="Times New Roman" w:eastAsia="Calibri" w:hAnsi="Times New Roman"/>
          <w:sz w:val="24"/>
          <w:szCs w:val="24"/>
        </w:rPr>
      </w:pPr>
    </w:p>
    <w:p w14:paraId="582B4F7C" w14:textId="0839B795" w:rsidR="00C67BA9" w:rsidRPr="00C67BA9" w:rsidRDefault="0078048B" w:rsidP="0078048B">
      <w:pPr>
        <w:jc w:val="both"/>
        <w:rPr>
          <w:rFonts w:ascii="Times New Roman" w:eastAsia="Calibri" w:hAnsi="Times New Roman"/>
          <w:sz w:val="24"/>
          <w:szCs w:val="24"/>
        </w:rPr>
      </w:pPr>
      <w:r>
        <w:rPr>
          <w:rFonts w:ascii="Times New Roman" w:eastAsia="Calibri" w:hAnsi="Times New Roman"/>
          <w:sz w:val="24"/>
          <w:szCs w:val="24"/>
        </w:rPr>
        <w:t xml:space="preserve">     </w:t>
      </w:r>
      <w:r w:rsidR="00C67BA9" w:rsidRPr="00C67BA9">
        <w:rPr>
          <w:rFonts w:ascii="Times New Roman" w:eastAsia="Calibri" w:hAnsi="Times New Roman"/>
          <w:sz w:val="24"/>
          <w:szCs w:val="24"/>
        </w:rPr>
        <w:t>Политика в области оплаты труда и система оплаты труда в 2017 году не претерпела значительных изменений. Наблюдательный совет</w:t>
      </w:r>
      <w:r w:rsidR="000D500B">
        <w:rPr>
          <w:rFonts w:ascii="Times New Roman" w:eastAsia="Calibri" w:hAnsi="Times New Roman"/>
          <w:sz w:val="24"/>
          <w:szCs w:val="24"/>
        </w:rPr>
        <w:t xml:space="preserve"> </w:t>
      </w:r>
      <w:r w:rsidR="00C67BA9" w:rsidRPr="00C67BA9">
        <w:rPr>
          <w:rFonts w:ascii="Times New Roman" w:eastAsia="Calibri" w:hAnsi="Times New Roman"/>
          <w:sz w:val="24"/>
          <w:szCs w:val="24"/>
        </w:rPr>
        <w:t>НКЦ не реже одного раза в год принимает решения о ее сохранении или пересмотре всех документов, регулирующих систему оплаты труда, в зависимости от</w:t>
      </w:r>
      <w:r w:rsidR="0035690E">
        <w:rPr>
          <w:rFonts w:ascii="Times New Roman" w:eastAsia="Calibri" w:hAnsi="Times New Roman"/>
          <w:sz w:val="24"/>
          <w:szCs w:val="24"/>
        </w:rPr>
        <w:t xml:space="preserve"> изменения </w:t>
      </w:r>
      <w:r w:rsidR="0035690E">
        <w:rPr>
          <w:rFonts w:ascii="Times New Roman" w:eastAsia="Calibri" w:hAnsi="Times New Roman"/>
          <w:sz w:val="24"/>
          <w:szCs w:val="24"/>
        </w:rPr>
        <w:lastRenderedPageBreak/>
        <w:t>условий деятельности</w:t>
      </w:r>
      <w:r w:rsidR="000D500B">
        <w:rPr>
          <w:rFonts w:ascii="Times New Roman" w:eastAsia="Calibri" w:hAnsi="Times New Roman"/>
          <w:sz w:val="24"/>
          <w:szCs w:val="24"/>
        </w:rPr>
        <w:t>,</w:t>
      </w:r>
      <w:r w:rsidR="00C67BA9" w:rsidRPr="00C67BA9">
        <w:rPr>
          <w:rFonts w:ascii="Times New Roman" w:eastAsia="Calibri" w:hAnsi="Times New Roman"/>
          <w:sz w:val="24"/>
          <w:szCs w:val="24"/>
        </w:rPr>
        <w:t xml:space="preserve"> в том числе, в связи с изменением стратегии, характера и масштаба совершаемых операций, результатов его деятельности, уровня и сочетания принимаемых рисков.</w:t>
      </w:r>
    </w:p>
    <w:p w14:paraId="2A4CE811" w14:textId="77777777" w:rsidR="009E4D5C" w:rsidRDefault="009E4D5C" w:rsidP="000D500B">
      <w:pPr>
        <w:spacing w:after="160"/>
        <w:jc w:val="both"/>
        <w:rPr>
          <w:rFonts w:ascii="Times New Roman" w:hAnsi="Times New Roman"/>
          <w:sz w:val="24"/>
          <w:szCs w:val="24"/>
        </w:rPr>
      </w:pPr>
    </w:p>
    <w:p w14:paraId="48B1400E" w14:textId="0B7252F2" w:rsidR="00C67BA9" w:rsidRPr="00C67BA9" w:rsidRDefault="000D500B" w:rsidP="000D500B">
      <w:pPr>
        <w:spacing w:after="160"/>
        <w:jc w:val="both"/>
        <w:rPr>
          <w:rFonts w:ascii="Times New Roman" w:hAnsi="Times New Roman"/>
          <w:sz w:val="24"/>
          <w:szCs w:val="24"/>
        </w:rPr>
      </w:pPr>
      <w:r>
        <w:rPr>
          <w:rFonts w:ascii="Times New Roman" w:hAnsi="Times New Roman"/>
          <w:sz w:val="24"/>
          <w:szCs w:val="24"/>
        </w:rPr>
        <w:t xml:space="preserve"> </w:t>
      </w:r>
      <w:r w:rsidR="00E74F46">
        <w:rPr>
          <w:rFonts w:ascii="Times New Roman" w:hAnsi="Times New Roman"/>
          <w:sz w:val="24"/>
          <w:szCs w:val="24"/>
        </w:rPr>
        <w:t xml:space="preserve">     </w:t>
      </w:r>
      <w:r w:rsidR="00C67BA9" w:rsidRPr="00C67BA9">
        <w:rPr>
          <w:rFonts w:ascii="Times New Roman" w:hAnsi="Times New Roman"/>
          <w:sz w:val="24"/>
          <w:szCs w:val="24"/>
        </w:rPr>
        <w:t>Структура оплаты труда работников</w:t>
      </w:r>
      <w:r>
        <w:rPr>
          <w:rFonts w:ascii="Times New Roman" w:hAnsi="Times New Roman"/>
          <w:sz w:val="24"/>
          <w:szCs w:val="24"/>
        </w:rPr>
        <w:t xml:space="preserve"> </w:t>
      </w:r>
      <w:r w:rsidR="00C67BA9" w:rsidRPr="00C67BA9">
        <w:rPr>
          <w:rFonts w:ascii="Times New Roman" w:hAnsi="Times New Roman"/>
          <w:sz w:val="24"/>
          <w:szCs w:val="24"/>
        </w:rPr>
        <w:t>НКЦ, разработанная с учетом требований Инструкции №154-И</w:t>
      </w:r>
      <w:r w:rsidR="00C67BA9" w:rsidRPr="00C67BA9">
        <w:rPr>
          <w:rFonts w:ascii="Times New Roman" w:hAnsi="Times New Roman"/>
          <w:sz w:val="24"/>
          <w:szCs w:val="24"/>
          <w:vertAlign w:val="superscript"/>
        </w:rPr>
        <w:footnoteReference w:id="4"/>
      </w:r>
      <w:r w:rsidR="00C67BA9" w:rsidRPr="00C67BA9">
        <w:rPr>
          <w:rFonts w:ascii="Times New Roman" w:hAnsi="Times New Roman"/>
          <w:sz w:val="24"/>
          <w:szCs w:val="24"/>
        </w:rPr>
        <w:t>, не претерпела изменений в 2017 г., состоит из фиксированной части (базовое вознаграждение и компенсационные/социальные выплаты, не связанные с результатами деятельности) и нефиксированной части (стимулирующая выплата, связанная с результатами деятельности (годовая премия/ годовой бонус)).</w:t>
      </w:r>
      <w:r>
        <w:rPr>
          <w:rFonts w:ascii="Times New Roman" w:hAnsi="Times New Roman"/>
          <w:sz w:val="24"/>
          <w:szCs w:val="24"/>
        </w:rPr>
        <w:t xml:space="preserve"> </w:t>
      </w:r>
      <w:r w:rsidR="00C67BA9" w:rsidRPr="00C67BA9">
        <w:rPr>
          <w:rFonts w:ascii="Times New Roman" w:hAnsi="Times New Roman"/>
          <w:sz w:val="24"/>
          <w:szCs w:val="24"/>
        </w:rPr>
        <w:t>Размеры должностных окладов устанавливаются в соответствии с Порядком администрирования системы грейдов и базового вознаграждения работников.</w:t>
      </w:r>
      <w:r>
        <w:rPr>
          <w:rFonts w:ascii="Times New Roman" w:hAnsi="Times New Roman"/>
          <w:sz w:val="24"/>
          <w:szCs w:val="24"/>
        </w:rPr>
        <w:t xml:space="preserve"> </w:t>
      </w:r>
      <w:r w:rsidR="00C67BA9" w:rsidRPr="00C67BA9">
        <w:rPr>
          <w:rFonts w:ascii="Times New Roman" w:hAnsi="Times New Roman"/>
          <w:sz w:val="24"/>
          <w:szCs w:val="24"/>
        </w:rPr>
        <w:t>Нефиксированная часть вознаграждения зависит от результатов деятельности</w:t>
      </w:r>
      <w:r>
        <w:rPr>
          <w:rFonts w:ascii="Times New Roman" w:hAnsi="Times New Roman"/>
          <w:sz w:val="24"/>
          <w:szCs w:val="24"/>
        </w:rPr>
        <w:t xml:space="preserve"> </w:t>
      </w:r>
      <w:r w:rsidR="0035690E">
        <w:rPr>
          <w:rFonts w:ascii="Times New Roman" w:hAnsi="Times New Roman"/>
          <w:sz w:val="24"/>
          <w:szCs w:val="24"/>
        </w:rPr>
        <w:t xml:space="preserve">НКЦ </w:t>
      </w:r>
      <w:r w:rsidR="00C67BA9" w:rsidRPr="00C67BA9">
        <w:rPr>
          <w:rFonts w:ascii="Times New Roman" w:hAnsi="Times New Roman"/>
          <w:sz w:val="24"/>
          <w:szCs w:val="24"/>
        </w:rPr>
        <w:t>и индивидуальных результатов сотрудника, оцениваемых в рамках процесса управления эффективностью.</w:t>
      </w:r>
    </w:p>
    <w:p w14:paraId="52F321EA" w14:textId="75E437EC" w:rsidR="00C67BA9" w:rsidRPr="00C67BA9" w:rsidRDefault="00E74F46" w:rsidP="000D500B">
      <w:pPr>
        <w:jc w:val="both"/>
        <w:rPr>
          <w:rFonts w:ascii="Times New Roman" w:eastAsia="Calibri" w:hAnsi="Times New Roman"/>
          <w:sz w:val="24"/>
          <w:szCs w:val="24"/>
        </w:rPr>
      </w:pPr>
      <w:r>
        <w:rPr>
          <w:rFonts w:ascii="Times New Roman" w:eastAsia="Calibri" w:hAnsi="Times New Roman"/>
          <w:sz w:val="24"/>
          <w:szCs w:val="24"/>
          <w:lang w:eastAsia="hi-IN" w:bidi="hi-IN"/>
        </w:rPr>
        <w:t xml:space="preserve">    </w:t>
      </w:r>
      <w:r w:rsidR="000D500B">
        <w:rPr>
          <w:rFonts w:ascii="Times New Roman" w:eastAsia="Calibri" w:hAnsi="Times New Roman"/>
          <w:sz w:val="24"/>
          <w:szCs w:val="24"/>
          <w:lang w:eastAsia="hi-IN" w:bidi="hi-IN"/>
        </w:rPr>
        <w:t xml:space="preserve"> </w:t>
      </w:r>
      <w:r w:rsidR="00C67BA9" w:rsidRPr="00C67BA9">
        <w:rPr>
          <w:rFonts w:ascii="Times New Roman" w:eastAsia="Calibri" w:hAnsi="Times New Roman"/>
          <w:sz w:val="24"/>
          <w:szCs w:val="24"/>
          <w:lang w:eastAsia="hi-IN" w:bidi="hi-IN"/>
        </w:rPr>
        <w:t xml:space="preserve">В соответствии с утвержденной Наблюдательным советом </w:t>
      </w:r>
      <w:r w:rsidR="00C67BA9" w:rsidRPr="00C67BA9">
        <w:rPr>
          <w:rFonts w:ascii="Times New Roman" w:eastAsia="Calibri" w:hAnsi="Times New Roman"/>
          <w:sz w:val="24"/>
          <w:szCs w:val="24"/>
        </w:rPr>
        <w:t>НКО НКЦ (АО)</w:t>
      </w:r>
      <w:r w:rsidR="00C67BA9" w:rsidRPr="00C67BA9">
        <w:rPr>
          <w:rFonts w:ascii="Times New Roman" w:eastAsia="Calibri" w:hAnsi="Times New Roman"/>
          <w:sz w:val="24"/>
          <w:szCs w:val="24"/>
          <w:lang w:eastAsia="hi-IN" w:bidi="hi-IN"/>
        </w:rPr>
        <w:t xml:space="preserve"> Политикой в области оплаты труда, работники </w:t>
      </w:r>
      <w:r w:rsidR="00C67BA9" w:rsidRPr="00C67BA9">
        <w:rPr>
          <w:rFonts w:ascii="Times New Roman" w:eastAsia="Calibri" w:hAnsi="Times New Roman"/>
          <w:sz w:val="24"/>
          <w:szCs w:val="24"/>
        </w:rPr>
        <w:t>НКО НКЦ (АО)</w:t>
      </w:r>
      <w:r w:rsidR="00C67BA9" w:rsidRPr="00C67BA9">
        <w:rPr>
          <w:rFonts w:ascii="Times New Roman" w:eastAsia="Calibri" w:hAnsi="Times New Roman"/>
          <w:sz w:val="24"/>
          <w:szCs w:val="24"/>
          <w:lang w:eastAsia="hi-IN" w:bidi="hi-IN"/>
        </w:rPr>
        <w:t xml:space="preserve"> подразделяются на четыре категории:</w:t>
      </w:r>
    </w:p>
    <w:p w14:paraId="5468FD20" w14:textId="77777777" w:rsidR="00C67BA9" w:rsidRPr="000D500B" w:rsidRDefault="00C67BA9" w:rsidP="000D500B">
      <w:pPr>
        <w:pStyle w:val="a9"/>
        <w:numPr>
          <w:ilvl w:val="0"/>
          <w:numId w:val="64"/>
        </w:numPr>
        <w:spacing w:after="160"/>
        <w:jc w:val="both"/>
        <w:rPr>
          <w:rFonts w:ascii="Times New Roman" w:hAnsi="Times New Roman"/>
          <w:sz w:val="24"/>
          <w:szCs w:val="24"/>
          <w:lang w:eastAsia="hi-IN" w:bidi="hi-IN"/>
        </w:rPr>
      </w:pPr>
      <w:r w:rsidRPr="000D500B">
        <w:rPr>
          <w:rFonts w:ascii="Times New Roman" w:hAnsi="Times New Roman"/>
          <w:sz w:val="24"/>
          <w:szCs w:val="24"/>
          <w:lang w:eastAsia="hi-IN" w:bidi="hi-IN"/>
        </w:rPr>
        <w:t>работники, принимающие риски;</w:t>
      </w:r>
    </w:p>
    <w:p w14:paraId="5AC39CC6" w14:textId="77777777" w:rsidR="00C67BA9" w:rsidRPr="000D500B" w:rsidRDefault="00C67BA9" w:rsidP="000D500B">
      <w:pPr>
        <w:pStyle w:val="a9"/>
        <w:numPr>
          <w:ilvl w:val="0"/>
          <w:numId w:val="64"/>
        </w:numPr>
        <w:spacing w:after="160"/>
        <w:jc w:val="both"/>
        <w:rPr>
          <w:rFonts w:ascii="Times New Roman" w:hAnsi="Times New Roman"/>
          <w:sz w:val="24"/>
          <w:szCs w:val="24"/>
          <w:lang w:eastAsia="hi-IN" w:bidi="hi-IN"/>
        </w:rPr>
      </w:pPr>
      <w:r w:rsidRPr="000D500B">
        <w:rPr>
          <w:rFonts w:ascii="Times New Roman" w:hAnsi="Times New Roman"/>
          <w:sz w:val="24"/>
          <w:szCs w:val="24"/>
          <w:lang w:eastAsia="hi-IN" w:bidi="hi-IN"/>
        </w:rPr>
        <w:t>работники подразделений, осуществляющих управление рисками;</w:t>
      </w:r>
    </w:p>
    <w:p w14:paraId="1D624434" w14:textId="77777777" w:rsidR="00C67BA9" w:rsidRPr="000D500B" w:rsidRDefault="00C67BA9" w:rsidP="000D500B">
      <w:pPr>
        <w:pStyle w:val="a9"/>
        <w:numPr>
          <w:ilvl w:val="0"/>
          <w:numId w:val="64"/>
        </w:numPr>
        <w:spacing w:after="160"/>
        <w:jc w:val="both"/>
        <w:rPr>
          <w:rFonts w:ascii="Times New Roman" w:hAnsi="Times New Roman"/>
          <w:sz w:val="24"/>
          <w:szCs w:val="24"/>
          <w:lang w:eastAsia="hi-IN" w:bidi="hi-IN"/>
        </w:rPr>
      </w:pPr>
      <w:r w:rsidRPr="000D500B">
        <w:rPr>
          <w:rFonts w:ascii="Times New Roman" w:hAnsi="Times New Roman"/>
          <w:sz w:val="24"/>
          <w:szCs w:val="24"/>
          <w:lang w:eastAsia="hi-IN" w:bidi="hi-IN"/>
        </w:rPr>
        <w:t>работники подразделений, осуществляющих внутренний контроль;</w:t>
      </w:r>
    </w:p>
    <w:p w14:paraId="5DDF446C" w14:textId="77777777" w:rsidR="00C67BA9" w:rsidRPr="000D500B" w:rsidRDefault="00C67BA9" w:rsidP="000D500B">
      <w:pPr>
        <w:pStyle w:val="a9"/>
        <w:numPr>
          <w:ilvl w:val="0"/>
          <w:numId w:val="64"/>
        </w:numPr>
        <w:spacing w:after="160"/>
        <w:jc w:val="both"/>
        <w:rPr>
          <w:rFonts w:ascii="Times New Roman" w:hAnsi="Times New Roman"/>
          <w:sz w:val="24"/>
          <w:szCs w:val="24"/>
          <w:lang w:eastAsia="hi-IN" w:bidi="hi-IN"/>
        </w:rPr>
      </w:pPr>
      <w:r w:rsidRPr="000D500B">
        <w:rPr>
          <w:rFonts w:ascii="Times New Roman" w:hAnsi="Times New Roman"/>
          <w:sz w:val="24"/>
          <w:szCs w:val="24"/>
          <w:lang w:eastAsia="hi-IN" w:bidi="hi-IN"/>
        </w:rPr>
        <w:t>остальные работники.</w:t>
      </w:r>
    </w:p>
    <w:p w14:paraId="5950D2A7" w14:textId="5C4838CC" w:rsidR="00871C06" w:rsidRDefault="00E74F46" w:rsidP="000D500B">
      <w:pPr>
        <w:tabs>
          <w:tab w:val="left" w:pos="993"/>
        </w:tabs>
        <w:spacing w:after="160"/>
        <w:contextualSpacing/>
        <w:jc w:val="both"/>
        <w:rPr>
          <w:rFonts w:ascii="Times New Roman" w:eastAsia="Calibri" w:hAnsi="Times New Roman"/>
          <w:bCs/>
          <w:sz w:val="24"/>
          <w:szCs w:val="24"/>
        </w:rPr>
      </w:pPr>
      <w:r>
        <w:rPr>
          <w:rFonts w:ascii="Times New Roman" w:eastAsia="Calibri" w:hAnsi="Times New Roman"/>
          <w:sz w:val="24"/>
          <w:szCs w:val="24"/>
        </w:rPr>
        <w:t xml:space="preserve">     </w:t>
      </w:r>
      <w:r w:rsidR="00C67BA9" w:rsidRPr="00C67BA9">
        <w:rPr>
          <w:rFonts w:ascii="Times New Roman" w:eastAsia="Calibri" w:hAnsi="Times New Roman"/>
          <w:sz w:val="24"/>
          <w:szCs w:val="24"/>
        </w:rPr>
        <w:t>В</w:t>
      </w:r>
      <w:r w:rsidR="000D500B">
        <w:rPr>
          <w:rFonts w:ascii="Times New Roman" w:eastAsia="Calibri" w:hAnsi="Times New Roman"/>
          <w:sz w:val="24"/>
          <w:szCs w:val="24"/>
        </w:rPr>
        <w:t xml:space="preserve"> </w:t>
      </w:r>
      <w:r w:rsidR="00C67BA9" w:rsidRPr="00C67BA9">
        <w:rPr>
          <w:rFonts w:ascii="Times New Roman" w:eastAsia="Calibri" w:hAnsi="Times New Roman"/>
          <w:sz w:val="24"/>
          <w:szCs w:val="24"/>
        </w:rPr>
        <w:t>НКЦ</w:t>
      </w:r>
      <w:r w:rsidR="000D500B">
        <w:rPr>
          <w:rFonts w:ascii="Times New Roman" w:eastAsia="Calibri" w:hAnsi="Times New Roman"/>
          <w:sz w:val="24"/>
          <w:szCs w:val="24"/>
        </w:rPr>
        <w:t xml:space="preserve"> </w:t>
      </w:r>
      <w:r w:rsidR="00C67BA9" w:rsidRPr="00C67BA9">
        <w:rPr>
          <w:rFonts w:ascii="Times New Roman" w:eastAsia="Calibri" w:hAnsi="Times New Roman"/>
          <w:sz w:val="24"/>
          <w:szCs w:val="24"/>
        </w:rPr>
        <w:t xml:space="preserve">установлена повременно-премиальная система оплаты труда, которая предусматривает, что величина заработной платы работников зависит не только от фактически отработанного ими времени, </w:t>
      </w:r>
      <w:r w:rsidR="000D500B">
        <w:rPr>
          <w:rFonts w:ascii="Times New Roman" w:eastAsia="Calibri" w:hAnsi="Times New Roman"/>
          <w:sz w:val="24"/>
          <w:szCs w:val="24"/>
        </w:rPr>
        <w:t>но</w:t>
      </w:r>
      <w:r w:rsidR="00C67BA9" w:rsidRPr="00C67BA9">
        <w:rPr>
          <w:rFonts w:ascii="Times New Roman" w:eastAsia="Calibri" w:hAnsi="Times New Roman"/>
          <w:sz w:val="24"/>
          <w:szCs w:val="24"/>
        </w:rPr>
        <w:t xml:space="preserve"> также предусматривает премирование работников по результатам деятельности (работы) в отчётном периоде в порядке и на условиях, установленных Положением о премировании работников</w:t>
      </w:r>
      <w:r w:rsidR="000D500B">
        <w:rPr>
          <w:rFonts w:ascii="Times New Roman" w:eastAsia="Calibri" w:hAnsi="Times New Roman"/>
          <w:sz w:val="24"/>
          <w:szCs w:val="24"/>
        </w:rPr>
        <w:t xml:space="preserve"> </w:t>
      </w:r>
      <w:r w:rsidR="0035690E">
        <w:rPr>
          <w:rFonts w:ascii="Times New Roman" w:eastAsia="Calibri" w:hAnsi="Times New Roman"/>
          <w:sz w:val="24"/>
          <w:szCs w:val="24"/>
        </w:rPr>
        <w:t>НКЦ</w:t>
      </w:r>
      <w:r w:rsidR="00C67BA9" w:rsidRPr="00C67BA9">
        <w:rPr>
          <w:rFonts w:ascii="Times New Roman" w:eastAsia="Calibri" w:hAnsi="Times New Roman"/>
          <w:sz w:val="24"/>
          <w:szCs w:val="24"/>
        </w:rPr>
        <w:t xml:space="preserve">. При этом для работников, принимающих риски, выплата 40% годовой премии осуществляется с учетом отсрочки (рассрочки) и последующей ее корректировки на условиях и по правилам, установленным </w:t>
      </w:r>
      <w:r w:rsidR="00C67BA9" w:rsidRPr="00C67BA9">
        <w:rPr>
          <w:rFonts w:ascii="Times New Roman" w:eastAsia="Calibri" w:hAnsi="Times New Roman"/>
          <w:bCs/>
          <w:sz w:val="24"/>
          <w:szCs w:val="24"/>
        </w:rPr>
        <w:t xml:space="preserve"> в Методике корректировки нефиксированной части оплаты труда работников </w:t>
      </w:r>
      <w:r w:rsidR="00C67BA9" w:rsidRPr="00C67BA9">
        <w:rPr>
          <w:rFonts w:ascii="Times New Roman" w:eastAsia="Calibri" w:hAnsi="Times New Roman"/>
          <w:sz w:val="24"/>
          <w:szCs w:val="24"/>
        </w:rPr>
        <w:t>НКЦ</w:t>
      </w:r>
      <w:r w:rsidR="000D500B">
        <w:rPr>
          <w:rFonts w:ascii="Times New Roman" w:eastAsia="Calibri" w:hAnsi="Times New Roman"/>
          <w:sz w:val="24"/>
          <w:szCs w:val="24"/>
        </w:rPr>
        <w:t xml:space="preserve"> </w:t>
      </w:r>
      <w:r w:rsidR="00C67BA9" w:rsidRPr="00C67BA9">
        <w:rPr>
          <w:rFonts w:ascii="Times New Roman" w:eastAsia="Calibri" w:hAnsi="Times New Roman"/>
          <w:bCs/>
          <w:sz w:val="24"/>
          <w:szCs w:val="24"/>
        </w:rPr>
        <w:t xml:space="preserve">, отсрочки (рассрочки) и последующей корректировки нефиксированной части оплаты труда работников, принимающих риски, в зависимости от результатов деятельности </w:t>
      </w:r>
      <w:r w:rsidR="00871C06">
        <w:rPr>
          <w:rFonts w:ascii="Times New Roman" w:eastAsia="Calibri" w:hAnsi="Times New Roman"/>
          <w:bCs/>
          <w:sz w:val="24"/>
          <w:szCs w:val="24"/>
        </w:rPr>
        <w:t>Общества</w:t>
      </w:r>
      <w:r w:rsidR="00C67BA9" w:rsidRPr="00C67BA9">
        <w:rPr>
          <w:rFonts w:ascii="Times New Roman" w:eastAsia="Calibri" w:hAnsi="Times New Roman"/>
          <w:sz w:val="24"/>
          <w:szCs w:val="24"/>
        </w:rPr>
        <w:t xml:space="preserve"> </w:t>
      </w:r>
      <w:r w:rsidR="00C67BA9" w:rsidRPr="00C67BA9">
        <w:rPr>
          <w:rFonts w:ascii="Times New Roman" w:eastAsia="Calibri" w:hAnsi="Times New Roman"/>
          <w:bCs/>
          <w:sz w:val="24"/>
          <w:szCs w:val="24"/>
        </w:rPr>
        <w:t>с учетом уровня рисков, принимаемых</w:t>
      </w:r>
      <w:r w:rsidR="00C67BA9" w:rsidRPr="00C67BA9">
        <w:rPr>
          <w:rFonts w:ascii="Times New Roman" w:eastAsia="Calibri" w:hAnsi="Times New Roman"/>
          <w:sz w:val="24"/>
          <w:szCs w:val="24"/>
        </w:rPr>
        <w:t xml:space="preserve"> НКЦ</w:t>
      </w:r>
      <w:r w:rsidR="00871C06">
        <w:rPr>
          <w:rFonts w:ascii="Times New Roman" w:eastAsia="Calibri" w:hAnsi="Times New Roman"/>
          <w:sz w:val="24"/>
          <w:szCs w:val="24"/>
        </w:rPr>
        <w:t xml:space="preserve"> </w:t>
      </w:r>
      <w:r w:rsidR="00C67BA9" w:rsidRPr="00C67BA9">
        <w:rPr>
          <w:rFonts w:ascii="Times New Roman" w:eastAsia="Calibri" w:hAnsi="Times New Roman"/>
          <w:bCs/>
          <w:sz w:val="24"/>
          <w:szCs w:val="24"/>
        </w:rPr>
        <w:t xml:space="preserve">, его подразделениями и работниками, принимающими риски (далее – Методика). Наблюдательным советом </w:t>
      </w:r>
      <w:r w:rsidR="002257F8">
        <w:rPr>
          <w:rFonts w:ascii="Times New Roman" w:eastAsia="Calibri" w:hAnsi="Times New Roman"/>
          <w:bCs/>
          <w:sz w:val="24"/>
          <w:szCs w:val="24"/>
        </w:rPr>
        <w:t>НКЦ</w:t>
      </w:r>
      <w:r w:rsidR="00C67BA9" w:rsidRPr="00C67BA9">
        <w:rPr>
          <w:rFonts w:ascii="Times New Roman" w:eastAsia="Calibri" w:hAnsi="Times New Roman"/>
          <w:bCs/>
          <w:sz w:val="24"/>
          <w:szCs w:val="24"/>
        </w:rPr>
        <w:t xml:space="preserve"> в марте 2017 года был утвержден размер долей отсроченной (рассроченной) части годовой премии за отчетный (2016) год по срокам выплаты (начисления) по прошествии периодов, достаточных для определения результатов деятельности, </w:t>
      </w:r>
      <w:r w:rsidR="00C67BA9" w:rsidRPr="00C67BA9">
        <w:rPr>
          <w:rFonts w:ascii="Times New Roman" w:eastAsia="Calibri" w:hAnsi="Times New Roman"/>
          <w:sz w:val="24"/>
          <w:szCs w:val="24"/>
        </w:rPr>
        <w:t>исходя из соотношения долей рисконесущих активов с датами погашения в соответствующих годах после отчетного периода к общему объему рисконесущих активов на первый день после завершения отчетного</w:t>
      </w:r>
      <w:r w:rsidR="00C67BA9" w:rsidRPr="00C67BA9">
        <w:rPr>
          <w:rFonts w:ascii="Times New Roman" w:eastAsia="Calibri" w:hAnsi="Times New Roman"/>
          <w:lang w:eastAsia="hi-IN" w:bidi="hi-IN"/>
        </w:rPr>
        <w:t xml:space="preserve"> периода</w:t>
      </w:r>
      <w:r w:rsidR="00C67BA9" w:rsidRPr="00C67BA9">
        <w:rPr>
          <w:rFonts w:ascii="Times New Roman" w:eastAsia="Calibri" w:hAnsi="Times New Roman"/>
          <w:bCs/>
          <w:sz w:val="24"/>
          <w:szCs w:val="24"/>
        </w:rPr>
        <w:t xml:space="preserve">. В случае реализации рисков (кредитного риска эмитента, кредитного риска контрагента, рыночного риска, риска ликвидности) применяется корректировка ко всем отсроченным (рассроченным) с предыдущих периодов частям годового бонуса, оценка которых происходит в текущем периоде, в соответствии с утвержденным в Методике алгоритмом. </w:t>
      </w:r>
    </w:p>
    <w:p w14:paraId="0CAE2E55" w14:textId="77777777" w:rsidR="00871C06" w:rsidRDefault="00871C06" w:rsidP="000D500B">
      <w:pPr>
        <w:tabs>
          <w:tab w:val="left" w:pos="993"/>
        </w:tabs>
        <w:spacing w:after="160"/>
        <w:contextualSpacing/>
        <w:jc w:val="both"/>
        <w:rPr>
          <w:rFonts w:ascii="Times New Roman" w:eastAsia="Calibri" w:hAnsi="Times New Roman"/>
          <w:bCs/>
          <w:sz w:val="24"/>
          <w:szCs w:val="24"/>
        </w:rPr>
      </w:pPr>
      <w:r>
        <w:rPr>
          <w:rFonts w:ascii="Times New Roman" w:eastAsia="Calibri" w:hAnsi="Times New Roman"/>
          <w:bCs/>
          <w:sz w:val="24"/>
          <w:szCs w:val="24"/>
        </w:rPr>
        <w:lastRenderedPageBreak/>
        <w:t xml:space="preserve">       </w:t>
      </w:r>
    </w:p>
    <w:p w14:paraId="1134284E" w14:textId="636FA40C" w:rsidR="00C67BA9" w:rsidRPr="00C67BA9" w:rsidRDefault="00E74F46" w:rsidP="000D500B">
      <w:pPr>
        <w:tabs>
          <w:tab w:val="left" w:pos="993"/>
        </w:tabs>
        <w:spacing w:after="160"/>
        <w:contextualSpacing/>
        <w:jc w:val="both"/>
        <w:rPr>
          <w:rFonts w:ascii="Times New Roman" w:eastAsia="Calibri" w:hAnsi="Times New Roman"/>
          <w:bCs/>
          <w:sz w:val="24"/>
          <w:szCs w:val="24"/>
        </w:rPr>
      </w:pPr>
      <w:r>
        <w:rPr>
          <w:rFonts w:ascii="Times New Roman" w:eastAsia="Calibri" w:hAnsi="Times New Roman"/>
          <w:bCs/>
          <w:sz w:val="24"/>
          <w:szCs w:val="24"/>
        </w:rPr>
        <w:t xml:space="preserve">     </w:t>
      </w:r>
      <w:r w:rsidR="00C67BA9" w:rsidRPr="00C67BA9">
        <w:rPr>
          <w:rFonts w:ascii="Times New Roman" w:eastAsia="Calibri" w:hAnsi="Times New Roman"/>
          <w:bCs/>
          <w:sz w:val="24"/>
          <w:szCs w:val="24"/>
        </w:rPr>
        <w:t>При подведении итогов работы</w:t>
      </w:r>
      <w:r w:rsidR="00871C06">
        <w:rPr>
          <w:rFonts w:ascii="Times New Roman" w:eastAsia="Calibri" w:hAnsi="Times New Roman"/>
          <w:bCs/>
          <w:sz w:val="24"/>
          <w:szCs w:val="24"/>
        </w:rPr>
        <w:t xml:space="preserve"> </w:t>
      </w:r>
      <w:r w:rsidR="00C67BA9" w:rsidRPr="00C67BA9">
        <w:rPr>
          <w:rFonts w:ascii="Times New Roman" w:eastAsia="Calibri" w:hAnsi="Times New Roman"/>
          <w:bCs/>
          <w:sz w:val="24"/>
          <w:szCs w:val="24"/>
        </w:rPr>
        <w:t>НКЦ за 2017 г. и по результатам произведенного в соответствии с утвержденной Методикой расчета процента корректировки отсроченных (рассроченных) с предыдущих периодов частей годовой премии, оценка которых происходит в текущем периоде, Наблюдательным советом в марте 2018 года принято решение о выплате отсроченных (рассроченных) с предыдущих периодов частей годовой премии (второй доли за 2015 г. и первой доли за 2016 г.) в полном объеме.</w:t>
      </w:r>
    </w:p>
    <w:p w14:paraId="18FAFF5F" w14:textId="77777777" w:rsidR="00871C06" w:rsidRDefault="00871C06" w:rsidP="000D500B">
      <w:pPr>
        <w:tabs>
          <w:tab w:val="left" w:pos="993"/>
        </w:tabs>
        <w:spacing w:after="160"/>
        <w:contextualSpacing/>
        <w:jc w:val="both"/>
        <w:rPr>
          <w:rFonts w:ascii="Times New Roman" w:eastAsia="Calibri" w:hAnsi="Times New Roman"/>
          <w:sz w:val="24"/>
          <w:szCs w:val="24"/>
        </w:rPr>
      </w:pPr>
      <w:r>
        <w:rPr>
          <w:rFonts w:ascii="Times New Roman" w:eastAsia="Calibri" w:hAnsi="Times New Roman"/>
          <w:sz w:val="24"/>
          <w:szCs w:val="24"/>
        </w:rPr>
        <w:t xml:space="preserve">      </w:t>
      </w:r>
    </w:p>
    <w:p w14:paraId="70239A7A" w14:textId="377D866B" w:rsidR="00C67BA9" w:rsidRPr="00C67BA9" w:rsidRDefault="00E74F46" w:rsidP="000D500B">
      <w:pPr>
        <w:tabs>
          <w:tab w:val="left" w:pos="993"/>
        </w:tabs>
        <w:spacing w:after="160"/>
        <w:contextualSpacing/>
        <w:jc w:val="both"/>
        <w:rPr>
          <w:rFonts w:ascii="Times New Roman" w:eastAsia="Calibri" w:hAnsi="Times New Roman"/>
          <w:sz w:val="24"/>
          <w:szCs w:val="24"/>
        </w:rPr>
      </w:pPr>
      <w:r>
        <w:rPr>
          <w:rFonts w:ascii="Times New Roman" w:eastAsia="Calibri" w:hAnsi="Times New Roman"/>
          <w:sz w:val="24"/>
          <w:szCs w:val="24"/>
        </w:rPr>
        <w:t xml:space="preserve">     </w:t>
      </w:r>
      <w:r w:rsidR="00C67BA9" w:rsidRPr="00C67BA9">
        <w:rPr>
          <w:rFonts w:ascii="Times New Roman" w:eastAsia="Calibri" w:hAnsi="Times New Roman"/>
          <w:sz w:val="24"/>
          <w:szCs w:val="24"/>
        </w:rPr>
        <w:t xml:space="preserve">В 2017 году НКЦ продолжил вести работу по совершенствованию принципов и подходов в области оплаты труда работников и актуализировала отдельные документы, регулирующие систему оплаты труда, в том числе </w:t>
      </w:r>
      <w:r w:rsidR="00C67BA9" w:rsidRPr="00C67BA9">
        <w:rPr>
          <w:rFonts w:ascii="Times New Roman" w:eastAsia="Calibri" w:hAnsi="Times New Roman"/>
          <w:bCs/>
          <w:sz w:val="24"/>
          <w:szCs w:val="24"/>
        </w:rPr>
        <w:t>связанную с совершенствованием процесса управления эффективностью (performance management).</w:t>
      </w:r>
      <w:r w:rsidR="00C67BA9" w:rsidRPr="00C67BA9">
        <w:rPr>
          <w:rFonts w:ascii="Times New Roman" w:eastAsia="Calibri" w:hAnsi="Times New Roman"/>
          <w:sz w:val="24"/>
          <w:szCs w:val="24"/>
        </w:rPr>
        <w:t xml:space="preserve"> Результаты данного процесса влияют на премирование по итогам отчетного года и пересмотр заработных плат, а с 2018 года должны будут влиять и на карьерное планирование благодаря проведенной в 2017 году интеграции оценки по ценностям и модели по компетенциям, разработанной на основе ценностей.</w:t>
      </w:r>
    </w:p>
    <w:p w14:paraId="20EA38A7" w14:textId="77777777" w:rsidR="00871C06" w:rsidRDefault="00871C06" w:rsidP="00871C06">
      <w:pPr>
        <w:jc w:val="both"/>
        <w:rPr>
          <w:rFonts w:ascii="Times New Roman" w:eastAsia="Calibri" w:hAnsi="Times New Roman"/>
          <w:sz w:val="24"/>
          <w:szCs w:val="24"/>
        </w:rPr>
      </w:pPr>
      <w:r>
        <w:rPr>
          <w:rFonts w:ascii="Times New Roman" w:eastAsia="Calibri" w:hAnsi="Times New Roman"/>
          <w:sz w:val="24"/>
          <w:szCs w:val="24"/>
        </w:rPr>
        <w:t xml:space="preserve">     </w:t>
      </w:r>
    </w:p>
    <w:p w14:paraId="548C1BBC" w14:textId="365B45F2" w:rsidR="00C67BA9" w:rsidRPr="00C67BA9" w:rsidRDefault="00871C06" w:rsidP="00871C06">
      <w:pPr>
        <w:jc w:val="both"/>
        <w:rPr>
          <w:rFonts w:ascii="Times New Roman" w:eastAsia="Calibri" w:hAnsi="Times New Roman"/>
          <w:bCs/>
          <w:sz w:val="24"/>
          <w:szCs w:val="24"/>
        </w:rPr>
      </w:pPr>
      <w:r>
        <w:rPr>
          <w:rFonts w:ascii="Times New Roman" w:eastAsia="Calibri" w:hAnsi="Times New Roman"/>
          <w:sz w:val="24"/>
          <w:szCs w:val="24"/>
        </w:rPr>
        <w:t xml:space="preserve">      </w:t>
      </w:r>
      <w:r w:rsidR="00C67BA9" w:rsidRPr="00C67BA9">
        <w:rPr>
          <w:rFonts w:ascii="Times New Roman" w:eastAsia="Calibri" w:hAnsi="Times New Roman"/>
          <w:sz w:val="24"/>
          <w:szCs w:val="24"/>
        </w:rPr>
        <w:t xml:space="preserve">В конце 2017 года Службой внутреннего аудита проведена </w:t>
      </w:r>
      <w:r w:rsidR="0035690E">
        <w:rPr>
          <w:rFonts w:ascii="Times New Roman" w:eastAsia="Calibri" w:hAnsi="Times New Roman"/>
          <w:sz w:val="24"/>
          <w:szCs w:val="24"/>
        </w:rPr>
        <w:t>оценка системы оплаты труда НКЦ</w:t>
      </w:r>
      <w:r w:rsidR="00C67BA9" w:rsidRPr="00C67BA9">
        <w:rPr>
          <w:rFonts w:ascii="Times New Roman" w:eastAsia="Calibri" w:hAnsi="Times New Roman"/>
          <w:sz w:val="24"/>
          <w:szCs w:val="24"/>
        </w:rPr>
        <w:t xml:space="preserve">, которая показала </w:t>
      </w:r>
      <w:r w:rsidR="00C67BA9" w:rsidRPr="00C67BA9">
        <w:rPr>
          <w:rFonts w:ascii="Times New Roman" w:eastAsia="Calibri" w:hAnsi="Times New Roman"/>
          <w:bCs/>
          <w:sz w:val="24"/>
          <w:szCs w:val="24"/>
        </w:rPr>
        <w:t xml:space="preserve">соответствие системы оплаты труда характеру и масштабу совершаемых </w:t>
      </w:r>
      <w:r>
        <w:rPr>
          <w:rFonts w:ascii="Times New Roman" w:eastAsia="Calibri" w:hAnsi="Times New Roman"/>
          <w:bCs/>
          <w:sz w:val="24"/>
          <w:szCs w:val="24"/>
        </w:rPr>
        <w:t>Обществом</w:t>
      </w:r>
      <w:r w:rsidR="00C67BA9" w:rsidRPr="00C67BA9">
        <w:rPr>
          <w:rFonts w:ascii="Times New Roman" w:eastAsia="Calibri" w:hAnsi="Times New Roman"/>
          <w:sz w:val="24"/>
          <w:szCs w:val="24"/>
        </w:rPr>
        <w:t xml:space="preserve"> </w:t>
      </w:r>
      <w:r w:rsidR="00C67BA9" w:rsidRPr="00C67BA9">
        <w:rPr>
          <w:rFonts w:ascii="Times New Roman" w:eastAsia="Calibri" w:hAnsi="Times New Roman"/>
          <w:bCs/>
          <w:sz w:val="24"/>
          <w:szCs w:val="24"/>
        </w:rPr>
        <w:t xml:space="preserve">операций, результатам ее деятельности, уровню и сочетанию принимаемых рисков с учетом требований Инструкции №154-И. </w:t>
      </w:r>
    </w:p>
    <w:p w14:paraId="1E10D690" w14:textId="77777777" w:rsidR="00C67BA9" w:rsidRPr="00C67BA9" w:rsidRDefault="00C67BA9" w:rsidP="000D500B">
      <w:pPr>
        <w:tabs>
          <w:tab w:val="left" w:pos="993"/>
        </w:tabs>
        <w:contextualSpacing/>
        <w:jc w:val="both"/>
        <w:rPr>
          <w:rFonts w:ascii="Times New Roman" w:eastAsia="Calibri" w:hAnsi="Times New Roman"/>
          <w:sz w:val="24"/>
          <w:szCs w:val="24"/>
        </w:rPr>
      </w:pPr>
      <w:r w:rsidRPr="00C67BA9">
        <w:rPr>
          <w:rFonts w:ascii="Times New Roman" w:eastAsia="Calibri" w:hAnsi="Times New Roman"/>
          <w:sz w:val="24"/>
          <w:szCs w:val="24"/>
        </w:rPr>
        <w:tab/>
      </w:r>
    </w:p>
    <w:p w14:paraId="07040EEF" w14:textId="77777777" w:rsidR="00C67BA9" w:rsidRPr="00C67BA9" w:rsidRDefault="00C67BA9" w:rsidP="000D500B">
      <w:pPr>
        <w:spacing w:after="160"/>
        <w:ind w:left="1080"/>
        <w:contextualSpacing/>
        <w:jc w:val="center"/>
        <w:rPr>
          <w:rFonts w:ascii="Times New Roman" w:eastAsia="Calibri" w:hAnsi="Times New Roman"/>
          <w:b/>
          <w:sz w:val="24"/>
          <w:szCs w:val="24"/>
        </w:rPr>
      </w:pPr>
    </w:p>
    <w:p w14:paraId="41BD9847" w14:textId="77777777" w:rsidR="00C67BA9" w:rsidRPr="00B0260E" w:rsidRDefault="00C67BA9" w:rsidP="00B0260E">
      <w:pPr>
        <w:pStyle w:val="a9"/>
        <w:numPr>
          <w:ilvl w:val="0"/>
          <w:numId w:val="24"/>
        </w:numPr>
        <w:spacing w:after="160"/>
        <w:jc w:val="center"/>
        <w:rPr>
          <w:rFonts w:ascii="Times New Roman" w:hAnsi="Times New Roman"/>
          <w:b/>
          <w:sz w:val="24"/>
          <w:szCs w:val="24"/>
        </w:rPr>
      </w:pPr>
      <w:r w:rsidRPr="00B0260E">
        <w:rPr>
          <w:rFonts w:ascii="Times New Roman" w:hAnsi="Times New Roman"/>
          <w:b/>
          <w:sz w:val="24"/>
          <w:szCs w:val="24"/>
        </w:rPr>
        <w:t xml:space="preserve">Социальная поддержка работников </w:t>
      </w:r>
      <w:r w:rsidR="00CB568A">
        <w:rPr>
          <w:rFonts w:ascii="Times New Roman" w:hAnsi="Times New Roman"/>
          <w:b/>
          <w:sz w:val="24"/>
          <w:szCs w:val="24"/>
        </w:rPr>
        <w:t>НКЦ</w:t>
      </w:r>
    </w:p>
    <w:p w14:paraId="2187B123" w14:textId="77777777" w:rsidR="00B0260E" w:rsidRDefault="00C67BA9" w:rsidP="000D500B">
      <w:pPr>
        <w:tabs>
          <w:tab w:val="left" w:pos="993"/>
        </w:tabs>
        <w:spacing w:after="160"/>
        <w:contextualSpacing/>
        <w:jc w:val="both"/>
        <w:rPr>
          <w:rFonts w:ascii="Times New Roman" w:eastAsia="Calibri" w:hAnsi="Times New Roman"/>
          <w:sz w:val="24"/>
          <w:szCs w:val="24"/>
        </w:rPr>
      </w:pPr>
      <w:r w:rsidRPr="00C67BA9">
        <w:rPr>
          <w:rFonts w:ascii="Times New Roman" w:eastAsia="Calibri" w:hAnsi="Times New Roman"/>
          <w:sz w:val="24"/>
          <w:szCs w:val="24"/>
        </w:rPr>
        <w:tab/>
      </w:r>
    </w:p>
    <w:p w14:paraId="6DA36148" w14:textId="307F8A79" w:rsidR="00C67BA9" w:rsidRPr="00C67BA9" w:rsidRDefault="00B0260E" w:rsidP="000D500B">
      <w:pPr>
        <w:tabs>
          <w:tab w:val="left" w:pos="993"/>
        </w:tabs>
        <w:spacing w:after="160"/>
        <w:contextualSpacing/>
        <w:jc w:val="both"/>
        <w:rPr>
          <w:rFonts w:ascii="Times New Roman" w:eastAsia="Calibri" w:hAnsi="Times New Roman"/>
          <w:sz w:val="24"/>
          <w:szCs w:val="24"/>
        </w:rPr>
      </w:pPr>
      <w:r>
        <w:rPr>
          <w:rFonts w:ascii="Times New Roman" w:eastAsia="Calibri" w:hAnsi="Times New Roman"/>
          <w:sz w:val="24"/>
          <w:szCs w:val="24"/>
        </w:rPr>
        <w:t xml:space="preserve">     </w:t>
      </w:r>
      <w:r w:rsidR="00C67BA9" w:rsidRPr="00C67BA9">
        <w:rPr>
          <w:rFonts w:ascii="Times New Roman" w:eastAsia="Calibri" w:hAnsi="Times New Roman"/>
          <w:sz w:val="24"/>
          <w:szCs w:val="24"/>
        </w:rPr>
        <w:t>Предоставление работникам корпоративной социальной поддержки является одним из элементов социальной политики НКЦ, направленной на обеспечение социальной защищённости работников, способствующей повышению эффективности и качества их труда. Корпоративная социальная поддержка работников осуществляется в соответствии с Положением о корпоративной социальной поддержке работников НКЦ (далее – Положение о соцподдержке), пересматриваемом и утверждаемом е</w:t>
      </w:r>
      <w:r w:rsidR="0035690E">
        <w:rPr>
          <w:rFonts w:ascii="Times New Roman" w:eastAsia="Calibri" w:hAnsi="Times New Roman"/>
          <w:sz w:val="24"/>
          <w:szCs w:val="24"/>
        </w:rPr>
        <w:t>жегодно Наблюдательным советом НКЦ</w:t>
      </w:r>
      <w:r w:rsidR="00C67BA9" w:rsidRPr="00C67BA9">
        <w:rPr>
          <w:rFonts w:ascii="Times New Roman" w:eastAsia="Calibri" w:hAnsi="Times New Roman"/>
          <w:sz w:val="24"/>
          <w:szCs w:val="24"/>
        </w:rPr>
        <w:t xml:space="preserve">. </w:t>
      </w:r>
    </w:p>
    <w:p w14:paraId="2FD7F1A1" w14:textId="77777777" w:rsidR="00B0260E" w:rsidRDefault="00C67BA9" w:rsidP="000D500B">
      <w:pPr>
        <w:tabs>
          <w:tab w:val="left" w:pos="993"/>
        </w:tabs>
        <w:contextualSpacing/>
        <w:jc w:val="both"/>
        <w:rPr>
          <w:rFonts w:ascii="Times New Roman" w:eastAsia="Calibri" w:hAnsi="Times New Roman"/>
          <w:sz w:val="24"/>
          <w:szCs w:val="24"/>
        </w:rPr>
      </w:pPr>
      <w:r w:rsidRPr="00C67BA9">
        <w:rPr>
          <w:rFonts w:ascii="Times New Roman" w:eastAsia="Calibri" w:hAnsi="Times New Roman"/>
          <w:sz w:val="24"/>
          <w:szCs w:val="24"/>
        </w:rPr>
        <w:tab/>
      </w:r>
    </w:p>
    <w:p w14:paraId="0A5D8BAD" w14:textId="0B543380" w:rsidR="00C67BA9" w:rsidRPr="00C67BA9" w:rsidRDefault="00B0260E" w:rsidP="000D500B">
      <w:pPr>
        <w:tabs>
          <w:tab w:val="left" w:pos="993"/>
        </w:tabs>
        <w:contextualSpacing/>
        <w:jc w:val="both"/>
        <w:rPr>
          <w:rFonts w:ascii="Times New Roman" w:eastAsia="Calibri" w:hAnsi="Times New Roman"/>
          <w:sz w:val="24"/>
          <w:szCs w:val="24"/>
        </w:rPr>
      </w:pPr>
      <w:r>
        <w:rPr>
          <w:rFonts w:ascii="Times New Roman" w:eastAsia="Calibri" w:hAnsi="Times New Roman"/>
          <w:sz w:val="24"/>
          <w:szCs w:val="24"/>
        </w:rPr>
        <w:t xml:space="preserve">      Общество</w:t>
      </w:r>
      <w:r w:rsidR="00C67BA9" w:rsidRPr="00C67BA9">
        <w:rPr>
          <w:rFonts w:ascii="Times New Roman" w:eastAsia="Calibri" w:hAnsi="Times New Roman"/>
          <w:sz w:val="24"/>
          <w:szCs w:val="24"/>
        </w:rPr>
        <w:t xml:space="preserve"> страхует всех своих сотрудников по программам добровольного медицинского страхования, международного медицинского страхования, а также от несчастных случаев и болезней, в установленных случаях выплачивает материальную помощь. По состоянию на 01.01.2018 года страховкой ДМС было обеспечено 93% работников. По ММС и страхованию от </w:t>
      </w:r>
      <w:r w:rsidR="009C7915">
        <w:rPr>
          <w:rFonts w:ascii="Times New Roman" w:eastAsia="Calibri" w:hAnsi="Times New Roman"/>
          <w:sz w:val="24"/>
          <w:szCs w:val="24"/>
        </w:rPr>
        <w:t>н</w:t>
      </w:r>
      <w:r w:rsidR="00C67BA9" w:rsidRPr="00C67BA9">
        <w:rPr>
          <w:rFonts w:ascii="Times New Roman" w:eastAsia="Calibri" w:hAnsi="Times New Roman"/>
          <w:sz w:val="24"/>
          <w:szCs w:val="24"/>
        </w:rPr>
        <w:t xml:space="preserve">есчастных случаев и болезней – застрахованы все работники НКЦ. </w:t>
      </w:r>
      <w:r w:rsidR="009C7915">
        <w:rPr>
          <w:rFonts w:ascii="Times New Roman" w:eastAsia="Calibri" w:hAnsi="Times New Roman"/>
          <w:sz w:val="24"/>
          <w:szCs w:val="24"/>
        </w:rPr>
        <w:t>Наряду с этим</w:t>
      </w:r>
      <w:r w:rsidR="00C67BA9" w:rsidRPr="00C67BA9">
        <w:rPr>
          <w:rFonts w:ascii="Times New Roman" w:eastAsia="Calibri" w:hAnsi="Times New Roman"/>
          <w:sz w:val="24"/>
          <w:szCs w:val="24"/>
        </w:rPr>
        <w:t xml:space="preserve"> оказывает</w:t>
      </w:r>
      <w:r w:rsidR="009C7915">
        <w:rPr>
          <w:rFonts w:ascii="Times New Roman" w:eastAsia="Calibri" w:hAnsi="Times New Roman"/>
          <w:sz w:val="24"/>
          <w:szCs w:val="24"/>
        </w:rPr>
        <w:t>ся</w:t>
      </w:r>
      <w:r w:rsidR="00C67BA9" w:rsidRPr="00C67BA9">
        <w:rPr>
          <w:rFonts w:ascii="Times New Roman" w:eastAsia="Calibri" w:hAnsi="Times New Roman"/>
          <w:sz w:val="24"/>
          <w:szCs w:val="24"/>
        </w:rPr>
        <w:t xml:space="preserve"> материальную помощь </w:t>
      </w:r>
      <w:r w:rsidR="009C7915" w:rsidRPr="00C67BA9">
        <w:rPr>
          <w:rFonts w:ascii="Times New Roman" w:eastAsia="Calibri" w:hAnsi="Times New Roman"/>
          <w:sz w:val="24"/>
          <w:szCs w:val="24"/>
        </w:rPr>
        <w:t xml:space="preserve">сотрудникам </w:t>
      </w:r>
      <w:r w:rsidR="00C67BA9" w:rsidRPr="00C67BA9">
        <w:rPr>
          <w:rFonts w:ascii="Times New Roman" w:eastAsia="Calibri" w:hAnsi="Times New Roman"/>
          <w:sz w:val="24"/>
          <w:szCs w:val="24"/>
        </w:rPr>
        <w:t>в связи с рождением ребенка (усыновлением/удочерением, установлением опеки/попечительства), со смертью члена семьи, а также в других установленных данным Положением случаях.</w:t>
      </w:r>
      <w:r w:rsidR="009C7915">
        <w:rPr>
          <w:rFonts w:ascii="Times New Roman" w:eastAsia="Calibri" w:hAnsi="Times New Roman"/>
          <w:sz w:val="24"/>
          <w:szCs w:val="24"/>
        </w:rPr>
        <w:t xml:space="preserve"> </w:t>
      </w:r>
      <w:r w:rsidR="00C67BA9" w:rsidRPr="00C67BA9">
        <w:rPr>
          <w:rFonts w:ascii="Times New Roman" w:eastAsia="Calibri" w:hAnsi="Times New Roman"/>
          <w:sz w:val="24"/>
          <w:szCs w:val="24"/>
        </w:rPr>
        <w:t>Предоставляемые льготы и выплаты в пользу работников или членов их семей по Положению о соцподдержке не относятся к системе оплаты труда, и их размер не подлежит корректи</w:t>
      </w:r>
      <w:r w:rsidR="0035690E">
        <w:rPr>
          <w:rFonts w:ascii="Times New Roman" w:eastAsia="Calibri" w:hAnsi="Times New Roman"/>
          <w:sz w:val="24"/>
          <w:szCs w:val="24"/>
        </w:rPr>
        <w:t xml:space="preserve">ровке с учетом принимаемых НКЦ </w:t>
      </w:r>
      <w:r w:rsidR="00C67BA9" w:rsidRPr="00C67BA9">
        <w:rPr>
          <w:rFonts w:ascii="Times New Roman" w:eastAsia="Calibri" w:hAnsi="Times New Roman"/>
          <w:sz w:val="24"/>
          <w:szCs w:val="24"/>
        </w:rPr>
        <w:t xml:space="preserve">рисков. </w:t>
      </w:r>
    </w:p>
    <w:p w14:paraId="41C42BB0" w14:textId="77777777" w:rsidR="00D64111" w:rsidRDefault="00D64111" w:rsidP="00D64111">
      <w:pPr>
        <w:tabs>
          <w:tab w:val="left" w:pos="993"/>
        </w:tabs>
        <w:contextualSpacing/>
        <w:jc w:val="both"/>
        <w:rPr>
          <w:rFonts w:ascii="Times New Roman" w:eastAsia="Calibri" w:hAnsi="Times New Roman"/>
          <w:sz w:val="24"/>
          <w:szCs w:val="24"/>
        </w:rPr>
      </w:pPr>
    </w:p>
    <w:p w14:paraId="1DCCCF7D" w14:textId="77777777" w:rsidR="00C67BA9" w:rsidRPr="00C67BA9" w:rsidRDefault="00D64111" w:rsidP="00D64111">
      <w:pPr>
        <w:tabs>
          <w:tab w:val="left" w:pos="993"/>
        </w:tabs>
        <w:contextualSpacing/>
        <w:jc w:val="both"/>
        <w:rPr>
          <w:rFonts w:ascii="Times New Roman" w:eastAsia="Calibri" w:hAnsi="Times New Roman"/>
          <w:sz w:val="24"/>
          <w:szCs w:val="24"/>
        </w:rPr>
      </w:pPr>
      <w:r>
        <w:rPr>
          <w:rFonts w:ascii="Times New Roman" w:eastAsia="Calibri" w:hAnsi="Times New Roman"/>
          <w:sz w:val="24"/>
          <w:szCs w:val="24"/>
        </w:rPr>
        <w:t xml:space="preserve">       </w:t>
      </w:r>
      <w:r w:rsidR="00C67BA9" w:rsidRPr="00C67BA9">
        <w:rPr>
          <w:rFonts w:ascii="Times New Roman" w:eastAsia="Calibri" w:hAnsi="Times New Roman"/>
          <w:sz w:val="24"/>
          <w:szCs w:val="24"/>
        </w:rPr>
        <w:t xml:space="preserve">НКЦ также заботится о популяризации здорового образа жизни, профилактике и </w:t>
      </w:r>
      <w:r w:rsidR="00C67BA9" w:rsidRPr="00C67BA9">
        <w:rPr>
          <w:rFonts w:ascii="Times New Roman" w:eastAsia="Calibri" w:hAnsi="Times New Roman"/>
          <w:bCs/>
          <w:sz w:val="24"/>
          <w:szCs w:val="24"/>
        </w:rPr>
        <w:t xml:space="preserve">предупреждении распространения эпидемических подъемов заболеваемости ОРВИ и гриппом. </w:t>
      </w:r>
      <w:r w:rsidR="00C67BA9" w:rsidRPr="00C67BA9">
        <w:rPr>
          <w:rFonts w:ascii="Times New Roman" w:eastAsia="Calibri" w:hAnsi="Times New Roman"/>
          <w:sz w:val="24"/>
          <w:szCs w:val="24"/>
        </w:rPr>
        <w:t xml:space="preserve">Для сотрудников действует корпоративная система </w:t>
      </w:r>
      <w:r w:rsidR="00C67BA9" w:rsidRPr="00C67BA9">
        <w:rPr>
          <w:rFonts w:ascii="Times New Roman" w:eastAsia="Calibri" w:hAnsi="Times New Roman"/>
          <w:sz w:val="24"/>
          <w:szCs w:val="24"/>
        </w:rPr>
        <w:lastRenderedPageBreak/>
        <w:t>скидок в ведущих фитнес-центрах. Они могут заниматься в организуемых банковским холдингом, головной организацией которого является ПАО Московская Биржа, спортивных клубах (бег, триатлон, футбол, хоккей и прочие).</w:t>
      </w:r>
    </w:p>
    <w:p w14:paraId="5540AC00" w14:textId="77777777" w:rsidR="00C67BA9" w:rsidRPr="00C67BA9" w:rsidRDefault="00C67BA9" w:rsidP="000D500B">
      <w:pPr>
        <w:ind w:firstLine="567"/>
        <w:jc w:val="both"/>
        <w:rPr>
          <w:rFonts w:ascii="Times New Roman" w:eastAsia="Calibri" w:hAnsi="Times New Roman"/>
          <w:sz w:val="24"/>
          <w:szCs w:val="24"/>
        </w:rPr>
      </w:pPr>
      <w:r w:rsidRPr="00C67BA9">
        <w:rPr>
          <w:rFonts w:ascii="Times New Roman" w:eastAsia="Calibri" w:hAnsi="Times New Roman"/>
          <w:sz w:val="24"/>
          <w:szCs w:val="24"/>
        </w:rPr>
        <w:t>.</w:t>
      </w:r>
    </w:p>
    <w:p w14:paraId="2D1361AE" w14:textId="77777777" w:rsidR="00C67BA9" w:rsidRPr="00F11973" w:rsidRDefault="00C67BA9" w:rsidP="00F11973">
      <w:pPr>
        <w:pStyle w:val="a9"/>
        <w:numPr>
          <w:ilvl w:val="0"/>
          <w:numId w:val="24"/>
        </w:numPr>
        <w:spacing w:after="160"/>
        <w:jc w:val="center"/>
        <w:rPr>
          <w:rFonts w:ascii="Times New Roman" w:hAnsi="Times New Roman"/>
          <w:b/>
          <w:sz w:val="24"/>
          <w:szCs w:val="24"/>
        </w:rPr>
      </w:pPr>
      <w:r w:rsidRPr="00F11973">
        <w:rPr>
          <w:rFonts w:ascii="Times New Roman" w:hAnsi="Times New Roman"/>
          <w:b/>
          <w:sz w:val="24"/>
          <w:szCs w:val="24"/>
        </w:rPr>
        <w:t xml:space="preserve">Обучение и развитие работников </w:t>
      </w:r>
    </w:p>
    <w:p w14:paraId="5B971658" w14:textId="6EA12170" w:rsidR="00C67BA9" w:rsidRPr="00C67BA9" w:rsidRDefault="00E0488A" w:rsidP="00E0488A">
      <w:pPr>
        <w:spacing w:after="160"/>
        <w:jc w:val="both"/>
        <w:rPr>
          <w:rFonts w:ascii="Times New Roman" w:eastAsia="Calibri" w:hAnsi="Times New Roman"/>
          <w:color w:val="262626"/>
          <w:sz w:val="24"/>
          <w:szCs w:val="24"/>
        </w:rPr>
      </w:pPr>
      <w:r>
        <w:rPr>
          <w:rFonts w:ascii="Times New Roman" w:eastAsia="Calibri" w:hAnsi="Times New Roman"/>
          <w:color w:val="262626"/>
          <w:sz w:val="24"/>
          <w:szCs w:val="24"/>
        </w:rPr>
        <w:t xml:space="preserve">     В процессе </w:t>
      </w:r>
      <w:r w:rsidR="00C67BA9" w:rsidRPr="00C67BA9">
        <w:rPr>
          <w:rFonts w:ascii="Times New Roman" w:eastAsia="Calibri" w:hAnsi="Times New Roman"/>
          <w:color w:val="262626"/>
          <w:sz w:val="24"/>
          <w:szCs w:val="24"/>
        </w:rPr>
        <w:t>обучени</w:t>
      </w:r>
      <w:r>
        <w:rPr>
          <w:rFonts w:ascii="Times New Roman" w:eastAsia="Calibri" w:hAnsi="Times New Roman"/>
          <w:color w:val="262626"/>
          <w:sz w:val="24"/>
          <w:szCs w:val="24"/>
        </w:rPr>
        <w:t>я</w:t>
      </w:r>
      <w:r w:rsidR="00C67BA9" w:rsidRPr="00C67BA9">
        <w:rPr>
          <w:rFonts w:ascii="Times New Roman" w:eastAsia="Calibri" w:hAnsi="Times New Roman"/>
          <w:color w:val="262626"/>
          <w:sz w:val="24"/>
          <w:szCs w:val="24"/>
        </w:rPr>
        <w:t xml:space="preserve"> работников </w:t>
      </w:r>
      <w:r>
        <w:rPr>
          <w:rFonts w:ascii="Times New Roman" w:eastAsia="Calibri" w:hAnsi="Times New Roman"/>
          <w:color w:val="262626"/>
          <w:sz w:val="24"/>
          <w:szCs w:val="24"/>
        </w:rPr>
        <w:t>Н</w:t>
      </w:r>
      <w:r w:rsidR="0035690E">
        <w:rPr>
          <w:rFonts w:ascii="Times New Roman" w:eastAsia="Calibri" w:hAnsi="Times New Roman"/>
          <w:color w:val="262626"/>
          <w:sz w:val="24"/>
          <w:szCs w:val="24"/>
        </w:rPr>
        <w:t>КЦ</w:t>
      </w:r>
      <w:r w:rsidR="00C67BA9" w:rsidRPr="00C67BA9">
        <w:rPr>
          <w:rFonts w:ascii="Times New Roman" w:eastAsia="Calibri" w:hAnsi="Times New Roman"/>
          <w:color w:val="262626"/>
          <w:sz w:val="24"/>
          <w:szCs w:val="24"/>
        </w:rPr>
        <w:t xml:space="preserve"> </w:t>
      </w:r>
      <w:r>
        <w:rPr>
          <w:rFonts w:ascii="Times New Roman" w:eastAsia="Calibri" w:hAnsi="Times New Roman"/>
          <w:color w:val="262626"/>
          <w:sz w:val="24"/>
          <w:szCs w:val="24"/>
        </w:rPr>
        <w:t>работа проводится по</w:t>
      </w:r>
      <w:r w:rsidR="00C67BA9" w:rsidRPr="00C67BA9">
        <w:rPr>
          <w:rFonts w:ascii="Times New Roman" w:eastAsia="Calibri" w:hAnsi="Times New Roman"/>
          <w:color w:val="262626"/>
          <w:sz w:val="24"/>
          <w:szCs w:val="24"/>
        </w:rPr>
        <w:t xml:space="preserve"> следующи</w:t>
      </w:r>
      <w:r>
        <w:rPr>
          <w:rFonts w:ascii="Times New Roman" w:eastAsia="Calibri" w:hAnsi="Times New Roman"/>
          <w:color w:val="262626"/>
          <w:sz w:val="24"/>
          <w:szCs w:val="24"/>
        </w:rPr>
        <w:t>м</w:t>
      </w:r>
      <w:r w:rsidR="00C67BA9" w:rsidRPr="00C67BA9">
        <w:rPr>
          <w:rFonts w:ascii="Times New Roman" w:eastAsia="Calibri" w:hAnsi="Times New Roman"/>
          <w:color w:val="262626"/>
          <w:sz w:val="24"/>
          <w:szCs w:val="24"/>
        </w:rPr>
        <w:t xml:space="preserve"> тр</w:t>
      </w:r>
      <w:r>
        <w:rPr>
          <w:rFonts w:ascii="Times New Roman" w:eastAsia="Calibri" w:hAnsi="Times New Roman"/>
          <w:color w:val="262626"/>
          <w:sz w:val="24"/>
          <w:szCs w:val="24"/>
        </w:rPr>
        <w:t>ем</w:t>
      </w:r>
      <w:r w:rsidR="00C67BA9" w:rsidRPr="00C67BA9">
        <w:rPr>
          <w:rFonts w:ascii="Times New Roman" w:eastAsia="Calibri" w:hAnsi="Times New Roman"/>
          <w:color w:val="262626"/>
          <w:sz w:val="24"/>
          <w:szCs w:val="24"/>
        </w:rPr>
        <w:t xml:space="preserve"> приоритетны</w:t>
      </w:r>
      <w:r>
        <w:rPr>
          <w:rFonts w:ascii="Times New Roman" w:eastAsia="Calibri" w:hAnsi="Times New Roman"/>
          <w:color w:val="262626"/>
          <w:sz w:val="24"/>
          <w:szCs w:val="24"/>
        </w:rPr>
        <w:t>м</w:t>
      </w:r>
      <w:r w:rsidR="00C67BA9" w:rsidRPr="00C67BA9">
        <w:rPr>
          <w:rFonts w:ascii="Times New Roman" w:eastAsia="Calibri" w:hAnsi="Times New Roman"/>
          <w:color w:val="262626"/>
          <w:sz w:val="24"/>
          <w:szCs w:val="24"/>
        </w:rPr>
        <w:t xml:space="preserve"> направления</w:t>
      </w:r>
      <w:r>
        <w:rPr>
          <w:rFonts w:ascii="Times New Roman" w:eastAsia="Calibri" w:hAnsi="Times New Roman"/>
          <w:color w:val="262626"/>
          <w:sz w:val="24"/>
          <w:szCs w:val="24"/>
        </w:rPr>
        <w:t xml:space="preserve">м: </w:t>
      </w:r>
      <w:r w:rsidR="00C67BA9" w:rsidRPr="00C67BA9">
        <w:rPr>
          <w:rFonts w:ascii="Times New Roman" w:eastAsia="Calibri" w:hAnsi="Times New Roman"/>
          <w:color w:val="262626"/>
          <w:sz w:val="24"/>
          <w:szCs w:val="24"/>
        </w:rPr>
        <w:t xml:space="preserve">развитие управленческой культуры, развитие культуры преемственности знаний и опыта, поддержка бизнеса для реализации инновационных задач в соответствии с мировыми трендами. </w:t>
      </w:r>
    </w:p>
    <w:p w14:paraId="4E410868" w14:textId="38809C39" w:rsidR="00C67BA9" w:rsidRDefault="00E0488A" w:rsidP="00E0488A">
      <w:pPr>
        <w:spacing w:after="160"/>
        <w:jc w:val="both"/>
        <w:rPr>
          <w:rFonts w:ascii="Times New Roman" w:eastAsia="Calibri" w:hAnsi="Times New Roman"/>
          <w:color w:val="262626"/>
          <w:sz w:val="24"/>
          <w:szCs w:val="24"/>
        </w:rPr>
      </w:pPr>
      <w:r>
        <w:rPr>
          <w:rFonts w:ascii="Times New Roman" w:eastAsia="Calibri" w:hAnsi="Times New Roman"/>
          <w:color w:val="262626"/>
          <w:sz w:val="24"/>
          <w:szCs w:val="24"/>
        </w:rPr>
        <w:t xml:space="preserve">     </w:t>
      </w:r>
      <w:r w:rsidR="00C67BA9" w:rsidRPr="00C67BA9">
        <w:rPr>
          <w:rFonts w:ascii="Times New Roman" w:eastAsia="Calibri" w:hAnsi="Times New Roman"/>
          <w:color w:val="262626"/>
          <w:sz w:val="24"/>
          <w:szCs w:val="24"/>
        </w:rPr>
        <w:t xml:space="preserve">Система обучения и развития работников включает образовательные программы и инструменты для самообучения (в.т.ч. на рабочем месте). Система обучения современна и технологична, что дает работникам дополнительные возможности для самообучения. При этом все больше </w:t>
      </w:r>
      <w:r>
        <w:rPr>
          <w:rFonts w:ascii="Times New Roman" w:eastAsia="Calibri" w:hAnsi="Times New Roman"/>
          <w:color w:val="262626"/>
          <w:sz w:val="24"/>
          <w:szCs w:val="24"/>
        </w:rPr>
        <w:t xml:space="preserve">делается </w:t>
      </w:r>
      <w:r w:rsidR="00C67BA9" w:rsidRPr="00C67BA9">
        <w:rPr>
          <w:rFonts w:ascii="Times New Roman" w:eastAsia="Calibri" w:hAnsi="Times New Roman"/>
          <w:color w:val="262626"/>
          <w:sz w:val="24"/>
          <w:szCs w:val="24"/>
        </w:rPr>
        <w:t xml:space="preserve">акцентов </w:t>
      </w:r>
      <w:r>
        <w:rPr>
          <w:rFonts w:ascii="Times New Roman" w:eastAsia="Calibri" w:hAnsi="Times New Roman"/>
          <w:color w:val="262626"/>
          <w:sz w:val="24"/>
          <w:szCs w:val="24"/>
        </w:rPr>
        <w:t>на</w:t>
      </w:r>
      <w:r w:rsidR="00C67BA9" w:rsidRPr="00C67BA9">
        <w:rPr>
          <w:rFonts w:ascii="Times New Roman" w:eastAsia="Calibri" w:hAnsi="Times New Roman"/>
          <w:color w:val="262626"/>
          <w:sz w:val="24"/>
          <w:szCs w:val="24"/>
        </w:rPr>
        <w:t xml:space="preserve"> передач</w:t>
      </w:r>
      <w:r>
        <w:rPr>
          <w:rFonts w:ascii="Times New Roman" w:eastAsia="Calibri" w:hAnsi="Times New Roman"/>
          <w:color w:val="262626"/>
          <w:sz w:val="24"/>
          <w:szCs w:val="24"/>
        </w:rPr>
        <w:t>у</w:t>
      </w:r>
      <w:r w:rsidR="00C67BA9" w:rsidRPr="00C67BA9">
        <w:rPr>
          <w:rFonts w:ascii="Times New Roman" w:eastAsia="Calibri" w:hAnsi="Times New Roman"/>
          <w:color w:val="262626"/>
          <w:sz w:val="24"/>
          <w:szCs w:val="24"/>
        </w:rPr>
        <w:t xml:space="preserve"> ответственности сотрудникам за их развитие, предоставляя для этого современные технологии, ресурсы и дополнительные возможности. Начиная с 2017 года НКЦ активно внедряет концепцию обучения «70-20-10», которая предполагает смещение фокуса в обучении на самообучение и развитие на рабочем месте (70% усилий) вместе с обучением на опыте других (20% усилий) и непосредственным прохождением тренингов (10% усилий).</w:t>
      </w:r>
    </w:p>
    <w:p w14:paraId="2FEC60D6" w14:textId="716AE07F" w:rsidR="00E0488A" w:rsidRPr="00C67BA9" w:rsidRDefault="00E0488A" w:rsidP="00E0488A">
      <w:pPr>
        <w:spacing w:after="160"/>
        <w:jc w:val="both"/>
        <w:rPr>
          <w:rFonts w:ascii="Times New Roman" w:eastAsia="Calibri" w:hAnsi="Times New Roman"/>
          <w:color w:val="262626"/>
          <w:sz w:val="24"/>
          <w:szCs w:val="24"/>
        </w:rPr>
      </w:pPr>
      <w:r>
        <w:rPr>
          <w:rFonts w:ascii="Times New Roman" w:eastAsia="Calibri" w:hAnsi="Times New Roman"/>
          <w:color w:val="262626"/>
          <w:sz w:val="24"/>
          <w:szCs w:val="24"/>
        </w:rPr>
        <w:t xml:space="preserve">    По данным на конец отчетного периода, </w:t>
      </w:r>
      <w:r w:rsidRPr="00C67BA9">
        <w:rPr>
          <w:rFonts w:ascii="Times New Roman" w:eastAsia="Calibri" w:hAnsi="Times New Roman"/>
          <w:color w:val="262626"/>
          <w:sz w:val="24"/>
          <w:szCs w:val="24"/>
        </w:rPr>
        <w:t>95,2% работников НКЦ (АО) име</w:t>
      </w:r>
      <w:r>
        <w:rPr>
          <w:rFonts w:ascii="Times New Roman" w:eastAsia="Calibri" w:hAnsi="Times New Roman"/>
          <w:color w:val="262626"/>
          <w:sz w:val="24"/>
          <w:szCs w:val="24"/>
        </w:rPr>
        <w:t>ют</w:t>
      </w:r>
      <w:r w:rsidRPr="00C67BA9">
        <w:rPr>
          <w:rFonts w:ascii="Times New Roman" w:eastAsia="Calibri" w:hAnsi="Times New Roman"/>
          <w:color w:val="262626"/>
          <w:sz w:val="24"/>
          <w:szCs w:val="24"/>
        </w:rPr>
        <w:t xml:space="preserve"> высшее профессиональное образование, а 16,9% работников</w:t>
      </w:r>
      <w:r>
        <w:rPr>
          <w:rFonts w:ascii="Times New Roman" w:eastAsia="Calibri" w:hAnsi="Times New Roman"/>
          <w:color w:val="262626"/>
          <w:sz w:val="24"/>
          <w:szCs w:val="24"/>
        </w:rPr>
        <w:t xml:space="preserve"> -</w:t>
      </w:r>
      <w:r w:rsidRPr="00C67BA9">
        <w:rPr>
          <w:rFonts w:ascii="Times New Roman" w:eastAsia="Calibri" w:hAnsi="Times New Roman"/>
          <w:color w:val="262626"/>
          <w:sz w:val="24"/>
          <w:szCs w:val="24"/>
        </w:rPr>
        <w:t xml:space="preserve"> второе высшее</w:t>
      </w:r>
      <w:r>
        <w:rPr>
          <w:rFonts w:ascii="Times New Roman" w:eastAsia="Calibri" w:hAnsi="Times New Roman"/>
          <w:color w:val="262626"/>
          <w:sz w:val="24"/>
          <w:szCs w:val="24"/>
        </w:rPr>
        <w:t>.</w:t>
      </w:r>
      <w:r w:rsidRPr="00C67BA9">
        <w:rPr>
          <w:rFonts w:ascii="Times New Roman" w:eastAsia="Calibri" w:hAnsi="Times New Roman"/>
          <w:color w:val="262626"/>
          <w:sz w:val="24"/>
          <w:szCs w:val="24"/>
        </w:rPr>
        <w:t xml:space="preserve"> Помимо этого, шесть работников</w:t>
      </w:r>
      <w:r>
        <w:rPr>
          <w:rFonts w:ascii="Times New Roman" w:eastAsia="Calibri" w:hAnsi="Times New Roman"/>
          <w:color w:val="262626"/>
          <w:sz w:val="24"/>
          <w:szCs w:val="24"/>
        </w:rPr>
        <w:t xml:space="preserve"> -</w:t>
      </w:r>
      <w:r w:rsidRPr="00C67BA9">
        <w:rPr>
          <w:rFonts w:ascii="Times New Roman" w:eastAsia="Calibri" w:hAnsi="Times New Roman"/>
          <w:color w:val="262626"/>
          <w:sz w:val="24"/>
          <w:szCs w:val="24"/>
        </w:rPr>
        <w:t xml:space="preserve"> кандидат</w:t>
      </w:r>
      <w:r>
        <w:rPr>
          <w:rFonts w:ascii="Times New Roman" w:eastAsia="Calibri" w:hAnsi="Times New Roman"/>
          <w:color w:val="262626"/>
          <w:sz w:val="24"/>
          <w:szCs w:val="24"/>
        </w:rPr>
        <w:t>ы</w:t>
      </w:r>
      <w:r w:rsidRPr="00C67BA9">
        <w:rPr>
          <w:rFonts w:ascii="Times New Roman" w:eastAsia="Calibri" w:hAnsi="Times New Roman"/>
          <w:color w:val="262626"/>
          <w:sz w:val="24"/>
          <w:szCs w:val="24"/>
        </w:rPr>
        <w:t xml:space="preserve"> наук</w:t>
      </w:r>
      <w:r>
        <w:rPr>
          <w:rFonts w:ascii="Times New Roman" w:eastAsia="Calibri" w:hAnsi="Times New Roman"/>
          <w:color w:val="262626"/>
          <w:sz w:val="24"/>
          <w:szCs w:val="24"/>
        </w:rPr>
        <w:t>,</w:t>
      </w:r>
      <w:r w:rsidR="00EC140C">
        <w:rPr>
          <w:rFonts w:ascii="Times New Roman" w:eastAsia="Calibri" w:hAnsi="Times New Roman"/>
          <w:color w:val="262626"/>
          <w:sz w:val="24"/>
          <w:szCs w:val="24"/>
        </w:rPr>
        <w:t xml:space="preserve"> </w:t>
      </w:r>
      <w:r w:rsidRPr="00C67BA9">
        <w:rPr>
          <w:rFonts w:ascii="Times New Roman" w:eastAsia="Calibri" w:hAnsi="Times New Roman"/>
          <w:color w:val="262626"/>
          <w:sz w:val="24"/>
          <w:szCs w:val="24"/>
        </w:rPr>
        <w:t xml:space="preserve">42% работников </w:t>
      </w:r>
      <w:r>
        <w:rPr>
          <w:rFonts w:ascii="Times New Roman" w:eastAsia="Calibri" w:hAnsi="Times New Roman"/>
          <w:color w:val="262626"/>
          <w:sz w:val="24"/>
          <w:szCs w:val="24"/>
        </w:rPr>
        <w:t>- обладают</w:t>
      </w:r>
      <w:r w:rsidRPr="00C67BA9">
        <w:rPr>
          <w:rFonts w:ascii="Times New Roman" w:eastAsia="Calibri" w:hAnsi="Times New Roman"/>
          <w:color w:val="262626"/>
          <w:sz w:val="24"/>
          <w:szCs w:val="24"/>
        </w:rPr>
        <w:t xml:space="preserve"> квалификационны</w:t>
      </w:r>
      <w:r>
        <w:rPr>
          <w:rFonts w:ascii="Times New Roman" w:eastAsia="Calibri" w:hAnsi="Times New Roman"/>
          <w:color w:val="262626"/>
          <w:sz w:val="24"/>
          <w:szCs w:val="24"/>
        </w:rPr>
        <w:t>ми</w:t>
      </w:r>
      <w:r w:rsidRPr="00C67BA9">
        <w:rPr>
          <w:rFonts w:ascii="Times New Roman" w:eastAsia="Calibri" w:hAnsi="Times New Roman"/>
          <w:color w:val="262626"/>
          <w:sz w:val="24"/>
          <w:szCs w:val="24"/>
        </w:rPr>
        <w:t xml:space="preserve"> аттестат</w:t>
      </w:r>
      <w:r>
        <w:rPr>
          <w:rFonts w:ascii="Times New Roman" w:eastAsia="Calibri" w:hAnsi="Times New Roman"/>
          <w:color w:val="262626"/>
          <w:sz w:val="24"/>
          <w:szCs w:val="24"/>
        </w:rPr>
        <w:t>ами</w:t>
      </w:r>
      <w:r w:rsidRPr="00C67BA9">
        <w:rPr>
          <w:rFonts w:ascii="Times New Roman" w:eastAsia="Calibri" w:hAnsi="Times New Roman"/>
          <w:color w:val="262626"/>
          <w:sz w:val="24"/>
          <w:szCs w:val="24"/>
        </w:rPr>
        <w:t>.</w:t>
      </w:r>
    </w:p>
    <w:p w14:paraId="1A4BD087" w14:textId="13E999DE" w:rsidR="00C67BA9" w:rsidRDefault="00E0488A" w:rsidP="00E0488A">
      <w:pPr>
        <w:spacing w:after="160"/>
        <w:jc w:val="both"/>
        <w:rPr>
          <w:rFonts w:ascii="Times New Roman" w:eastAsia="Calibri" w:hAnsi="Times New Roman"/>
          <w:color w:val="262626"/>
          <w:sz w:val="24"/>
          <w:szCs w:val="24"/>
        </w:rPr>
      </w:pPr>
      <w:r>
        <w:rPr>
          <w:rFonts w:ascii="Times New Roman" w:eastAsia="Calibri" w:hAnsi="Times New Roman"/>
          <w:color w:val="262626"/>
          <w:sz w:val="24"/>
          <w:szCs w:val="24"/>
        </w:rPr>
        <w:t xml:space="preserve">     </w:t>
      </w:r>
      <w:r w:rsidR="0035690E">
        <w:rPr>
          <w:rFonts w:ascii="Times New Roman" w:eastAsia="Calibri" w:hAnsi="Times New Roman"/>
          <w:color w:val="262626"/>
          <w:sz w:val="24"/>
          <w:szCs w:val="24"/>
        </w:rPr>
        <w:t xml:space="preserve">В 2017 году 115 работников НКЦ </w:t>
      </w:r>
      <w:r w:rsidR="00C67BA9" w:rsidRPr="00C67BA9">
        <w:rPr>
          <w:rFonts w:ascii="Times New Roman" w:eastAsia="Calibri" w:hAnsi="Times New Roman"/>
          <w:color w:val="262626"/>
          <w:sz w:val="24"/>
          <w:szCs w:val="24"/>
        </w:rPr>
        <w:t xml:space="preserve">прошли обучение (часть работников в течение года прошли обучение по нескольким программам). В среднем работники получили </w:t>
      </w:r>
      <w:r>
        <w:rPr>
          <w:rFonts w:ascii="Times New Roman" w:eastAsia="Calibri" w:hAnsi="Times New Roman"/>
          <w:color w:val="262626"/>
          <w:sz w:val="24"/>
          <w:szCs w:val="24"/>
        </w:rPr>
        <w:t xml:space="preserve">по </w:t>
      </w:r>
      <w:r w:rsidR="00C67BA9" w:rsidRPr="00C67BA9">
        <w:rPr>
          <w:rFonts w:ascii="Times New Roman" w:eastAsia="Calibri" w:hAnsi="Times New Roman"/>
          <w:color w:val="262626"/>
          <w:sz w:val="24"/>
          <w:szCs w:val="24"/>
        </w:rPr>
        <w:t>3 тренинг-дня обучения в год. 9 сотрудников прошли обязательные дистанционные курсы в рамках процесса обеспечения непрерывной деятельности. В среднем один работник НКЦ проходит 9 электронных курсов в год.</w:t>
      </w:r>
    </w:p>
    <w:p w14:paraId="698B9C43" w14:textId="77777777" w:rsidR="00B1152E" w:rsidRPr="00C67BA9" w:rsidRDefault="00B1152E" w:rsidP="00B1152E">
      <w:pPr>
        <w:spacing w:after="160"/>
        <w:jc w:val="both"/>
        <w:rPr>
          <w:rFonts w:ascii="Times New Roman" w:eastAsia="Calibri" w:hAnsi="Times New Roman"/>
          <w:color w:val="262626"/>
          <w:sz w:val="24"/>
          <w:szCs w:val="24"/>
        </w:rPr>
      </w:pPr>
      <w:r>
        <w:rPr>
          <w:rFonts w:ascii="Times New Roman" w:eastAsia="Calibri" w:hAnsi="Times New Roman"/>
          <w:color w:val="262626"/>
          <w:sz w:val="24"/>
          <w:szCs w:val="24"/>
        </w:rPr>
        <w:t xml:space="preserve">      </w:t>
      </w:r>
      <w:r w:rsidRPr="00C67BA9">
        <w:rPr>
          <w:rFonts w:ascii="Times New Roman" w:eastAsia="Calibri" w:hAnsi="Times New Roman"/>
          <w:color w:val="262626"/>
          <w:sz w:val="24"/>
          <w:szCs w:val="24"/>
        </w:rPr>
        <w:t>В рамках ежегодной оценки деятельности проводится оценка компетенций по утвержденной модели. Результатом оценки является индивидуальный план развития сотрудника и график развивающих мероприятий на год.</w:t>
      </w:r>
    </w:p>
    <w:p w14:paraId="2BF6B2A6" w14:textId="06F01DB1" w:rsidR="00C67BA9" w:rsidRPr="00C67BA9" w:rsidRDefault="00E0488A" w:rsidP="00E0488A">
      <w:pPr>
        <w:spacing w:after="160"/>
        <w:jc w:val="both"/>
        <w:rPr>
          <w:rFonts w:ascii="Times New Roman" w:eastAsia="Calibri" w:hAnsi="Times New Roman"/>
          <w:color w:val="262626"/>
          <w:sz w:val="24"/>
          <w:szCs w:val="24"/>
        </w:rPr>
      </w:pPr>
      <w:r>
        <w:rPr>
          <w:rFonts w:ascii="Times New Roman" w:eastAsia="Calibri" w:hAnsi="Times New Roman"/>
          <w:color w:val="262626"/>
          <w:sz w:val="24"/>
          <w:szCs w:val="24"/>
        </w:rPr>
        <w:t xml:space="preserve">     </w:t>
      </w:r>
      <w:r w:rsidR="00C67BA9" w:rsidRPr="00C67BA9">
        <w:rPr>
          <w:rFonts w:ascii="Times New Roman" w:eastAsia="Calibri" w:hAnsi="Times New Roman"/>
          <w:color w:val="262626"/>
          <w:sz w:val="24"/>
          <w:szCs w:val="24"/>
        </w:rPr>
        <w:t>НКЦ уделяет внимание внедрению программ по развитию компетенций, лидерских навыков и навыков проектного управления, необходимы</w:t>
      </w:r>
      <w:r>
        <w:rPr>
          <w:rFonts w:ascii="Times New Roman" w:eastAsia="Calibri" w:hAnsi="Times New Roman"/>
          <w:color w:val="262626"/>
          <w:sz w:val="24"/>
          <w:szCs w:val="24"/>
        </w:rPr>
        <w:t>х</w:t>
      </w:r>
      <w:r w:rsidR="00C67BA9" w:rsidRPr="00C67BA9">
        <w:rPr>
          <w:rFonts w:ascii="Times New Roman" w:eastAsia="Calibri" w:hAnsi="Times New Roman"/>
          <w:color w:val="262626"/>
          <w:sz w:val="24"/>
          <w:szCs w:val="24"/>
        </w:rPr>
        <w:t xml:space="preserve"> для реализации стратегических проектов банковского холдинга. </w:t>
      </w:r>
      <w:r w:rsidR="00B1152E">
        <w:rPr>
          <w:rFonts w:ascii="Times New Roman" w:eastAsia="Calibri" w:hAnsi="Times New Roman"/>
          <w:color w:val="262626"/>
          <w:sz w:val="24"/>
          <w:szCs w:val="24"/>
        </w:rPr>
        <w:t xml:space="preserve"> </w:t>
      </w:r>
      <w:r w:rsidR="00C67BA9" w:rsidRPr="00C67BA9">
        <w:rPr>
          <w:rFonts w:ascii="Times New Roman" w:eastAsia="Calibri" w:hAnsi="Times New Roman"/>
          <w:color w:val="262626"/>
          <w:sz w:val="24"/>
          <w:szCs w:val="24"/>
        </w:rPr>
        <w:t xml:space="preserve">В 2016 году в </w:t>
      </w:r>
      <w:r>
        <w:rPr>
          <w:rFonts w:ascii="Times New Roman" w:eastAsia="Calibri" w:hAnsi="Times New Roman"/>
          <w:color w:val="262626"/>
          <w:sz w:val="24"/>
          <w:szCs w:val="24"/>
        </w:rPr>
        <w:t>Группе</w:t>
      </w:r>
      <w:r w:rsidR="00C67BA9" w:rsidRPr="00C67BA9">
        <w:rPr>
          <w:rFonts w:ascii="Times New Roman" w:eastAsia="Calibri" w:hAnsi="Times New Roman"/>
          <w:color w:val="262626"/>
          <w:sz w:val="24"/>
          <w:szCs w:val="24"/>
        </w:rPr>
        <w:t xml:space="preserve"> создан Корпоративный университет.  </w:t>
      </w:r>
      <w:r>
        <w:rPr>
          <w:rFonts w:ascii="Times New Roman" w:eastAsia="Calibri" w:hAnsi="Times New Roman"/>
          <w:color w:val="262626"/>
          <w:sz w:val="24"/>
          <w:szCs w:val="24"/>
        </w:rPr>
        <w:t>Его задача</w:t>
      </w:r>
      <w:r w:rsidR="00C67BA9" w:rsidRPr="00C67BA9">
        <w:rPr>
          <w:rFonts w:ascii="Times New Roman" w:eastAsia="Calibri" w:hAnsi="Times New Roman"/>
          <w:color w:val="262626"/>
          <w:sz w:val="24"/>
          <w:szCs w:val="24"/>
        </w:rPr>
        <w:t xml:space="preserve"> – развитие компетенций, которые необходимы сотруднику для успешного выполнения рабочих задач. </w:t>
      </w:r>
      <w:r w:rsidR="00B1152E">
        <w:rPr>
          <w:rFonts w:ascii="Times New Roman" w:eastAsia="Calibri" w:hAnsi="Times New Roman"/>
          <w:color w:val="262626"/>
          <w:sz w:val="24"/>
          <w:szCs w:val="24"/>
        </w:rPr>
        <w:t xml:space="preserve"> В</w:t>
      </w:r>
      <w:r w:rsidR="00C67BA9" w:rsidRPr="00C67BA9">
        <w:rPr>
          <w:rFonts w:ascii="Times New Roman" w:eastAsia="Calibri" w:hAnsi="Times New Roman"/>
          <w:color w:val="262626"/>
          <w:sz w:val="24"/>
          <w:szCs w:val="24"/>
        </w:rPr>
        <w:t xml:space="preserve"> 2017 году </w:t>
      </w:r>
      <w:r w:rsidR="00B1152E">
        <w:rPr>
          <w:rFonts w:ascii="Times New Roman" w:eastAsia="Calibri" w:hAnsi="Times New Roman"/>
          <w:color w:val="262626"/>
          <w:sz w:val="24"/>
          <w:szCs w:val="24"/>
        </w:rPr>
        <w:t>в университете количество факультетов достигло пяти с учреждением</w:t>
      </w:r>
      <w:r w:rsidR="00C67BA9" w:rsidRPr="00C67BA9">
        <w:rPr>
          <w:rFonts w:ascii="Times New Roman" w:eastAsia="Calibri" w:hAnsi="Times New Roman"/>
          <w:color w:val="262626"/>
          <w:sz w:val="24"/>
          <w:szCs w:val="24"/>
        </w:rPr>
        <w:t xml:space="preserve"> «Проектн</w:t>
      </w:r>
      <w:r w:rsidR="00B1152E">
        <w:rPr>
          <w:rFonts w:ascii="Times New Roman" w:eastAsia="Calibri" w:hAnsi="Times New Roman"/>
          <w:color w:val="262626"/>
          <w:sz w:val="24"/>
          <w:szCs w:val="24"/>
        </w:rPr>
        <w:t>ого</w:t>
      </w:r>
      <w:r w:rsidR="00C67BA9" w:rsidRPr="00C67BA9">
        <w:rPr>
          <w:rFonts w:ascii="Times New Roman" w:eastAsia="Calibri" w:hAnsi="Times New Roman"/>
          <w:color w:val="262626"/>
          <w:sz w:val="24"/>
          <w:szCs w:val="24"/>
        </w:rPr>
        <w:t xml:space="preserve"> факультет</w:t>
      </w:r>
      <w:r w:rsidR="00B1152E">
        <w:rPr>
          <w:rFonts w:ascii="Times New Roman" w:eastAsia="Calibri" w:hAnsi="Times New Roman"/>
          <w:color w:val="262626"/>
          <w:sz w:val="24"/>
          <w:szCs w:val="24"/>
        </w:rPr>
        <w:t>а</w:t>
      </w:r>
      <w:r w:rsidR="00C67BA9" w:rsidRPr="00C67BA9">
        <w:rPr>
          <w:rFonts w:ascii="Times New Roman" w:eastAsia="Calibri" w:hAnsi="Times New Roman"/>
          <w:color w:val="262626"/>
          <w:sz w:val="24"/>
          <w:szCs w:val="24"/>
        </w:rPr>
        <w:t>», «Бизнес факультет</w:t>
      </w:r>
      <w:r w:rsidR="00B1152E">
        <w:rPr>
          <w:rFonts w:ascii="Times New Roman" w:eastAsia="Calibri" w:hAnsi="Times New Roman"/>
          <w:color w:val="262626"/>
          <w:sz w:val="24"/>
          <w:szCs w:val="24"/>
        </w:rPr>
        <w:t>а</w:t>
      </w:r>
      <w:r w:rsidR="00C67BA9" w:rsidRPr="00C67BA9">
        <w:rPr>
          <w:rFonts w:ascii="Times New Roman" w:eastAsia="Calibri" w:hAnsi="Times New Roman"/>
          <w:color w:val="262626"/>
          <w:sz w:val="24"/>
          <w:szCs w:val="24"/>
        </w:rPr>
        <w:t>», «Факультет</w:t>
      </w:r>
      <w:r w:rsidR="00B1152E">
        <w:rPr>
          <w:rFonts w:ascii="Times New Roman" w:eastAsia="Calibri" w:hAnsi="Times New Roman"/>
          <w:color w:val="262626"/>
          <w:sz w:val="24"/>
          <w:szCs w:val="24"/>
        </w:rPr>
        <w:t>а</w:t>
      </w:r>
      <w:r w:rsidR="00C67BA9" w:rsidRPr="00C67BA9">
        <w:rPr>
          <w:rFonts w:ascii="Times New Roman" w:eastAsia="Calibri" w:hAnsi="Times New Roman"/>
          <w:color w:val="262626"/>
          <w:sz w:val="24"/>
          <w:szCs w:val="24"/>
        </w:rPr>
        <w:t xml:space="preserve"> топ менеджмента»</w:t>
      </w:r>
      <w:r w:rsidR="00B1152E">
        <w:rPr>
          <w:rFonts w:ascii="Times New Roman" w:eastAsia="Calibri" w:hAnsi="Times New Roman"/>
          <w:color w:val="262626"/>
          <w:sz w:val="24"/>
          <w:szCs w:val="24"/>
        </w:rPr>
        <w:t xml:space="preserve"> в </w:t>
      </w:r>
      <w:r w:rsidR="0035690E">
        <w:rPr>
          <w:rFonts w:ascii="Times New Roman" w:eastAsia="Calibri" w:hAnsi="Times New Roman"/>
          <w:color w:val="262626"/>
          <w:sz w:val="24"/>
          <w:szCs w:val="24"/>
        </w:rPr>
        <w:t>дополнение к уже существовавшим</w:t>
      </w:r>
      <w:r w:rsidR="00C67BA9" w:rsidRPr="00C67BA9">
        <w:rPr>
          <w:rFonts w:ascii="Times New Roman" w:eastAsia="Calibri" w:hAnsi="Times New Roman"/>
          <w:color w:val="262626"/>
          <w:sz w:val="24"/>
          <w:szCs w:val="24"/>
        </w:rPr>
        <w:t xml:space="preserve"> «Факультет</w:t>
      </w:r>
      <w:r w:rsidR="00B1152E">
        <w:rPr>
          <w:rFonts w:ascii="Times New Roman" w:eastAsia="Calibri" w:hAnsi="Times New Roman"/>
          <w:color w:val="262626"/>
          <w:sz w:val="24"/>
          <w:szCs w:val="24"/>
        </w:rPr>
        <w:t>у</w:t>
      </w:r>
      <w:r w:rsidR="00C67BA9" w:rsidRPr="00C67BA9">
        <w:rPr>
          <w:rFonts w:ascii="Times New Roman" w:eastAsia="Calibri" w:hAnsi="Times New Roman"/>
          <w:color w:val="262626"/>
          <w:sz w:val="24"/>
          <w:szCs w:val="24"/>
        </w:rPr>
        <w:t xml:space="preserve"> менеджмента» и «Профессиональн</w:t>
      </w:r>
      <w:r w:rsidR="00B1152E">
        <w:rPr>
          <w:rFonts w:ascii="Times New Roman" w:eastAsia="Calibri" w:hAnsi="Times New Roman"/>
          <w:color w:val="262626"/>
          <w:sz w:val="24"/>
          <w:szCs w:val="24"/>
        </w:rPr>
        <w:t>ому</w:t>
      </w:r>
      <w:r w:rsidR="00C67BA9" w:rsidRPr="00C67BA9">
        <w:rPr>
          <w:rFonts w:ascii="Times New Roman" w:eastAsia="Calibri" w:hAnsi="Times New Roman"/>
          <w:color w:val="262626"/>
          <w:sz w:val="24"/>
          <w:szCs w:val="24"/>
        </w:rPr>
        <w:t xml:space="preserve"> факультет</w:t>
      </w:r>
      <w:r w:rsidR="00B1152E">
        <w:rPr>
          <w:rFonts w:ascii="Times New Roman" w:eastAsia="Calibri" w:hAnsi="Times New Roman"/>
          <w:color w:val="262626"/>
          <w:sz w:val="24"/>
          <w:szCs w:val="24"/>
        </w:rPr>
        <w:t>у</w:t>
      </w:r>
      <w:r w:rsidR="00C67BA9" w:rsidRPr="00C67BA9">
        <w:rPr>
          <w:rFonts w:ascii="Times New Roman" w:eastAsia="Calibri" w:hAnsi="Times New Roman"/>
          <w:color w:val="262626"/>
          <w:sz w:val="24"/>
          <w:szCs w:val="24"/>
        </w:rPr>
        <w:t xml:space="preserve">». </w:t>
      </w:r>
    </w:p>
    <w:p w14:paraId="32304AE5" w14:textId="1FF17679" w:rsidR="00C67BA9" w:rsidRPr="00C67BA9" w:rsidRDefault="00B1152E" w:rsidP="00B1152E">
      <w:pPr>
        <w:spacing w:after="160"/>
        <w:jc w:val="both"/>
        <w:rPr>
          <w:rFonts w:ascii="Times New Roman" w:eastAsia="Calibri" w:hAnsi="Times New Roman"/>
          <w:color w:val="262626"/>
          <w:sz w:val="24"/>
          <w:szCs w:val="24"/>
        </w:rPr>
      </w:pPr>
      <w:r>
        <w:rPr>
          <w:rFonts w:ascii="Times New Roman" w:eastAsia="Calibri" w:hAnsi="Times New Roman"/>
          <w:color w:val="262626"/>
          <w:sz w:val="24"/>
          <w:szCs w:val="24"/>
        </w:rPr>
        <w:t xml:space="preserve">     </w:t>
      </w:r>
      <w:r w:rsidR="00C67BA9" w:rsidRPr="00C67BA9">
        <w:rPr>
          <w:rFonts w:ascii="Times New Roman" w:eastAsia="Calibri" w:hAnsi="Times New Roman"/>
          <w:color w:val="262626"/>
          <w:sz w:val="24"/>
          <w:szCs w:val="24"/>
        </w:rPr>
        <w:t>В 2017 году 9 работников стали выпускниками годовой программы «Факультет</w:t>
      </w:r>
      <w:r w:rsidR="00647838">
        <w:rPr>
          <w:rFonts w:ascii="Times New Roman" w:eastAsia="Calibri" w:hAnsi="Times New Roman"/>
          <w:color w:val="262626"/>
          <w:sz w:val="24"/>
          <w:szCs w:val="24"/>
        </w:rPr>
        <w:t xml:space="preserve">а </w:t>
      </w:r>
      <w:r w:rsidR="00C67BA9" w:rsidRPr="00C67BA9">
        <w:rPr>
          <w:rFonts w:ascii="Times New Roman" w:eastAsia="Calibri" w:hAnsi="Times New Roman"/>
          <w:color w:val="262626"/>
          <w:sz w:val="24"/>
          <w:szCs w:val="24"/>
        </w:rPr>
        <w:t xml:space="preserve">менеджмента», направленной на развитие менеджерских навыков, освоение новых подходов и методов управления, формирование культуры управления. </w:t>
      </w:r>
      <w:r>
        <w:rPr>
          <w:rFonts w:ascii="Times New Roman" w:eastAsia="Calibri" w:hAnsi="Times New Roman"/>
          <w:color w:val="262626"/>
          <w:sz w:val="24"/>
          <w:szCs w:val="24"/>
        </w:rPr>
        <w:t>По п</w:t>
      </w:r>
      <w:r w:rsidR="00C67BA9" w:rsidRPr="00C67BA9">
        <w:rPr>
          <w:rFonts w:ascii="Times New Roman" w:eastAsia="Calibri" w:hAnsi="Times New Roman"/>
          <w:color w:val="262626"/>
          <w:sz w:val="24"/>
          <w:szCs w:val="24"/>
        </w:rPr>
        <w:t>рограмм</w:t>
      </w:r>
      <w:r>
        <w:rPr>
          <w:rFonts w:ascii="Times New Roman" w:eastAsia="Calibri" w:hAnsi="Times New Roman"/>
          <w:color w:val="262626"/>
          <w:sz w:val="24"/>
          <w:szCs w:val="24"/>
        </w:rPr>
        <w:t>е</w:t>
      </w:r>
      <w:r w:rsidR="00C67BA9" w:rsidRPr="00C67BA9">
        <w:rPr>
          <w:rFonts w:ascii="Times New Roman" w:eastAsia="Calibri" w:hAnsi="Times New Roman"/>
          <w:color w:val="262626"/>
          <w:sz w:val="24"/>
          <w:szCs w:val="24"/>
        </w:rPr>
        <w:t xml:space="preserve"> «Проектного факультета»</w:t>
      </w:r>
      <w:r>
        <w:rPr>
          <w:rFonts w:ascii="Times New Roman" w:eastAsia="Calibri" w:hAnsi="Times New Roman"/>
          <w:color w:val="262626"/>
          <w:sz w:val="24"/>
          <w:szCs w:val="24"/>
        </w:rPr>
        <w:t>,</w:t>
      </w:r>
      <w:r w:rsidR="00C67BA9" w:rsidRPr="00C67BA9">
        <w:rPr>
          <w:rFonts w:ascii="Times New Roman" w:eastAsia="Calibri" w:hAnsi="Times New Roman"/>
          <w:color w:val="262626"/>
          <w:sz w:val="24"/>
          <w:szCs w:val="24"/>
        </w:rPr>
        <w:t xml:space="preserve"> направлен</w:t>
      </w:r>
      <w:r>
        <w:rPr>
          <w:rFonts w:ascii="Times New Roman" w:eastAsia="Calibri" w:hAnsi="Times New Roman"/>
          <w:color w:val="262626"/>
          <w:sz w:val="24"/>
          <w:szCs w:val="24"/>
        </w:rPr>
        <w:t>ной</w:t>
      </w:r>
      <w:r w:rsidR="00C67BA9" w:rsidRPr="00C67BA9">
        <w:rPr>
          <w:rFonts w:ascii="Times New Roman" w:eastAsia="Calibri" w:hAnsi="Times New Roman"/>
          <w:color w:val="262626"/>
          <w:sz w:val="24"/>
          <w:szCs w:val="24"/>
        </w:rPr>
        <w:t xml:space="preserve"> на развитие навыков проектного управления, дизайн мышления, управления проектной командой</w:t>
      </w:r>
      <w:r>
        <w:rPr>
          <w:rFonts w:ascii="Times New Roman" w:eastAsia="Calibri" w:hAnsi="Times New Roman"/>
          <w:color w:val="262626"/>
          <w:sz w:val="24"/>
          <w:szCs w:val="24"/>
        </w:rPr>
        <w:t>, проходят обучение</w:t>
      </w:r>
      <w:r w:rsidR="00C67BA9" w:rsidRPr="00C67BA9">
        <w:rPr>
          <w:rFonts w:ascii="Times New Roman" w:eastAsia="Calibri" w:hAnsi="Times New Roman"/>
          <w:color w:val="262626"/>
          <w:sz w:val="24"/>
          <w:szCs w:val="24"/>
        </w:rPr>
        <w:t xml:space="preserve"> 6 сотрудников. Программы «Профессионального факультета» направлены</w:t>
      </w:r>
      <w:r w:rsidR="00C80E8A">
        <w:rPr>
          <w:rFonts w:ascii="Times New Roman" w:eastAsia="Calibri" w:hAnsi="Times New Roman"/>
          <w:color w:val="262626"/>
          <w:sz w:val="24"/>
          <w:szCs w:val="24"/>
        </w:rPr>
        <w:t xml:space="preserve"> на</w:t>
      </w:r>
      <w:r w:rsidR="00C67BA9" w:rsidRPr="00C67BA9">
        <w:rPr>
          <w:rFonts w:ascii="Times New Roman" w:eastAsia="Calibri" w:hAnsi="Times New Roman"/>
          <w:color w:val="262626"/>
          <w:sz w:val="24"/>
          <w:szCs w:val="24"/>
        </w:rPr>
        <w:t xml:space="preserve"> </w:t>
      </w:r>
      <w:r w:rsidR="00C80E8A">
        <w:rPr>
          <w:rFonts w:ascii="Times New Roman" w:eastAsia="Calibri" w:hAnsi="Times New Roman"/>
          <w:color w:val="262626"/>
          <w:sz w:val="24"/>
          <w:szCs w:val="24"/>
        </w:rPr>
        <w:t>углубление знаний и повышение их качества на</w:t>
      </w:r>
      <w:r w:rsidR="00C67BA9" w:rsidRPr="00C67BA9">
        <w:rPr>
          <w:rFonts w:ascii="Times New Roman" w:eastAsia="Calibri" w:hAnsi="Times New Roman"/>
          <w:color w:val="262626"/>
          <w:sz w:val="24"/>
          <w:szCs w:val="24"/>
        </w:rPr>
        <w:t xml:space="preserve"> основных направлениях деятельности НКЦ. В 2017 году </w:t>
      </w:r>
      <w:r w:rsidR="00C80E8A">
        <w:rPr>
          <w:rFonts w:ascii="Times New Roman" w:eastAsia="Calibri" w:hAnsi="Times New Roman"/>
          <w:color w:val="262626"/>
          <w:sz w:val="24"/>
          <w:szCs w:val="24"/>
        </w:rPr>
        <w:t xml:space="preserve">по этим программам </w:t>
      </w:r>
      <w:r w:rsidR="00C67BA9" w:rsidRPr="00C67BA9">
        <w:rPr>
          <w:rFonts w:ascii="Times New Roman" w:eastAsia="Calibri" w:hAnsi="Times New Roman"/>
          <w:color w:val="262626"/>
          <w:sz w:val="24"/>
          <w:szCs w:val="24"/>
        </w:rPr>
        <w:t xml:space="preserve">91 </w:t>
      </w:r>
      <w:r w:rsidR="00C67BA9" w:rsidRPr="00C67BA9">
        <w:rPr>
          <w:rFonts w:ascii="Times New Roman" w:eastAsia="Calibri" w:hAnsi="Times New Roman"/>
          <w:color w:val="262626"/>
          <w:sz w:val="24"/>
          <w:szCs w:val="24"/>
        </w:rPr>
        <w:lastRenderedPageBreak/>
        <w:t xml:space="preserve">работник получил обязательное обучение, из них: повышение квалификации - 13 работников, посещение профильных конференций - 11 работников, профильные семинары и тренинги - 70 работников. </w:t>
      </w:r>
      <w:r w:rsidR="00C80E8A">
        <w:rPr>
          <w:rFonts w:ascii="Times New Roman" w:eastAsia="Calibri" w:hAnsi="Times New Roman"/>
          <w:color w:val="262626"/>
          <w:sz w:val="24"/>
          <w:szCs w:val="24"/>
        </w:rPr>
        <w:t>По п</w:t>
      </w:r>
      <w:r w:rsidR="00C67BA9" w:rsidRPr="00C67BA9">
        <w:rPr>
          <w:rFonts w:ascii="Times New Roman" w:eastAsia="Calibri" w:hAnsi="Times New Roman"/>
          <w:color w:val="262626"/>
          <w:sz w:val="24"/>
          <w:szCs w:val="24"/>
        </w:rPr>
        <w:t>рограмм</w:t>
      </w:r>
      <w:r w:rsidR="00C80E8A">
        <w:rPr>
          <w:rFonts w:ascii="Times New Roman" w:eastAsia="Calibri" w:hAnsi="Times New Roman"/>
          <w:color w:val="262626"/>
          <w:sz w:val="24"/>
          <w:szCs w:val="24"/>
        </w:rPr>
        <w:t>е</w:t>
      </w:r>
      <w:r w:rsidR="00C67BA9" w:rsidRPr="00C67BA9">
        <w:rPr>
          <w:rFonts w:ascii="Times New Roman" w:eastAsia="Calibri" w:hAnsi="Times New Roman"/>
          <w:color w:val="262626"/>
          <w:sz w:val="24"/>
          <w:szCs w:val="24"/>
        </w:rPr>
        <w:t xml:space="preserve"> «Бизнес факультета»</w:t>
      </w:r>
      <w:r w:rsidR="00C80E8A">
        <w:rPr>
          <w:rFonts w:ascii="Times New Roman" w:eastAsia="Calibri" w:hAnsi="Times New Roman"/>
          <w:color w:val="262626"/>
          <w:sz w:val="24"/>
          <w:szCs w:val="24"/>
        </w:rPr>
        <w:t>,</w:t>
      </w:r>
      <w:r w:rsidR="00C67BA9" w:rsidRPr="00C67BA9">
        <w:rPr>
          <w:rFonts w:ascii="Times New Roman" w:eastAsia="Calibri" w:hAnsi="Times New Roman"/>
          <w:color w:val="262626"/>
          <w:sz w:val="24"/>
          <w:szCs w:val="24"/>
        </w:rPr>
        <w:t xml:space="preserve"> ориентирован</w:t>
      </w:r>
      <w:r w:rsidR="00C80E8A">
        <w:rPr>
          <w:rFonts w:ascii="Times New Roman" w:eastAsia="Calibri" w:hAnsi="Times New Roman"/>
          <w:color w:val="262626"/>
          <w:sz w:val="24"/>
          <w:szCs w:val="24"/>
        </w:rPr>
        <w:t>ной</w:t>
      </w:r>
      <w:r w:rsidR="00C67BA9" w:rsidRPr="00C67BA9">
        <w:rPr>
          <w:rFonts w:ascii="Times New Roman" w:eastAsia="Calibri" w:hAnsi="Times New Roman"/>
          <w:color w:val="262626"/>
          <w:sz w:val="24"/>
          <w:szCs w:val="24"/>
        </w:rPr>
        <w:t xml:space="preserve"> на развитие бизнес компетенций у руководителей самостоятельных структурных подразделений</w:t>
      </w:r>
      <w:r w:rsidR="0035690E">
        <w:rPr>
          <w:rFonts w:ascii="Times New Roman" w:eastAsia="Calibri" w:hAnsi="Times New Roman"/>
          <w:color w:val="262626"/>
          <w:sz w:val="24"/>
          <w:szCs w:val="24"/>
        </w:rPr>
        <w:t xml:space="preserve">, обучение проходят </w:t>
      </w:r>
      <w:r w:rsidR="00C67BA9" w:rsidRPr="00C67BA9">
        <w:rPr>
          <w:rFonts w:ascii="Times New Roman" w:eastAsia="Calibri" w:hAnsi="Times New Roman"/>
          <w:color w:val="262626"/>
          <w:sz w:val="24"/>
          <w:szCs w:val="24"/>
        </w:rPr>
        <w:t>5 работников НКЦ.</w:t>
      </w:r>
    </w:p>
    <w:p w14:paraId="01B5FCB3" w14:textId="77777777" w:rsidR="00C67BA9" w:rsidRPr="007962C2" w:rsidRDefault="00C67BA9" w:rsidP="007962C2">
      <w:pPr>
        <w:pStyle w:val="a9"/>
        <w:numPr>
          <w:ilvl w:val="0"/>
          <w:numId w:val="24"/>
        </w:numPr>
        <w:spacing w:after="160"/>
        <w:jc w:val="center"/>
        <w:rPr>
          <w:rFonts w:ascii="Times New Roman" w:hAnsi="Times New Roman"/>
          <w:b/>
          <w:sz w:val="24"/>
          <w:szCs w:val="24"/>
        </w:rPr>
      </w:pPr>
      <w:r w:rsidRPr="007962C2">
        <w:rPr>
          <w:rFonts w:ascii="Times New Roman" w:hAnsi="Times New Roman"/>
          <w:b/>
          <w:sz w:val="24"/>
          <w:szCs w:val="24"/>
        </w:rPr>
        <w:t>Охрана здоровья работников</w:t>
      </w:r>
      <w:r w:rsidR="007962C2" w:rsidRPr="007962C2">
        <w:rPr>
          <w:rFonts w:ascii="Times New Roman" w:hAnsi="Times New Roman"/>
          <w:b/>
          <w:sz w:val="24"/>
          <w:szCs w:val="24"/>
        </w:rPr>
        <w:t xml:space="preserve"> </w:t>
      </w:r>
      <w:r w:rsidR="007962C2">
        <w:rPr>
          <w:rFonts w:ascii="Times New Roman" w:hAnsi="Times New Roman"/>
          <w:b/>
          <w:sz w:val="24"/>
          <w:szCs w:val="24"/>
        </w:rPr>
        <w:t>НКЦ</w:t>
      </w:r>
      <w:r w:rsidRPr="007962C2">
        <w:rPr>
          <w:rFonts w:ascii="Times New Roman" w:hAnsi="Times New Roman"/>
          <w:b/>
          <w:sz w:val="24"/>
          <w:szCs w:val="24"/>
        </w:rPr>
        <w:t xml:space="preserve"> и обеспечение безопасности труда</w:t>
      </w:r>
    </w:p>
    <w:p w14:paraId="3DAC19C6" w14:textId="77777777" w:rsidR="00C67BA9" w:rsidRPr="00C67BA9" w:rsidRDefault="00525D29" w:rsidP="000D500B">
      <w:pPr>
        <w:jc w:val="both"/>
        <w:rPr>
          <w:rFonts w:ascii="Times New Roman" w:eastAsia="Calibri" w:hAnsi="Times New Roman"/>
          <w:sz w:val="24"/>
          <w:szCs w:val="24"/>
        </w:rPr>
      </w:pPr>
      <w:r>
        <w:rPr>
          <w:rFonts w:ascii="Times New Roman" w:eastAsia="Calibri" w:hAnsi="Times New Roman"/>
          <w:sz w:val="28"/>
          <w:szCs w:val="28"/>
        </w:rPr>
        <w:t xml:space="preserve">     </w:t>
      </w:r>
      <w:r w:rsidR="00C67BA9" w:rsidRPr="00C67BA9">
        <w:rPr>
          <w:rFonts w:ascii="Times New Roman" w:eastAsia="Calibri" w:hAnsi="Times New Roman"/>
          <w:color w:val="000000"/>
          <w:sz w:val="24"/>
          <w:szCs w:val="24"/>
        </w:rPr>
        <w:t xml:space="preserve">Ответственное отношение к безопасности труда — один из основных принципов работы НКЦ в области охраны здоровья и безопасности труда работников. </w:t>
      </w:r>
      <w:r w:rsidR="00C67BA9" w:rsidRPr="00C67BA9">
        <w:rPr>
          <w:rFonts w:ascii="Times New Roman" w:eastAsia="Calibri" w:hAnsi="Times New Roman"/>
          <w:bCs/>
          <w:color w:val="000000"/>
          <w:sz w:val="24"/>
          <w:szCs w:val="24"/>
        </w:rPr>
        <w:t>В</w:t>
      </w:r>
      <w:r w:rsidR="00C67BA9" w:rsidRPr="00C67BA9">
        <w:rPr>
          <w:rFonts w:ascii="Times New Roman" w:eastAsia="Calibri" w:hAnsi="Times New Roman"/>
          <w:bCs/>
          <w:color w:val="000000"/>
          <w:sz w:val="24"/>
          <w:szCs w:val="24"/>
          <w:lang w:val="en"/>
        </w:rPr>
        <w:t> </w:t>
      </w:r>
      <w:r w:rsidR="00C67BA9" w:rsidRPr="00C67BA9">
        <w:rPr>
          <w:rFonts w:ascii="Times New Roman" w:eastAsia="Calibri" w:hAnsi="Times New Roman"/>
          <w:bCs/>
          <w:color w:val="000000"/>
          <w:sz w:val="24"/>
          <w:szCs w:val="24"/>
        </w:rPr>
        <w:t>число основных мероприятий по</w:t>
      </w:r>
      <w:r w:rsidR="00C67BA9" w:rsidRPr="00C67BA9">
        <w:rPr>
          <w:rFonts w:ascii="Times New Roman" w:eastAsia="Calibri" w:hAnsi="Times New Roman"/>
          <w:bCs/>
          <w:color w:val="000000"/>
          <w:sz w:val="24"/>
          <w:szCs w:val="24"/>
          <w:lang w:val="en"/>
        </w:rPr>
        <w:t> </w:t>
      </w:r>
      <w:r w:rsidR="00C67BA9" w:rsidRPr="00C67BA9">
        <w:rPr>
          <w:rFonts w:ascii="Times New Roman" w:eastAsia="Calibri" w:hAnsi="Times New Roman"/>
          <w:bCs/>
          <w:color w:val="000000"/>
          <w:sz w:val="24"/>
          <w:szCs w:val="24"/>
        </w:rPr>
        <w:t>охране труда и здоровья работников входят организация безопасных условий труда, регулярные медицинские осмотры, обучение персонала по вопросам охраны труда, формирование культуры заботы о</w:t>
      </w:r>
      <w:r w:rsidR="00C67BA9" w:rsidRPr="00C67BA9">
        <w:rPr>
          <w:rFonts w:ascii="Times New Roman" w:eastAsia="Calibri" w:hAnsi="Times New Roman"/>
          <w:bCs/>
          <w:color w:val="000000"/>
          <w:sz w:val="24"/>
          <w:szCs w:val="24"/>
          <w:lang w:val="en"/>
        </w:rPr>
        <w:t> </w:t>
      </w:r>
      <w:r w:rsidR="00C67BA9" w:rsidRPr="00C67BA9">
        <w:rPr>
          <w:rFonts w:ascii="Times New Roman" w:eastAsia="Calibri" w:hAnsi="Times New Roman"/>
          <w:bCs/>
          <w:color w:val="000000"/>
          <w:sz w:val="24"/>
          <w:szCs w:val="24"/>
        </w:rPr>
        <w:t>своем здоровье.</w:t>
      </w:r>
      <w:r w:rsidR="00C67BA9" w:rsidRPr="00C67BA9">
        <w:rPr>
          <w:rFonts w:ascii="Times New Roman" w:eastAsia="Calibri" w:hAnsi="Times New Roman"/>
          <w:sz w:val="24"/>
          <w:szCs w:val="24"/>
        </w:rPr>
        <w:t xml:space="preserve"> </w:t>
      </w:r>
    </w:p>
    <w:p w14:paraId="0E6583FF" w14:textId="77777777" w:rsidR="00525D29" w:rsidRDefault="00525D29" w:rsidP="000D500B">
      <w:pPr>
        <w:ind w:firstLine="708"/>
        <w:jc w:val="both"/>
        <w:rPr>
          <w:rFonts w:ascii="Times New Roman" w:eastAsia="Calibri" w:hAnsi="Times New Roman"/>
          <w:sz w:val="24"/>
          <w:szCs w:val="24"/>
        </w:rPr>
      </w:pPr>
    </w:p>
    <w:p w14:paraId="6785878E" w14:textId="77777777" w:rsidR="00C67BA9" w:rsidRPr="00C67BA9" w:rsidRDefault="00525D29" w:rsidP="00525D29">
      <w:pPr>
        <w:jc w:val="both"/>
        <w:rPr>
          <w:rFonts w:ascii="Times New Roman" w:eastAsia="Calibri" w:hAnsi="Times New Roman"/>
          <w:sz w:val="24"/>
          <w:szCs w:val="24"/>
        </w:rPr>
      </w:pPr>
      <w:r>
        <w:rPr>
          <w:rFonts w:ascii="Times New Roman" w:eastAsia="Calibri" w:hAnsi="Times New Roman"/>
          <w:sz w:val="24"/>
          <w:szCs w:val="24"/>
        </w:rPr>
        <w:t xml:space="preserve">     </w:t>
      </w:r>
      <w:r w:rsidR="00C67BA9" w:rsidRPr="00C67BA9">
        <w:rPr>
          <w:rFonts w:ascii="Times New Roman" w:eastAsia="Calibri" w:hAnsi="Times New Roman"/>
          <w:sz w:val="24"/>
          <w:szCs w:val="24"/>
        </w:rPr>
        <w:t xml:space="preserve">В </w:t>
      </w:r>
      <w:r w:rsidR="00C67BA9" w:rsidRPr="00C67BA9">
        <w:rPr>
          <w:rFonts w:ascii="Times New Roman" w:eastAsia="Calibri" w:hAnsi="Times New Roman"/>
          <w:color w:val="000000"/>
          <w:sz w:val="24"/>
          <w:szCs w:val="24"/>
        </w:rPr>
        <w:t xml:space="preserve">НКЦ </w:t>
      </w:r>
      <w:r>
        <w:rPr>
          <w:rFonts w:ascii="Times New Roman" w:eastAsia="Calibri" w:hAnsi="Times New Roman"/>
          <w:color w:val="000000"/>
          <w:sz w:val="24"/>
          <w:szCs w:val="24"/>
        </w:rPr>
        <w:t>проводятся регулярные</w:t>
      </w:r>
      <w:r w:rsidR="00C67BA9" w:rsidRPr="00C67BA9">
        <w:rPr>
          <w:rFonts w:ascii="Times New Roman" w:eastAsia="Calibri" w:hAnsi="Times New Roman"/>
          <w:sz w:val="24"/>
          <w:szCs w:val="24"/>
        </w:rPr>
        <w:t xml:space="preserve"> инструктажи по охране труда, электробезопасности, пожарной безопасности, гражданской обороне и чрезвычайным ситуациям. В соответствии с установленной законодательством периодичностью все сотрудники проходят первичный, повторный, внеплановый инструктажи по охране труда на рабочем месте и проверку знаний требований охраны труда. Имеются все виды инструкций и положения по охране труда и пожарной безопасности, с которыми работники могут ознакомиться в любое время на доступном им ресурсе. Работники </w:t>
      </w:r>
      <w:r>
        <w:rPr>
          <w:rFonts w:ascii="Times New Roman" w:eastAsia="Calibri" w:hAnsi="Times New Roman"/>
          <w:color w:val="000000"/>
          <w:sz w:val="24"/>
          <w:szCs w:val="24"/>
        </w:rPr>
        <w:t xml:space="preserve">также </w:t>
      </w:r>
      <w:r w:rsidR="00C67BA9" w:rsidRPr="00C67BA9">
        <w:rPr>
          <w:rFonts w:ascii="Times New Roman" w:eastAsia="Calibri" w:hAnsi="Times New Roman"/>
          <w:sz w:val="24"/>
          <w:szCs w:val="24"/>
        </w:rPr>
        <w:t xml:space="preserve">могут проходить дистанционное обучение по охране труда. </w:t>
      </w:r>
    </w:p>
    <w:p w14:paraId="2D5ADD1A" w14:textId="77777777" w:rsidR="00E74F46" w:rsidRDefault="00C67BA9" w:rsidP="00E74F46">
      <w:pPr>
        <w:jc w:val="both"/>
        <w:rPr>
          <w:rFonts w:ascii="Times New Roman" w:eastAsia="Calibri" w:hAnsi="Times New Roman"/>
          <w:sz w:val="24"/>
          <w:szCs w:val="24"/>
        </w:rPr>
      </w:pPr>
      <w:r w:rsidRPr="00C67BA9">
        <w:rPr>
          <w:rFonts w:ascii="Times New Roman" w:eastAsia="Calibri" w:hAnsi="Times New Roman"/>
          <w:sz w:val="24"/>
          <w:szCs w:val="24"/>
        </w:rPr>
        <w:tab/>
      </w:r>
    </w:p>
    <w:p w14:paraId="1F43E83E" w14:textId="2E1E6394" w:rsidR="00525D29" w:rsidRPr="00C67BA9" w:rsidRDefault="00E74F46" w:rsidP="00E74F46">
      <w:pPr>
        <w:jc w:val="both"/>
        <w:rPr>
          <w:rFonts w:ascii="Times New Roman" w:eastAsia="Calibri" w:hAnsi="Times New Roman"/>
          <w:sz w:val="24"/>
          <w:szCs w:val="24"/>
        </w:rPr>
      </w:pPr>
      <w:r>
        <w:rPr>
          <w:rFonts w:ascii="Times New Roman" w:eastAsia="Calibri" w:hAnsi="Times New Roman"/>
          <w:sz w:val="24"/>
          <w:szCs w:val="24"/>
        </w:rPr>
        <w:t xml:space="preserve">     </w:t>
      </w:r>
      <w:r w:rsidR="00C67BA9" w:rsidRPr="00C67BA9">
        <w:rPr>
          <w:rFonts w:ascii="Times New Roman" w:eastAsia="Calibri" w:hAnsi="Times New Roman"/>
          <w:sz w:val="24"/>
          <w:szCs w:val="24"/>
        </w:rPr>
        <w:t>В 2017 году на базе специализированного учебного</w:t>
      </w:r>
      <w:r w:rsidR="0035690E">
        <w:rPr>
          <w:rFonts w:ascii="Times New Roman" w:eastAsia="Calibri" w:hAnsi="Times New Roman"/>
          <w:sz w:val="24"/>
          <w:szCs w:val="24"/>
        </w:rPr>
        <w:t xml:space="preserve"> центра для 21 руководителя НКЦ</w:t>
      </w:r>
      <w:r w:rsidR="00C67BA9" w:rsidRPr="00C67BA9">
        <w:rPr>
          <w:rFonts w:ascii="Times New Roman" w:eastAsia="Calibri" w:hAnsi="Times New Roman"/>
          <w:sz w:val="24"/>
          <w:szCs w:val="24"/>
        </w:rPr>
        <w:t xml:space="preserve"> было организовано обучение по охране труда. По </w:t>
      </w:r>
      <w:r w:rsidR="00525D29">
        <w:rPr>
          <w:rFonts w:ascii="Times New Roman" w:eastAsia="Calibri" w:hAnsi="Times New Roman"/>
          <w:sz w:val="24"/>
          <w:szCs w:val="24"/>
        </w:rPr>
        <w:t xml:space="preserve">его </w:t>
      </w:r>
      <w:r w:rsidR="00C67BA9" w:rsidRPr="00C67BA9">
        <w:rPr>
          <w:rFonts w:ascii="Times New Roman" w:eastAsia="Calibri" w:hAnsi="Times New Roman"/>
          <w:sz w:val="24"/>
          <w:szCs w:val="24"/>
        </w:rPr>
        <w:t>итогам руководители успешно прошли проверку знаний требований охраны труда.</w:t>
      </w:r>
      <w:r w:rsidR="00525D29">
        <w:rPr>
          <w:rFonts w:ascii="Times New Roman" w:eastAsia="Calibri" w:hAnsi="Times New Roman"/>
          <w:sz w:val="24"/>
          <w:szCs w:val="24"/>
        </w:rPr>
        <w:t xml:space="preserve">  </w:t>
      </w:r>
      <w:r w:rsidR="00C67BA9" w:rsidRPr="00C67BA9">
        <w:rPr>
          <w:rFonts w:ascii="Times New Roman" w:eastAsia="Calibri" w:hAnsi="Times New Roman"/>
          <w:sz w:val="24"/>
          <w:szCs w:val="24"/>
        </w:rPr>
        <w:t xml:space="preserve">По результатам СОУТ все рабочие места работников </w:t>
      </w:r>
      <w:r w:rsidR="00525D29">
        <w:rPr>
          <w:rFonts w:ascii="Times New Roman" w:eastAsia="Calibri" w:hAnsi="Times New Roman"/>
          <w:sz w:val="24"/>
          <w:szCs w:val="24"/>
        </w:rPr>
        <w:t>НКЦ</w:t>
      </w:r>
      <w:r w:rsidR="00C67BA9" w:rsidRPr="00C67BA9">
        <w:rPr>
          <w:rFonts w:ascii="Times New Roman" w:eastAsia="Calibri" w:hAnsi="Times New Roman"/>
          <w:sz w:val="24"/>
          <w:szCs w:val="24"/>
        </w:rPr>
        <w:t xml:space="preserve"> соответствуют государственным нормативным требованиям, с классом условий труда 2 – допустимый (вредные и опасные факторы отсутствуют). Все рабочие места задекларированы. </w:t>
      </w:r>
      <w:r w:rsidR="00525D29" w:rsidRPr="00C67BA9">
        <w:rPr>
          <w:rFonts w:ascii="Times New Roman" w:eastAsia="Calibri" w:hAnsi="Times New Roman"/>
          <w:sz w:val="24"/>
          <w:szCs w:val="24"/>
        </w:rPr>
        <w:t>В 2018 году запланирован запуск новых дистанционных курсов по охране труда, пожарной безопасности и электробезопасности, обучение всех сотрудников правилам оказания первой помощи пострадавшим.</w:t>
      </w:r>
    </w:p>
    <w:p w14:paraId="0B315A9C" w14:textId="77777777" w:rsidR="00525D29" w:rsidRDefault="00C67BA9" w:rsidP="000D500B">
      <w:pPr>
        <w:jc w:val="both"/>
        <w:rPr>
          <w:rFonts w:ascii="Times New Roman" w:eastAsia="Calibri" w:hAnsi="Times New Roman"/>
          <w:sz w:val="24"/>
          <w:szCs w:val="24"/>
        </w:rPr>
      </w:pPr>
      <w:r w:rsidRPr="00C67BA9">
        <w:rPr>
          <w:rFonts w:ascii="Times New Roman" w:eastAsia="Calibri" w:hAnsi="Times New Roman"/>
          <w:sz w:val="24"/>
          <w:szCs w:val="24"/>
        </w:rPr>
        <w:tab/>
      </w:r>
    </w:p>
    <w:p w14:paraId="7F6DBC1B" w14:textId="77777777" w:rsidR="00C67BA9" w:rsidRPr="00C67BA9" w:rsidRDefault="00525D29" w:rsidP="000D500B">
      <w:pPr>
        <w:jc w:val="both"/>
        <w:rPr>
          <w:rFonts w:ascii="Times New Roman" w:eastAsia="Calibri" w:hAnsi="Times New Roman"/>
          <w:sz w:val="24"/>
          <w:szCs w:val="24"/>
        </w:rPr>
      </w:pPr>
      <w:r>
        <w:rPr>
          <w:rFonts w:ascii="Times New Roman" w:eastAsia="Calibri" w:hAnsi="Times New Roman"/>
          <w:sz w:val="24"/>
          <w:szCs w:val="24"/>
        </w:rPr>
        <w:t xml:space="preserve">     </w:t>
      </w:r>
      <w:r w:rsidR="00C67BA9" w:rsidRPr="00C67BA9">
        <w:rPr>
          <w:rFonts w:ascii="Times New Roman" w:eastAsia="Calibri" w:hAnsi="Times New Roman"/>
          <w:sz w:val="24"/>
          <w:szCs w:val="24"/>
        </w:rPr>
        <w:t xml:space="preserve">В 2017 г. на всех рабочих местах был проведен производственный контроль за соблюдением санитарно-противоэпидемических и профилактических мероприятий. В октябре 2017 г. для сотрудников была организована вакцинация от гриппа. В период эпидемии гриппа и ОРВИ сотрудники обеспечивались антисептическими средствами и медицинскими масками. </w:t>
      </w:r>
    </w:p>
    <w:p w14:paraId="2FD642CF" w14:textId="77777777" w:rsidR="00525D29" w:rsidRDefault="00525D29" w:rsidP="000D500B">
      <w:pPr>
        <w:jc w:val="both"/>
        <w:rPr>
          <w:rFonts w:ascii="Times New Roman" w:eastAsia="Calibri" w:hAnsi="Times New Roman"/>
          <w:sz w:val="24"/>
          <w:szCs w:val="24"/>
        </w:rPr>
      </w:pPr>
    </w:p>
    <w:p w14:paraId="49CDC15C" w14:textId="77777777" w:rsidR="00C67BA9" w:rsidRPr="00C67BA9" w:rsidRDefault="00525D29" w:rsidP="000D500B">
      <w:pPr>
        <w:jc w:val="both"/>
        <w:rPr>
          <w:rFonts w:ascii="Times New Roman" w:eastAsia="Calibri" w:hAnsi="Times New Roman"/>
          <w:sz w:val="24"/>
          <w:szCs w:val="24"/>
        </w:rPr>
      </w:pPr>
      <w:r>
        <w:rPr>
          <w:rFonts w:ascii="Times New Roman" w:eastAsia="Calibri" w:hAnsi="Times New Roman"/>
          <w:sz w:val="24"/>
          <w:szCs w:val="24"/>
        </w:rPr>
        <w:t xml:space="preserve">     </w:t>
      </w:r>
      <w:r w:rsidR="00C67BA9" w:rsidRPr="00C67BA9">
        <w:rPr>
          <w:rFonts w:ascii="Times New Roman" w:eastAsia="Calibri" w:hAnsi="Times New Roman"/>
          <w:sz w:val="24"/>
          <w:szCs w:val="24"/>
        </w:rPr>
        <w:t xml:space="preserve">Организованы предрейсовые, предварительные и периодические медицинские осмотры, а также психиатрические освидетельствования категорий сотрудников, для которых это предусмотрено законодательством. </w:t>
      </w:r>
      <w:r>
        <w:rPr>
          <w:rFonts w:ascii="Times New Roman" w:eastAsia="Calibri" w:hAnsi="Times New Roman"/>
          <w:sz w:val="24"/>
          <w:szCs w:val="24"/>
        </w:rPr>
        <w:t>На</w:t>
      </w:r>
      <w:r w:rsidR="00C67BA9" w:rsidRPr="00C67BA9">
        <w:rPr>
          <w:rFonts w:ascii="Times New Roman" w:eastAsia="Calibri" w:hAnsi="Times New Roman"/>
          <w:sz w:val="24"/>
          <w:szCs w:val="24"/>
        </w:rPr>
        <w:t xml:space="preserve"> случа</w:t>
      </w:r>
      <w:r>
        <w:rPr>
          <w:rFonts w:ascii="Times New Roman" w:eastAsia="Calibri" w:hAnsi="Times New Roman"/>
          <w:sz w:val="24"/>
          <w:szCs w:val="24"/>
        </w:rPr>
        <w:t>й оказания</w:t>
      </w:r>
      <w:r w:rsidR="00C67BA9" w:rsidRPr="00C67BA9">
        <w:rPr>
          <w:rFonts w:ascii="Times New Roman" w:eastAsia="Calibri" w:hAnsi="Times New Roman"/>
          <w:sz w:val="24"/>
          <w:szCs w:val="24"/>
        </w:rPr>
        <w:t xml:space="preserve"> экстренн</w:t>
      </w:r>
      <w:r>
        <w:rPr>
          <w:rFonts w:ascii="Times New Roman" w:eastAsia="Calibri" w:hAnsi="Times New Roman"/>
          <w:sz w:val="24"/>
          <w:szCs w:val="24"/>
        </w:rPr>
        <w:t>ой</w:t>
      </w:r>
      <w:r w:rsidR="00C67BA9" w:rsidRPr="00C67BA9">
        <w:rPr>
          <w:rFonts w:ascii="Times New Roman" w:eastAsia="Calibri" w:hAnsi="Times New Roman"/>
          <w:sz w:val="24"/>
          <w:szCs w:val="24"/>
        </w:rPr>
        <w:t xml:space="preserve"> медицинск</w:t>
      </w:r>
      <w:r>
        <w:rPr>
          <w:rFonts w:ascii="Times New Roman" w:eastAsia="Calibri" w:hAnsi="Times New Roman"/>
          <w:sz w:val="24"/>
          <w:szCs w:val="24"/>
        </w:rPr>
        <w:t>ой</w:t>
      </w:r>
      <w:r w:rsidR="00C67BA9" w:rsidRPr="00C67BA9">
        <w:rPr>
          <w:rFonts w:ascii="Times New Roman" w:eastAsia="Calibri" w:hAnsi="Times New Roman"/>
          <w:sz w:val="24"/>
          <w:szCs w:val="24"/>
        </w:rPr>
        <w:t xml:space="preserve"> помощ</w:t>
      </w:r>
      <w:r>
        <w:rPr>
          <w:rFonts w:ascii="Times New Roman" w:eastAsia="Calibri" w:hAnsi="Times New Roman"/>
          <w:sz w:val="24"/>
          <w:szCs w:val="24"/>
        </w:rPr>
        <w:t>и</w:t>
      </w:r>
      <w:r w:rsidR="00C67BA9" w:rsidRPr="00C67BA9">
        <w:rPr>
          <w:rFonts w:ascii="Times New Roman" w:eastAsia="Calibri" w:hAnsi="Times New Roman"/>
          <w:sz w:val="24"/>
          <w:szCs w:val="24"/>
        </w:rPr>
        <w:t xml:space="preserve"> </w:t>
      </w:r>
      <w:r>
        <w:rPr>
          <w:rFonts w:ascii="Times New Roman" w:eastAsia="Calibri" w:hAnsi="Times New Roman"/>
          <w:sz w:val="24"/>
          <w:szCs w:val="24"/>
        </w:rPr>
        <w:t>в офисе в рабочие часы дежурить</w:t>
      </w:r>
      <w:r w:rsidR="00C67BA9" w:rsidRPr="00C67BA9">
        <w:rPr>
          <w:rFonts w:ascii="Times New Roman" w:eastAsia="Calibri" w:hAnsi="Times New Roman"/>
          <w:sz w:val="24"/>
          <w:szCs w:val="24"/>
        </w:rPr>
        <w:t xml:space="preserve"> корпоративн</w:t>
      </w:r>
      <w:r>
        <w:rPr>
          <w:rFonts w:ascii="Times New Roman" w:eastAsia="Calibri" w:hAnsi="Times New Roman"/>
          <w:sz w:val="24"/>
          <w:szCs w:val="24"/>
        </w:rPr>
        <w:t>ый</w:t>
      </w:r>
      <w:r w:rsidR="00C67BA9" w:rsidRPr="00C67BA9">
        <w:rPr>
          <w:rFonts w:ascii="Times New Roman" w:eastAsia="Calibri" w:hAnsi="Times New Roman"/>
          <w:sz w:val="24"/>
          <w:szCs w:val="24"/>
        </w:rPr>
        <w:t xml:space="preserve"> врач. В </w:t>
      </w:r>
      <w:r>
        <w:rPr>
          <w:rFonts w:ascii="Times New Roman" w:eastAsia="Calibri" w:hAnsi="Times New Roman"/>
          <w:sz w:val="24"/>
          <w:szCs w:val="24"/>
        </w:rPr>
        <w:t>здании</w:t>
      </w:r>
      <w:r w:rsidR="00C67BA9" w:rsidRPr="00C67BA9">
        <w:rPr>
          <w:rFonts w:ascii="Times New Roman" w:eastAsia="Calibri" w:hAnsi="Times New Roman"/>
          <w:sz w:val="24"/>
          <w:szCs w:val="24"/>
        </w:rPr>
        <w:t xml:space="preserve"> оборудованы места для отдыха сотрудников, кухни, мини-спортивный зал, установлены кулеры с водой, кофемашины и вендинговые аппараты.  </w:t>
      </w:r>
    </w:p>
    <w:p w14:paraId="757FCF2B" w14:textId="77777777" w:rsidR="00525D29" w:rsidRDefault="00C67BA9" w:rsidP="000D500B">
      <w:pPr>
        <w:jc w:val="both"/>
        <w:rPr>
          <w:rFonts w:ascii="Times New Roman" w:eastAsia="Calibri" w:hAnsi="Times New Roman"/>
          <w:sz w:val="24"/>
          <w:szCs w:val="24"/>
        </w:rPr>
      </w:pPr>
      <w:r w:rsidRPr="00C67BA9">
        <w:rPr>
          <w:rFonts w:ascii="Times New Roman" w:eastAsia="Calibri" w:hAnsi="Times New Roman"/>
          <w:sz w:val="24"/>
          <w:szCs w:val="24"/>
        </w:rPr>
        <w:tab/>
      </w:r>
    </w:p>
    <w:p w14:paraId="433BA247" w14:textId="2B059AEE" w:rsidR="00C67BA9" w:rsidRPr="00C67BA9" w:rsidRDefault="00525D29" w:rsidP="000D500B">
      <w:pPr>
        <w:jc w:val="both"/>
        <w:rPr>
          <w:rFonts w:ascii="Times New Roman" w:eastAsia="Calibri" w:hAnsi="Times New Roman"/>
          <w:sz w:val="24"/>
          <w:szCs w:val="24"/>
        </w:rPr>
      </w:pPr>
      <w:r>
        <w:rPr>
          <w:rFonts w:ascii="Times New Roman" w:eastAsia="Calibri" w:hAnsi="Times New Roman"/>
          <w:sz w:val="24"/>
          <w:szCs w:val="24"/>
        </w:rPr>
        <w:t xml:space="preserve">   </w:t>
      </w:r>
      <w:r w:rsidR="00C67BA9" w:rsidRPr="00C67BA9">
        <w:rPr>
          <w:rFonts w:ascii="Times New Roman" w:eastAsia="Calibri" w:hAnsi="Times New Roman"/>
          <w:sz w:val="24"/>
          <w:szCs w:val="24"/>
        </w:rPr>
        <w:t>В 2017 году в</w:t>
      </w:r>
      <w:r>
        <w:rPr>
          <w:rFonts w:ascii="Times New Roman" w:eastAsia="Calibri" w:hAnsi="Times New Roman"/>
          <w:sz w:val="24"/>
          <w:szCs w:val="24"/>
        </w:rPr>
        <w:t xml:space="preserve"> </w:t>
      </w:r>
      <w:r w:rsidR="0035690E">
        <w:rPr>
          <w:rFonts w:ascii="Times New Roman" w:eastAsia="Calibri" w:hAnsi="Times New Roman"/>
          <w:sz w:val="24"/>
          <w:szCs w:val="24"/>
        </w:rPr>
        <w:t xml:space="preserve">НКЦ </w:t>
      </w:r>
      <w:r w:rsidR="00C67BA9" w:rsidRPr="00C67BA9">
        <w:rPr>
          <w:rFonts w:ascii="Times New Roman" w:eastAsia="Calibri" w:hAnsi="Times New Roman"/>
          <w:sz w:val="24"/>
          <w:szCs w:val="24"/>
        </w:rPr>
        <w:t>не зафиксировано ни одного несчастного случая</w:t>
      </w:r>
      <w:r>
        <w:rPr>
          <w:rFonts w:ascii="Times New Roman" w:eastAsia="Calibri" w:hAnsi="Times New Roman"/>
          <w:sz w:val="24"/>
          <w:szCs w:val="24"/>
        </w:rPr>
        <w:t xml:space="preserve"> на производстве</w:t>
      </w:r>
      <w:r w:rsidR="00C67BA9" w:rsidRPr="00C67BA9">
        <w:rPr>
          <w:rFonts w:ascii="Times New Roman" w:eastAsia="Calibri" w:hAnsi="Times New Roman"/>
          <w:sz w:val="24"/>
          <w:szCs w:val="24"/>
        </w:rPr>
        <w:t>.</w:t>
      </w:r>
    </w:p>
    <w:p w14:paraId="61CD48CB" w14:textId="77777777" w:rsidR="004F536A" w:rsidRPr="004F536A" w:rsidRDefault="004F536A" w:rsidP="004F536A">
      <w:pPr>
        <w:spacing w:after="200" w:line="276" w:lineRule="auto"/>
        <w:rPr>
          <w:rFonts w:asciiTheme="minorHAnsi" w:hAnsiTheme="minorHAnsi" w:cstheme="minorBidi"/>
        </w:rPr>
      </w:pPr>
    </w:p>
    <w:p w14:paraId="1B6E8D22" w14:textId="77777777" w:rsidR="000864BC" w:rsidRPr="00090649" w:rsidRDefault="000864BC" w:rsidP="00266434">
      <w:pPr>
        <w:widowControl w:val="0"/>
        <w:overflowPunct w:val="0"/>
        <w:autoSpaceDE w:val="0"/>
        <w:autoSpaceDN w:val="0"/>
        <w:adjustRightInd w:val="0"/>
        <w:ind w:firstLine="360"/>
        <w:jc w:val="center"/>
        <w:textAlignment w:val="baseline"/>
        <w:outlineLvl w:val="0"/>
        <w:rPr>
          <w:rFonts w:ascii="Times New Roman" w:eastAsia="Times New Roman" w:hAnsi="Times New Roman" w:cs="Arial"/>
          <w:b/>
          <w:sz w:val="32"/>
          <w:szCs w:val="32"/>
          <w:lang w:eastAsia="ru-RU"/>
        </w:rPr>
      </w:pPr>
      <w:bookmarkStart w:id="56" w:name="_Toc510776687"/>
      <w:r w:rsidRPr="00090649">
        <w:rPr>
          <w:rFonts w:ascii="Times New Roman" w:eastAsia="Times New Roman" w:hAnsi="Times New Roman" w:cs="Arial"/>
          <w:b/>
          <w:sz w:val="32"/>
          <w:szCs w:val="32"/>
          <w:lang w:eastAsia="ru-RU"/>
        </w:rPr>
        <w:lastRenderedPageBreak/>
        <w:t>14. О вознаграждении Председателя Правления, членов Правления</w:t>
      </w:r>
      <w:bookmarkEnd w:id="56"/>
    </w:p>
    <w:p w14:paraId="7B290EB7" w14:textId="77777777" w:rsidR="000864BC" w:rsidRPr="001C4679" w:rsidRDefault="000864BC" w:rsidP="00266434">
      <w:pPr>
        <w:widowControl w:val="0"/>
        <w:overflowPunct w:val="0"/>
        <w:autoSpaceDE w:val="0"/>
        <w:autoSpaceDN w:val="0"/>
        <w:adjustRightInd w:val="0"/>
        <w:ind w:firstLine="360"/>
        <w:jc w:val="center"/>
        <w:textAlignment w:val="baseline"/>
        <w:outlineLvl w:val="0"/>
        <w:rPr>
          <w:rFonts w:ascii="Times New Roman" w:eastAsia="Times New Roman" w:hAnsi="Times New Roman" w:cs="Arial"/>
          <w:b/>
          <w:sz w:val="32"/>
          <w:szCs w:val="32"/>
          <w:lang w:eastAsia="ru-RU"/>
        </w:rPr>
      </w:pPr>
      <w:bookmarkStart w:id="57" w:name="_Toc510776688"/>
      <w:r w:rsidRPr="001C4679">
        <w:rPr>
          <w:rFonts w:ascii="Times New Roman" w:eastAsia="Times New Roman" w:hAnsi="Times New Roman" w:cs="Arial"/>
          <w:b/>
          <w:sz w:val="32"/>
          <w:szCs w:val="32"/>
          <w:lang w:eastAsia="ru-RU"/>
        </w:rPr>
        <w:t>и членов Наблюдательного совета</w:t>
      </w:r>
      <w:bookmarkEnd w:id="57"/>
    </w:p>
    <w:p w14:paraId="7126799D" w14:textId="77777777" w:rsidR="000864BC" w:rsidRPr="001C4679" w:rsidRDefault="000864BC" w:rsidP="00266434">
      <w:pPr>
        <w:widowControl w:val="0"/>
        <w:overflowPunct w:val="0"/>
        <w:autoSpaceDE w:val="0"/>
        <w:autoSpaceDN w:val="0"/>
        <w:adjustRightInd w:val="0"/>
        <w:ind w:firstLine="360"/>
        <w:jc w:val="center"/>
        <w:textAlignment w:val="baseline"/>
        <w:outlineLvl w:val="0"/>
        <w:rPr>
          <w:rFonts w:ascii="Times New Roman" w:eastAsia="Times New Roman" w:hAnsi="Times New Roman" w:cs="Arial"/>
          <w:b/>
          <w:sz w:val="32"/>
          <w:szCs w:val="32"/>
          <w:lang w:eastAsia="ru-RU"/>
        </w:rPr>
      </w:pPr>
      <w:bookmarkStart w:id="58" w:name="_Toc510776689"/>
      <w:r w:rsidRPr="001C4679">
        <w:rPr>
          <w:rFonts w:ascii="Times New Roman" w:eastAsia="Times New Roman" w:hAnsi="Times New Roman" w:cs="Arial"/>
          <w:b/>
          <w:sz w:val="32"/>
          <w:szCs w:val="32"/>
          <w:lang w:eastAsia="ru-RU"/>
        </w:rPr>
        <w:t>(критерии определения и размер вознаграждения)</w:t>
      </w:r>
      <w:bookmarkEnd w:id="58"/>
    </w:p>
    <w:p w14:paraId="6C14750B" w14:textId="77777777" w:rsidR="000864BC" w:rsidRPr="000864BC" w:rsidRDefault="000864BC" w:rsidP="000864BC">
      <w:pPr>
        <w:tabs>
          <w:tab w:val="left" w:pos="8820"/>
        </w:tabs>
        <w:ind w:left="2977" w:right="76"/>
        <w:rPr>
          <w:rFonts w:ascii="Times New Roman" w:hAnsi="Times New Roman"/>
          <w:b/>
          <w:sz w:val="28"/>
          <w:szCs w:val="28"/>
        </w:rPr>
      </w:pPr>
    </w:p>
    <w:p w14:paraId="67DB0E52" w14:textId="77777777" w:rsidR="000864BC" w:rsidRPr="000864BC" w:rsidRDefault="000864BC" w:rsidP="000864BC">
      <w:pPr>
        <w:tabs>
          <w:tab w:val="left" w:pos="8820"/>
        </w:tabs>
        <w:ind w:left="2977" w:right="76"/>
        <w:rPr>
          <w:rFonts w:ascii="Times New Roman" w:hAnsi="Times New Roman"/>
          <w:b/>
          <w:sz w:val="28"/>
          <w:szCs w:val="28"/>
        </w:rPr>
      </w:pPr>
      <w:r w:rsidRPr="000864BC">
        <w:rPr>
          <w:rFonts w:ascii="Times New Roman" w:hAnsi="Times New Roman"/>
          <w:b/>
          <w:sz w:val="28"/>
          <w:szCs w:val="28"/>
        </w:rPr>
        <w:t xml:space="preserve">       </w:t>
      </w:r>
    </w:p>
    <w:p w14:paraId="59C14C36" w14:textId="77777777" w:rsidR="000864BC" w:rsidRPr="000864BC" w:rsidRDefault="000864BC" w:rsidP="000864BC">
      <w:pPr>
        <w:tabs>
          <w:tab w:val="left" w:pos="8820"/>
        </w:tabs>
        <w:ind w:right="76"/>
        <w:jc w:val="center"/>
        <w:rPr>
          <w:rFonts w:ascii="Times New Roman" w:hAnsi="Times New Roman"/>
          <w:b/>
          <w:i/>
          <w:sz w:val="24"/>
          <w:szCs w:val="24"/>
        </w:rPr>
      </w:pPr>
      <w:r w:rsidRPr="000864BC">
        <w:rPr>
          <w:rFonts w:ascii="Times New Roman" w:hAnsi="Times New Roman"/>
          <w:b/>
          <w:i/>
          <w:sz w:val="24"/>
          <w:szCs w:val="24"/>
        </w:rPr>
        <w:t>О вознаграждении Председателя Правления и членов Правления</w:t>
      </w:r>
    </w:p>
    <w:p w14:paraId="67958716" w14:textId="77777777" w:rsidR="000864BC" w:rsidRPr="000864BC" w:rsidRDefault="000864BC" w:rsidP="000864BC">
      <w:pPr>
        <w:tabs>
          <w:tab w:val="left" w:pos="8820"/>
        </w:tabs>
        <w:ind w:right="76"/>
        <w:jc w:val="center"/>
        <w:rPr>
          <w:rFonts w:ascii="Times New Roman" w:hAnsi="Times New Roman"/>
          <w:b/>
          <w:i/>
          <w:sz w:val="24"/>
          <w:szCs w:val="24"/>
        </w:rPr>
      </w:pPr>
    </w:p>
    <w:p w14:paraId="6E6C3E2A" w14:textId="77777777" w:rsidR="000864BC" w:rsidRPr="000864BC" w:rsidRDefault="0080708D" w:rsidP="0080708D">
      <w:pPr>
        <w:tabs>
          <w:tab w:val="left" w:pos="8820"/>
        </w:tabs>
        <w:ind w:right="76"/>
        <w:jc w:val="both"/>
        <w:rPr>
          <w:rFonts w:ascii="Times New Roman" w:hAnsi="Times New Roman"/>
          <w:sz w:val="24"/>
          <w:szCs w:val="24"/>
        </w:rPr>
      </w:pPr>
      <w:r>
        <w:rPr>
          <w:rFonts w:ascii="Times New Roman" w:hAnsi="Times New Roman"/>
          <w:sz w:val="24"/>
          <w:szCs w:val="24"/>
        </w:rPr>
        <w:t xml:space="preserve">     </w:t>
      </w:r>
      <w:r w:rsidR="000864BC" w:rsidRPr="000864BC">
        <w:rPr>
          <w:rFonts w:ascii="Times New Roman" w:hAnsi="Times New Roman"/>
          <w:sz w:val="24"/>
          <w:szCs w:val="24"/>
        </w:rPr>
        <w:t xml:space="preserve">Вознаграждение, выплаченное в отчетном 2017 году Председателю Правления  НКЦ  и членам Правления, определялось в соответствии с Федеральным законом «Об акционерных обществах», Трудовым кодексом Российской Федерации, Уставом Банка, требованиями регулятора, в том числе Инструкцией Банка России от 17.06.2014 № 154-И «О порядке оценки системы оплаты труда в кредитной организации и порядке направления в кредитную организацию предписания об устранении нарушения в ее системе оплаты труда», условиями заключенных с ними трудовых договоров, внутренними документами </w:t>
      </w:r>
      <w:r>
        <w:rPr>
          <w:rFonts w:ascii="Times New Roman" w:hAnsi="Times New Roman"/>
          <w:sz w:val="24"/>
          <w:szCs w:val="24"/>
        </w:rPr>
        <w:t>Общества</w:t>
      </w:r>
      <w:r w:rsidR="000864BC" w:rsidRPr="000864BC">
        <w:rPr>
          <w:rFonts w:ascii="Times New Roman" w:hAnsi="Times New Roman"/>
          <w:sz w:val="24"/>
          <w:szCs w:val="24"/>
        </w:rPr>
        <w:t>.</w:t>
      </w:r>
    </w:p>
    <w:p w14:paraId="4999D608" w14:textId="77777777" w:rsidR="0080708D" w:rsidRDefault="0080708D" w:rsidP="0080708D">
      <w:pPr>
        <w:tabs>
          <w:tab w:val="left" w:pos="8820"/>
        </w:tabs>
        <w:ind w:right="76"/>
        <w:jc w:val="both"/>
        <w:rPr>
          <w:rFonts w:ascii="Times New Roman" w:hAnsi="Times New Roman"/>
          <w:sz w:val="24"/>
          <w:szCs w:val="24"/>
        </w:rPr>
      </w:pPr>
      <w:r>
        <w:rPr>
          <w:rFonts w:ascii="Times New Roman" w:hAnsi="Times New Roman"/>
          <w:sz w:val="24"/>
          <w:szCs w:val="24"/>
        </w:rPr>
        <w:t xml:space="preserve">     </w:t>
      </w:r>
    </w:p>
    <w:p w14:paraId="2DB4C5A7" w14:textId="2DBFAD08" w:rsidR="0080708D" w:rsidRDefault="0080708D" w:rsidP="0080708D">
      <w:pPr>
        <w:tabs>
          <w:tab w:val="left" w:pos="8820"/>
        </w:tabs>
        <w:ind w:right="76"/>
        <w:jc w:val="both"/>
        <w:rPr>
          <w:rFonts w:ascii="Times New Roman" w:hAnsi="Times New Roman"/>
          <w:sz w:val="24"/>
          <w:szCs w:val="24"/>
        </w:rPr>
      </w:pPr>
      <w:r>
        <w:rPr>
          <w:rFonts w:ascii="Times New Roman" w:hAnsi="Times New Roman"/>
          <w:sz w:val="24"/>
          <w:szCs w:val="24"/>
        </w:rPr>
        <w:t xml:space="preserve">     </w:t>
      </w:r>
      <w:r w:rsidR="000864BC" w:rsidRPr="000864BC">
        <w:rPr>
          <w:rFonts w:ascii="Times New Roman" w:hAnsi="Times New Roman"/>
          <w:sz w:val="24"/>
          <w:szCs w:val="24"/>
        </w:rPr>
        <w:t xml:space="preserve">Утверждение соотношения фиксированной и нефиксированной частей оплаты труда в общем размере вознаграждения, утверждение размеров вознаграждения и иных выплат, членам коллегиальных органов НКЦ, оценка их деятельности относится к компетенции Наблюдательного совета НКЦ по рекомендациям Комитета по назначениям и вознаграждениям Наблюдательного совета </w:t>
      </w:r>
      <w:r>
        <w:rPr>
          <w:rFonts w:ascii="Times New Roman" w:hAnsi="Times New Roman"/>
          <w:sz w:val="24"/>
          <w:szCs w:val="24"/>
        </w:rPr>
        <w:t>Общества</w:t>
      </w:r>
      <w:r w:rsidR="000864BC" w:rsidRPr="000864BC">
        <w:rPr>
          <w:rFonts w:ascii="Times New Roman" w:hAnsi="Times New Roman"/>
          <w:sz w:val="24"/>
          <w:szCs w:val="24"/>
        </w:rPr>
        <w:t>.</w:t>
      </w:r>
    </w:p>
    <w:p w14:paraId="0B0F5BDB" w14:textId="77777777" w:rsidR="0080708D" w:rsidRDefault="0080708D" w:rsidP="0080708D">
      <w:pPr>
        <w:tabs>
          <w:tab w:val="left" w:pos="8820"/>
        </w:tabs>
        <w:ind w:right="76"/>
        <w:jc w:val="both"/>
        <w:rPr>
          <w:rFonts w:ascii="Times New Roman" w:hAnsi="Times New Roman"/>
          <w:sz w:val="24"/>
          <w:szCs w:val="24"/>
        </w:rPr>
      </w:pPr>
      <w:r>
        <w:rPr>
          <w:rFonts w:ascii="Times New Roman" w:hAnsi="Times New Roman"/>
          <w:sz w:val="24"/>
          <w:szCs w:val="24"/>
        </w:rPr>
        <w:t xml:space="preserve">     </w:t>
      </w:r>
    </w:p>
    <w:p w14:paraId="67439F46" w14:textId="2D5DD497" w:rsidR="000864BC" w:rsidRPr="000864BC" w:rsidRDefault="0080708D" w:rsidP="0080708D">
      <w:pPr>
        <w:tabs>
          <w:tab w:val="left" w:pos="8820"/>
        </w:tabs>
        <w:ind w:right="76"/>
        <w:jc w:val="both"/>
        <w:rPr>
          <w:rFonts w:ascii="Times New Roman" w:hAnsi="Times New Roman"/>
          <w:sz w:val="24"/>
          <w:szCs w:val="24"/>
        </w:rPr>
      </w:pPr>
      <w:r>
        <w:rPr>
          <w:rFonts w:ascii="Times New Roman" w:hAnsi="Times New Roman"/>
          <w:sz w:val="24"/>
          <w:szCs w:val="24"/>
        </w:rPr>
        <w:t xml:space="preserve">     </w:t>
      </w:r>
      <w:r w:rsidR="000864BC" w:rsidRPr="000864BC">
        <w:rPr>
          <w:rFonts w:ascii="Times New Roman" w:hAnsi="Times New Roman"/>
          <w:sz w:val="24"/>
          <w:szCs w:val="24"/>
        </w:rPr>
        <w:t>Система вознаграждения членов исполнительных органов нацелена на достижение оптимального баланса между зависимостью вознаграждения от результатов деятельности НКЦ и от личного вклада каждого члена исполнительного органа в достижение этого результата. Структура элементов вознаграждения и их соотношение устанавливается Наблюдательным советом как проценты в целевом общем размере вознаграждений и дифференцировано в зависимости от степени влияния члена исполнительного органа на финансовые показатели Общества уровень, а также с учетом принимаемых рисков при осуществлении деятельности на должности.</w:t>
      </w:r>
    </w:p>
    <w:p w14:paraId="28421B8B" w14:textId="77777777" w:rsidR="0080708D" w:rsidRDefault="0080708D" w:rsidP="0080708D">
      <w:pPr>
        <w:tabs>
          <w:tab w:val="left" w:pos="8820"/>
        </w:tabs>
        <w:ind w:right="76"/>
        <w:jc w:val="both"/>
        <w:rPr>
          <w:rFonts w:ascii="Times New Roman" w:hAnsi="Times New Roman"/>
          <w:sz w:val="24"/>
          <w:szCs w:val="24"/>
        </w:rPr>
      </w:pPr>
      <w:r>
        <w:rPr>
          <w:rFonts w:ascii="Times New Roman" w:hAnsi="Times New Roman"/>
          <w:sz w:val="24"/>
          <w:szCs w:val="24"/>
        </w:rPr>
        <w:t xml:space="preserve">     </w:t>
      </w:r>
    </w:p>
    <w:p w14:paraId="0B27788B" w14:textId="77777777" w:rsidR="000864BC" w:rsidRPr="000864BC" w:rsidRDefault="0080708D" w:rsidP="0080708D">
      <w:pPr>
        <w:tabs>
          <w:tab w:val="left" w:pos="8820"/>
        </w:tabs>
        <w:ind w:right="76"/>
        <w:jc w:val="both"/>
        <w:rPr>
          <w:rFonts w:ascii="Times New Roman" w:hAnsi="Times New Roman"/>
          <w:sz w:val="24"/>
          <w:szCs w:val="24"/>
        </w:rPr>
      </w:pPr>
      <w:r>
        <w:rPr>
          <w:rFonts w:ascii="Times New Roman" w:hAnsi="Times New Roman"/>
          <w:sz w:val="24"/>
          <w:szCs w:val="24"/>
        </w:rPr>
        <w:t xml:space="preserve">     </w:t>
      </w:r>
      <w:r w:rsidR="000864BC" w:rsidRPr="000864BC">
        <w:rPr>
          <w:rFonts w:ascii="Times New Roman" w:hAnsi="Times New Roman"/>
          <w:sz w:val="24"/>
          <w:szCs w:val="24"/>
        </w:rPr>
        <w:t>Одним из основных элементов вознаграждения, в том числе членов исполнительных органов, является нефиксированная часть (далее - годовая премия или годовой бонус). Размер годовой премии Председателя Правления и членов Правления зависит, в том числе,  от оценки достижения (результатов выполнения) общекорпоративных ключевых показателей эффективности деятельности (целей)  и оценки достижения индивидуальных ключевых показателей эффективности деятельности (целей) (результатов деятельности) Председателя Правления и членов Правления за отчетный год, результатов оценки рисков в отношении отсроченных (рассроченных) частей годовой премии, а также от оценка качества работы, в том числе с учетом данных финансовой и бухгалтерской отчетности, данных оперативного учета, результатов проверок внутренних/внешних аудиторов и регулирующих органов, результатов оценки рисков, выполнения поручений Наблюдательного совета НКЦ и его комиссий и прочих факторов. Для поддержания баланса между общекорпоративными (финансовыми, стратегическими) и индивидуальными целями совокупный вес общекорпоративных целей в 2017 году составлял 40% в общем (100%) весе всех целей членов коллегиальных исполнительных органов.</w:t>
      </w:r>
    </w:p>
    <w:p w14:paraId="04482632" w14:textId="77777777" w:rsidR="0080708D" w:rsidRDefault="0080708D" w:rsidP="0080708D">
      <w:pPr>
        <w:tabs>
          <w:tab w:val="left" w:pos="8820"/>
        </w:tabs>
        <w:ind w:right="76"/>
        <w:jc w:val="both"/>
        <w:rPr>
          <w:rFonts w:ascii="Times New Roman" w:hAnsi="Times New Roman"/>
          <w:sz w:val="24"/>
          <w:szCs w:val="24"/>
        </w:rPr>
      </w:pPr>
      <w:r>
        <w:rPr>
          <w:rFonts w:ascii="Times New Roman" w:hAnsi="Times New Roman"/>
          <w:sz w:val="24"/>
          <w:szCs w:val="24"/>
        </w:rPr>
        <w:lastRenderedPageBreak/>
        <w:t xml:space="preserve">     </w:t>
      </w:r>
    </w:p>
    <w:p w14:paraId="5EEDFA65" w14:textId="4CFC311D" w:rsidR="000864BC" w:rsidRPr="000864BC" w:rsidRDefault="0080708D" w:rsidP="0080708D">
      <w:pPr>
        <w:tabs>
          <w:tab w:val="left" w:pos="8820"/>
        </w:tabs>
        <w:ind w:right="76"/>
        <w:jc w:val="both"/>
        <w:rPr>
          <w:rFonts w:ascii="Times New Roman" w:hAnsi="Times New Roman"/>
          <w:sz w:val="24"/>
          <w:szCs w:val="24"/>
        </w:rPr>
      </w:pPr>
      <w:r>
        <w:rPr>
          <w:rFonts w:ascii="Times New Roman" w:hAnsi="Times New Roman"/>
          <w:sz w:val="24"/>
          <w:szCs w:val="24"/>
        </w:rPr>
        <w:t xml:space="preserve">      </w:t>
      </w:r>
      <w:r w:rsidR="000864BC" w:rsidRPr="000864BC">
        <w:rPr>
          <w:rFonts w:ascii="Times New Roman" w:hAnsi="Times New Roman"/>
          <w:sz w:val="24"/>
          <w:szCs w:val="24"/>
        </w:rPr>
        <w:t>По результатам подведения Наблюдательным советом НКЦ итогов 20</w:t>
      </w:r>
      <w:r w:rsidR="0035690E">
        <w:rPr>
          <w:rFonts w:ascii="Times New Roman" w:hAnsi="Times New Roman"/>
          <w:sz w:val="24"/>
          <w:szCs w:val="24"/>
        </w:rPr>
        <w:t>17 года, Председателю Правления</w:t>
      </w:r>
      <w:r w:rsidR="000864BC" w:rsidRPr="000864BC">
        <w:rPr>
          <w:rFonts w:ascii="Times New Roman" w:hAnsi="Times New Roman"/>
          <w:sz w:val="24"/>
          <w:szCs w:val="24"/>
        </w:rPr>
        <w:t xml:space="preserve"> и членам Правления будет выплачено 60% от утвержденного годовой премии по итогам года. К 40% от утвержденного размера годовой премии по результатам деятельности Председателя Правления и членов Правления за 2017 год применяется отсрочка (рассрочка) на три года, включая возможность сокращения или отмены выплаты при получении негативного финанс</w:t>
      </w:r>
      <w:r w:rsidR="0035690E">
        <w:rPr>
          <w:rFonts w:ascii="Times New Roman" w:hAnsi="Times New Roman"/>
          <w:sz w:val="24"/>
          <w:szCs w:val="24"/>
        </w:rPr>
        <w:t>ового результата в целом по НКЦ</w:t>
      </w:r>
      <w:r w:rsidR="000864BC" w:rsidRPr="000864BC">
        <w:rPr>
          <w:rFonts w:ascii="Times New Roman" w:hAnsi="Times New Roman"/>
          <w:sz w:val="24"/>
          <w:szCs w:val="24"/>
        </w:rPr>
        <w:t xml:space="preserve"> в порядке и на условиях, утверждаемых Наблюдательным советом. </w:t>
      </w:r>
    </w:p>
    <w:p w14:paraId="6AABD14D" w14:textId="77777777" w:rsidR="0080708D" w:rsidRDefault="0080708D" w:rsidP="0080708D">
      <w:pPr>
        <w:tabs>
          <w:tab w:val="left" w:pos="8820"/>
        </w:tabs>
        <w:ind w:right="76"/>
        <w:jc w:val="both"/>
        <w:rPr>
          <w:rFonts w:ascii="Times New Roman" w:hAnsi="Times New Roman"/>
          <w:sz w:val="24"/>
          <w:szCs w:val="24"/>
        </w:rPr>
      </w:pPr>
    </w:p>
    <w:p w14:paraId="5C89644B" w14:textId="34A849E0" w:rsidR="000864BC" w:rsidRPr="000864BC" w:rsidRDefault="0080708D" w:rsidP="0080708D">
      <w:pPr>
        <w:tabs>
          <w:tab w:val="left" w:pos="8820"/>
        </w:tabs>
        <w:ind w:right="76"/>
        <w:jc w:val="both"/>
        <w:rPr>
          <w:rFonts w:ascii="Times New Roman" w:hAnsi="Times New Roman"/>
          <w:sz w:val="24"/>
          <w:szCs w:val="24"/>
        </w:rPr>
      </w:pPr>
      <w:r>
        <w:rPr>
          <w:rFonts w:ascii="Times New Roman" w:hAnsi="Times New Roman"/>
          <w:sz w:val="24"/>
          <w:szCs w:val="24"/>
        </w:rPr>
        <w:t xml:space="preserve">     </w:t>
      </w:r>
      <w:r w:rsidR="000864BC" w:rsidRPr="000864BC">
        <w:rPr>
          <w:rFonts w:ascii="Times New Roman" w:hAnsi="Times New Roman"/>
          <w:sz w:val="24"/>
          <w:szCs w:val="24"/>
        </w:rPr>
        <w:t>Отсроченные (рассроченные) части годовой премии (далее – отсроченные части) выплачиваются в соответствии с утвержденн</w:t>
      </w:r>
      <w:r w:rsidR="0035690E">
        <w:rPr>
          <w:rFonts w:ascii="Times New Roman" w:hAnsi="Times New Roman"/>
          <w:sz w:val="24"/>
          <w:szCs w:val="24"/>
        </w:rPr>
        <w:t xml:space="preserve">ыми Наблюдательным советом НКЦ </w:t>
      </w:r>
      <w:r w:rsidR="000864BC" w:rsidRPr="000864BC">
        <w:rPr>
          <w:rFonts w:ascii="Times New Roman" w:hAnsi="Times New Roman"/>
          <w:sz w:val="24"/>
          <w:szCs w:val="24"/>
        </w:rPr>
        <w:t>размерами долей отсроченной (рассроченной) части годовой премии за каждый отчетный год (до последующих корректировок) по срокам выплаты (начисления) по прошествии периодов, достаточных для определения результатов деятельности. В случае реализации рисков применяется корректировка ко всем отсроченным (рассроченным) с предыдущих периодов частям годовой премии, оценка которых происходит в текущем периоде.</w:t>
      </w:r>
      <w:r w:rsidR="000864BC" w:rsidRPr="000864BC">
        <w:rPr>
          <w:rFonts w:ascii="Times New Roman" w:hAnsi="Times New Roman"/>
          <w:bCs/>
          <w:sz w:val="24"/>
          <w:szCs w:val="24"/>
        </w:rPr>
        <w:t xml:space="preserve"> Для корректировки отсроченных частей годовой премии применяется оценка реализации следующих видов рисков: кредитного, рыночного и риска ликвидности.</w:t>
      </w:r>
    </w:p>
    <w:p w14:paraId="1DD96B9D" w14:textId="77777777" w:rsidR="000864BC" w:rsidRPr="000864BC" w:rsidRDefault="000864BC" w:rsidP="000864BC">
      <w:pPr>
        <w:tabs>
          <w:tab w:val="left" w:pos="8820"/>
        </w:tabs>
        <w:ind w:right="76" w:firstLine="567"/>
        <w:jc w:val="both"/>
        <w:rPr>
          <w:rFonts w:ascii="Times New Roman" w:hAnsi="Times New Roman"/>
          <w:bCs/>
          <w:sz w:val="24"/>
          <w:szCs w:val="24"/>
        </w:rPr>
      </w:pPr>
    </w:p>
    <w:p w14:paraId="39021BC2" w14:textId="4B626EFD" w:rsidR="000864BC" w:rsidRPr="000864BC" w:rsidRDefault="00E74F46" w:rsidP="00E74F46">
      <w:pPr>
        <w:tabs>
          <w:tab w:val="left" w:pos="8820"/>
        </w:tabs>
        <w:ind w:right="76"/>
        <w:jc w:val="both"/>
        <w:rPr>
          <w:rFonts w:ascii="Times New Roman" w:hAnsi="Times New Roman"/>
          <w:sz w:val="24"/>
          <w:szCs w:val="24"/>
        </w:rPr>
      </w:pPr>
      <w:r>
        <w:rPr>
          <w:rFonts w:ascii="Times New Roman" w:hAnsi="Times New Roman"/>
          <w:bCs/>
          <w:sz w:val="24"/>
          <w:szCs w:val="24"/>
        </w:rPr>
        <w:t xml:space="preserve">     </w:t>
      </w:r>
      <w:r w:rsidR="000864BC" w:rsidRPr="000864BC">
        <w:rPr>
          <w:rFonts w:ascii="Times New Roman" w:hAnsi="Times New Roman"/>
          <w:bCs/>
          <w:sz w:val="24"/>
          <w:szCs w:val="24"/>
        </w:rPr>
        <w:t xml:space="preserve">В марте 2017 году по результатам оценки реализации рисков за 2016 г. и на основании соответствующего решения Наблюдательного совета НКЦ осуществлена выплата </w:t>
      </w:r>
      <w:r w:rsidR="000864BC" w:rsidRPr="000864BC">
        <w:rPr>
          <w:rFonts w:ascii="Times New Roman" w:hAnsi="Times New Roman"/>
          <w:sz w:val="24"/>
          <w:szCs w:val="24"/>
        </w:rPr>
        <w:t xml:space="preserve">Председателю Правления и членам Правления </w:t>
      </w:r>
      <w:r w:rsidR="000864BC" w:rsidRPr="000864BC">
        <w:rPr>
          <w:rFonts w:ascii="Times New Roman" w:hAnsi="Times New Roman"/>
          <w:bCs/>
          <w:sz w:val="24"/>
          <w:szCs w:val="24"/>
        </w:rPr>
        <w:t>первой доли отсроченной части их годовой премии за отчетный 2015 год в полном объеме (</w:t>
      </w:r>
      <w:r w:rsidR="000864BC" w:rsidRPr="000864BC">
        <w:rPr>
          <w:rFonts w:ascii="Times New Roman" w:hAnsi="Times New Roman"/>
          <w:sz w:val="24"/>
          <w:szCs w:val="24"/>
        </w:rPr>
        <w:t>89% от общего размера отсроченной (рассроченной) части годовой премии за 2015 г</w:t>
      </w:r>
      <w:r w:rsidR="000864BC" w:rsidRPr="000864BC">
        <w:rPr>
          <w:rFonts w:ascii="Times New Roman" w:hAnsi="Times New Roman"/>
          <w:bCs/>
          <w:sz w:val="24"/>
          <w:szCs w:val="24"/>
        </w:rPr>
        <w:t>.).</w:t>
      </w:r>
    </w:p>
    <w:p w14:paraId="20EFC462" w14:textId="77777777" w:rsidR="000864BC" w:rsidRPr="000864BC" w:rsidRDefault="000864BC" w:rsidP="00E74F46">
      <w:pPr>
        <w:tabs>
          <w:tab w:val="left" w:pos="8820"/>
        </w:tabs>
        <w:ind w:right="76" w:firstLine="567"/>
        <w:jc w:val="both"/>
        <w:rPr>
          <w:rFonts w:ascii="Times New Roman" w:hAnsi="Times New Roman"/>
          <w:sz w:val="24"/>
          <w:szCs w:val="24"/>
        </w:rPr>
      </w:pPr>
    </w:p>
    <w:p w14:paraId="294DB473" w14:textId="03B15FAE" w:rsidR="001472BC" w:rsidRDefault="00E74F46" w:rsidP="00E74F46">
      <w:pPr>
        <w:tabs>
          <w:tab w:val="left" w:pos="8820"/>
        </w:tabs>
        <w:ind w:right="76"/>
        <w:jc w:val="both"/>
        <w:rPr>
          <w:rFonts w:ascii="Times New Roman" w:hAnsi="Times New Roman"/>
          <w:sz w:val="24"/>
          <w:szCs w:val="24"/>
        </w:rPr>
      </w:pPr>
      <w:r>
        <w:rPr>
          <w:rFonts w:ascii="Times New Roman" w:hAnsi="Times New Roman"/>
          <w:sz w:val="24"/>
          <w:szCs w:val="24"/>
        </w:rPr>
        <w:t xml:space="preserve">     </w:t>
      </w:r>
      <w:r w:rsidR="000864BC" w:rsidRPr="000864BC">
        <w:rPr>
          <w:rFonts w:ascii="Times New Roman" w:hAnsi="Times New Roman"/>
          <w:sz w:val="24"/>
          <w:szCs w:val="24"/>
        </w:rPr>
        <w:t xml:space="preserve">Сумма всех выплат (заработная плата, премии, компенсация расходов и другие выплаты), осуществленных Председателю Правления и членам Правления </w:t>
      </w:r>
      <w:r w:rsidR="0080708D">
        <w:rPr>
          <w:rFonts w:ascii="Times New Roman" w:hAnsi="Times New Roman"/>
          <w:sz w:val="24"/>
          <w:szCs w:val="24"/>
        </w:rPr>
        <w:t>НКЦ</w:t>
      </w:r>
      <w:r w:rsidR="000864BC" w:rsidRPr="000864BC">
        <w:rPr>
          <w:rFonts w:ascii="Times New Roman" w:hAnsi="Times New Roman"/>
          <w:sz w:val="24"/>
          <w:szCs w:val="24"/>
        </w:rPr>
        <w:t xml:space="preserve"> в 2017 году, составила</w:t>
      </w:r>
      <w:r w:rsidR="00C65E72">
        <w:rPr>
          <w:rFonts w:ascii="Times New Roman" w:hAnsi="Times New Roman"/>
          <w:sz w:val="24"/>
          <w:szCs w:val="24"/>
        </w:rPr>
        <w:t xml:space="preserve"> </w:t>
      </w:r>
      <w:r w:rsidR="00C65E72" w:rsidRPr="00C65E72">
        <w:rPr>
          <w:rFonts w:ascii="Times New Roman" w:hAnsi="Times New Roman"/>
          <w:sz w:val="24"/>
          <w:szCs w:val="24"/>
        </w:rPr>
        <w:t xml:space="preserve">93 794,5 </w:t>
      </w:r>
      <w:r w:rsidR="00C65E72" w:rsidRPr="00C65E72">
        <w:rPr>
          <w:rFonts w:ascii="Times New Roman" w:hAnsi="Times New Roman"/>
          <w:color w:val="000000"/>
          <w:sz w:val="24"/>
          <w:szCs w:val="24"/>
        </w:rPr>
        <w:t>тыс.</w:t>
      </w:r>
      <w:r w:rsidR="00C65E72">
        <w:rPr>
          <w:rFonts w:ascii="Times New Roman" w:hAnsi="Times New Roman"/>
          <w:sz w:val="24"/>
          <w:szCs w:val="24"/>
        </w:rPr>
        <w:t xml:space="preserve"> рублей </w:t>
      </w:r>
      <w:r w:rsidR="000864BC" w:rsidRPr="000864BC">
        <w:rPr>
          <w:rFonts w:ascii="Times New Roman" w:hAnsi="Times New Roman"/>
          <w:sz w:val="24"/>
          <w:szCs w:val="24"/>
        </w:rPr>
        <w:t>(в 2016 год</w:t>
      </w:r>
      <w:r w:rsidR="00C65E72">
        <w:rPr>
          <w:rFonts w:ascii="Times New Roman" w:hAnsi="Times New Roman"/>
          <w:sz w:val="24"/>
          <w:szCs w:val="24"/>
        </w:rPr>
        <w:t xml:space="preserve"> - </w:t>
      </w:r>
      <w:r w:rsidR="000864BC" w:rsidRPr="000864BC">
        <w:rPr>
          <w:rFonts w:ascii="Times New Roman" w:hAnsi="Times New Roman"/>
          <w:sz w:val="24"/>
          <w:szCs w:val="24"/>
        </w:rPr>
        <w:t>92 369,6 тыс. рублей; в 2015 году</w:t>
      </w:r>
      <w:r w:rsidR="00C65E72">
        <w:rPr>
          <w:rFonts w:ascii="Times New Roman" w:hAnsi="Times New Roman"/>
          <w:sz w:val="24"/>
          <w:szCs w:val="24"/>
        </w:rPr>
        <w:t xml:space="preserve"> -</w:t>
      </w:r>
      <w:r w:rsidR="000864BC" w:rsidRPr="000864BC">
        <w:rPr>
          <w:rFonts w:ascii="Times New Roman" w:hAnsi="Times New Roman"/>
          <w:sz w:val="24"/>
          <w:szCs w:val="24"/>
        </w:rPr>
        <w:t xml:space="preserve"> 112 578,6 тыс. рублей). </w:t>
      </w:r>
    </w:p>
    <w:p w14:paraId="2510793E" w14:textId="77777777" w:rsidR="00086C2C" w:rsidRDefault="00086C2C" w:rsidP="00E74F46">
      <w:pPr>
        <w:tabs>
          <w:tab w:val="left" w:pos="8820"/>
        </w:tabs>
        <w:ind w:right="76" w:firstLine="567"/>
        <w:jc w:val="both"/>
        <w:rPr>
          <w:rFonts w:ascii="Times New Roman" w:hAnsi="Times New Roman"/>
          <w:sz w:val="24"/>
          <w:szCs w:val="24"/>
        </w:rPr>
      </w:pPr>
    </w:p>
    <w:p w14:paraId="040814B9" w14:textId="77777777" w:rsidR="00086C2C" w:rsidRDefault="00086C2C" w:rsidP="00086C2C">
      <w:pPr>
        <w:overflowPunct w:val="0"/>
        <w:autoSpaceDE w:val="0"/>
        <w:autoSpaceDN w:val="0"/>
        <w:ind w:right="76"/>
        <w:jc w:val="center"/>
        <w:textAlignment w:val="baseline"/>
        <w:rPr>
          <w:rFonts w:ascii="Times New Roman" w:hAnsi="Times New Roman"/>
          <w:b/>
          <w:bCs/>
          <w:i/>
          <w:iCs/>
          <w:sz w:val="24"/>
          <w:szCs w:val="24"/>
          <w:lang w:eastAsia="ru-RU"/>
        </w:rPr>
      </w:pPr>
    </w:p>
    <w:p w14:paraId="46B039E0" w14:textId="77777777" w:rsidR="000F4ADC" w:rsidRDefault="000F4ADC" w:rsidP="00086C2C">
      <w:pPr>
        <w:overflowPunct w:val="0"/>
        <w:autoSpaceDE w:val="0"/>
        <w:autoSpaceDN w:val="0"/>
        <w:ind w:right="76"/>
        <w:jc w:val="center"/>
        <w:textAlignment w:val="baseline"/>
        <w:rPr>
          <w:rFonts w:ascii="Times New Roman" w:hAnsi="Times New Roman"/>
          <w:b/>
          <w:bCs/>
          <w:i/>
          <w:iCs/>
          <w:sz w:val="24"/>
          <w:szCs w:val="24"/>
          <w:lang w:eastAsia="ru-RU"/>
        </w:rPr>
      </w:pPr>
    </w:p>
    <w:p w14:paraId="450F9E7A" w14:textId="77777777" w:rsidR="00086C2C" w:rsidRDefault="00086C2C" w:rsidP="00086C2C">
      <w:pPr>
        <w:overflowPunct w:val="0"/>
        <w:autoSpaceDE w:val="0"/>
        <w:autoSpaceDN w:val="0"/>
        <w:ind w:right="76"/>
        <w:jc w:val="center"/>
        <w:textAlignment w:val="baseline"/>
        <w:rPr>
          <w:rFonts w:ascii="Times New Roman" w:hAnsi="Times New Roman"/>
          <w:b/>
          <w:bCs/>
          <w:i/>
          <w:iCs/>
          <w:sz w:val="24"/>
          <w:szCs w:val="24"/>
          <w:lang w:eastAsia="ru-RU"/>
        </w:rPr>
      </w:pPr>
      <w:r>
        <w:rPr>
          <w:rFonts w:ascii="Times New Roman" w:hAnsi="Times New Roman"/>
          <w:b/>
          <w:bCs/>
          <w:i/>
          <w:iCs/>
          <w:sz w:val="24"/>
          <w:szCs w:val="24"/>
          <w:lang w:eastAsia="ru-RU"/>
        </w:rPr>
        <w:t>О вознаграждении членов Наблюдательного совета</w:t>
      </w:r>
    </w:p>
    <w:p w14:paraId="033F7AAD" w14:textId="77777777" w:rsidR="00086C2C" w:rsidRDefault="00086C2C" w:rsidP="00086C2C">
      <w:pPr>
        <w:overflowPunct w:val="0"/>
        <w:autoSpaceDE w:val="0"/>
        <w:autoSpaceDN w:val="0"/>
        <w:ind w:right="76"/>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                                                                                                                                            </w:t>
      </w:r>
    </w:p>
    <w:p w14:paraId="3551F5D9" w14:textId="77777777" w:rsidR="00086C2C" w:rsidRDefault="00086C2C" w:rsidP="00086C2C">
      <w:pPr>
        <w:jc w:val="both"/>
        <w:rPr>
          <w:rFonts w:ascii="Times New Roman" w:hAnsi="Times New Roman"/>
          <w:sz w:val="24"/>
          <w:szCs w:val="24"/>
        </w:rPr>
      </w:pPr>
      <w:r>
        <w:rPr>
          <w:rFonts w:ascii="Times New Roman" w:hAnsi="Times New Roman"/>
          <w:sz w:val="24"/>
          <w:szCs w:val="24"/>
        </w:rPr>
        <w:t xml:space="preserve">     Решением ПАО Московская Биржа, единственным акционером НКЦ, от 23 июня 2017 года № 36 по вопросам, отнесенным к компетенции Общего собрания акционеров, было принято  решение выплатить членам Наблюдательного совета НКЦ, избранным решением единственного акционера 13 мая 2016 года (Решение №30), за исполнение ими своих функций вознаграждение в размере, рассчитанном в соответствии с положением о вознаграждении и компенсации расходов членов Наблюдательного совета НКЦ, утвержденном решением единственного акционера 13 мая 2016 года (Решение 30). Общий размер вознаграждения указанным членам Наблюдательного совета за исполнение ими своих функций составил 28 875 000 (Двадцать восемь миллионов восемьсот семьдесят пять тысяч) рублей. </w:t>
      </w:r>
    </w:p>
    <w:p w14:paraId="245145C0" w14:textId="77777777" w:rsidR="00086C2C" w:rsidRDefault="00086C2C" w:rsidP="00086C2C">
      <w:pPr>
        <w:jc w:val="both"/>
        <w:rPr>
          <w:rFonts w:ascii="Times New Roman" w:hAnsi="Times New Roman"/>
          <w:sz w:val="24"/>
          <w:szCs w:val="24"/>
          <w:lang w:eastAsia="ru-RU"/>
        </w:rPr>
      </w:pPr>
      <w:r>
        <w:rPr>
          <w:rFonts w:ascii="Times New Roman" w:hAnsi="Times New Roman"/>
          <w:sz w:val="24"/>
          <w:szCs w:val="24"/>
          <w:lang w:eastAsia="ru-RU"/>
        </w:rPr>
        <w:t xml:space="preserve">     </w:t>
      </w:r>
    </w:p>
    <w:p w14:paraId="5CED9EE8" w14:textId="77777777" w:rsidR="00086C2C" w:rsidRDefault="00086C2C" w:rsidP="00086C2C">
      <w:pPr>
        <w:jc w:val="both"/>
        <w:rPr>
          <w:rFonts w:ascii="Times New Roman" w:hAnsi="Times New Roman"/>
          <w:sz w:val="24"/>
          <w:szCs w:val="24"/>
        </w:rPr>
      </w:pPr>
      <w:r>
        <w:rPr>
          <w:rFonts w:ascii="Times New Roman" w:hAnsi="Times New Roman"/>
          <w:sz w:val="24"/>
          <w:szCs w:val="24"/>
          <w:lang w:eastAsia="ru-RU"/>
        </w:rPr>
        <w:t xml:space="preserve">     </w:t>
      </w:r>
      <w:r>
        <w:rPr>
          <w:rFonts w:ascii="Times New Roman" w:hAnsi="Times New Roman"/>
          <w:sz w:val="24"/>
          <w:szCs w:val="24"/>
        </w:rPr>
        <w:t xml:space="preserve">Положение о вознаграждении и компенсации расходов обеспечивает системный подход к определению размеров индивидуальных вознаграждений, определяет конкретные уровни вознаграждения для каждой из ролей членов </w:t>
      </w:r>
      <w:r>
        <w:rPr>
          <w:rFonts w:ascii="Times New Roman" w:hAnsi="Times New Roman"/>
          <w:sz w:val="24"/>
          <w:szCs w:val="24"/>
        </w:rPr>
        <w:lastRenderedPageBreak/>
        <w:t xml:space="preserve">Наблюдательного совета, устанавливает размер фиксированного вознаграждения для независимых членов и предусматривает условия, обеспечивающие надлежащую вовлеченность членов в деятельность    Наблюдательного совета (вознаграждение может быть изменено в сторону уменьшения при систематической неявке на заседания). </w:t>
      </w:r>
    </w:p>
    <w:p w14:paraId="22F6010D" w14:textId="77777777" w:rsidR="00086C2C" w:rsidRDefault="00086C2C" w:rsidP="00086C2C">
      <w:pPr>
        <w:jc w:val="both"/>
        <w:rPr>
          <w:rFonts w:ascii="Times New Roman" w:hAnsi="Times New Roman"/>
          <w:sz w:val="24"/>
          <w:szCs w:val="24"/>
        </w:rPr>
      </w:pPr>
      <w:r>
        <w:rPr>
          <w:rFonts w:ascii="Times New Roman" w:hAnsi="Times New Roman"/>
          <w:sz w:val="24"/>
          <w:szCs w:val="24"/>
        </w:rPr>
        <w:t xml:space="preserve">     </w:t>
      </w:r>
    </w:p>
    <w:p w14:paraId="5293103C" w14:textId="77777777" w:rsidR="00086C2C" w:rsidRDefault="00086C2C" w:rsidP="00086C2C">
      <w:pPr>
        <w:jc w:val="both"/>
        <w:rPr>
          <w:rFonts w:ascii="Times New Roman" w:hAnsi="Times New Roman"/>
          <w:sz w:val="24"/>
          <w:szCs w:val="24"/>
          <w:lang w:eastAsia="ru-RU"/>
        </w:rPr>
      </w:pPr>
      <w:r>
        <w:rPr>
          <w:rFonts w:ascii="Times New Roman" w:hAnsi="Times New Roman"/>
          <w:sz w:val="24"/>
          <w:szCs w:val="24"/>
        </w:rPr>
        <w:t xml:space="preserve">     Вознаграждение членов Наблюдательного совета НКЦ, избранных решениями единственного акционера 23 июня 2017 года (Решение №36) и 24 ноября 2017 года (Решение №40) будет выплачено после проведения годового Общего собрания акционеров НКЦ в 2018 году.</w:t>
      </w:r>
    </w:p>
    <w:p w14:paraId="6EE2B6B2" w14:textId="77777777" w:rsidR="00086C2C" w:rsidRDefault="00086C2C" w:rsidP="001472BC">
      <w:pPr>
        <w:tabs>
          <w:tab w:val="left" w:pos="8820"/>
        </w:tabs>
        <w:ind w:right="76" w:firstLine="567"/>
        <w:jc w:val="both"/>
        <w:rPr>
          <w:rFonts w:ascii="Times New Roman" w:hAnsi="Times New Roman"/>
          <w:sz w:val="24"/>
          <w:szCs w:val="24"/>
        </w:rPr>
      </w:pPr>
    </w:p>
    <w:p w14:paraId="0A87AFE5" w14:textId="77777777" w:rsidR="001472BC" w:rsidRDefault="001472BC" w:rsidP="001472BC">
      <w:pPr>
        <w:tabs>
          <w:tab w:val="left" w:pos="8820"/>
        </w:tabs>
        <w:ind w:right="76" w:firstLine="567"/>
        <w:jc w:val="both"/>
        <w:rPr>
          <w:rFonts w:ascii="Times New Roman" w:hAnsi="Times New Roman"/>
          <w:sz w:val="24"/>
          <w:szCs w:val="24"/>
        </w:rPr>
      </w:pPr>
    </w:p>
    <w:p w14:paraId="1273A6F5" w14:textId="11772897" w:rsidR="001472BC" w:rsidRPr="00090649" w:rsidRDefault="001472BC" w:rsidP="00266434">
      <w:pPr>
        <w:widowControl w:val="0"/>
        <w:overflowPunct w:val="0"/>
        <w:autoSpaceDE w:val="0"/>
        <w:autoSpaceDN w:val="0"/>
        <w:adjustRightInd w:val="0"/>
        <w:ind w:firstLine="360"/>
        <w:jc w:val="center"/>
        <w:textAlignment w:val="baseline"/>
        <w:outlineLvl w:val="0"/>
        <w:rPr>
          <w:rFonts w:ascii="Times New Roman" w:eastAsia="Times New Roman" w:hAnsi="Times New Roman" w:cs="Arial"/>
          <w:b/>
          <w:sz w:val="32"/>
          <w:szCs w:val="32"/>
          <w:lang w:eastAsia="ru-RU"/>
        </w:rPr>
      </w:pPr>
      <w:bookmarkStart w:id="59" w:name="_Toc510776690"/>
      <w:r w:rsidRPr="00090649">
        <w:rPr>
          <w:rFonts w:ascii="Times New Roman" w:eastAsia="Times New Roman" w:hAnsi="Times New Roman" w:cs="Arial"/>
          <w:b/>
          <w:sz w:val="32"/>
          <w:szCs w:val="32"/>
          <w:lang w:eastAsia="ru-RU"/>
        </w:rPr>
        <w:t>15. О дивидендах по акциям</w:t>
      </w:r>
      <w:bookmarkEnd w:id="59"/>
    </w:p>
    <w:p w14:paraId="62C06839" w14:textId="58D872D8" w:rsidR="005375F2" w:rsidRPr="005375F2" w:rsidRDefault="005375F2" w:rsidP="005375F2">
      <w:pPr>
        <w:overflowPunct w:val="0"/>
        <w:autoSpaceDE w:val="0"/>
        <w:autoSpaceDN w:val="0"/>
        <w:ind w:right="76"/>
        <w:jc w:val="center"/>
        <w:textAlignment w:val="baseline"/>
        <w:rPr>
          <w:rFonts w:ascii="Times New Roman" w:hAnsi="Times New Roman"/>
          <w:b/>
          <w:bCs/>
          <w:sz w:val="28"/>
          <w:szCs w:val="28"/>
          <w:lang w:eastAsia="ru-RU"/>
        </w:rPr>
      </w:pPr>
    </w:p>
    <w:p w14:paraId="4F8426E8" w14:textId="77777777" w:rsidR="005375F2" w:rsidRPr="005375F2" w:rsidRDefault="005375F2" w:rsidP="005375F2">
      <w:pPr>
        <w:rPr>
          <w:rFonts w:ascii="Times New Roman" w:hAnsi="Times New Roman"/>
        </w:rPr>
      </w:pPr>
    </w:p>
    <w:p w14:paraId="1BD56E5F" w14:textId="712A52EC" w:rsidR="005375F2" w:rsidRPr="005375F2" w:rsidRDefault="00E74F46" w:rsidP="00E74F46">
      <w:pPr>
        <w:tabs>
          <w:tab w:val="left" w:pos="953"/>
        </w:tabs>
        <w:jc w:val="both"/>
        <w:rPr>
          <w:rFonts w:ascii="Times New Roman" w:hAnsi="Times New Roman"/>
          <w:sz w:val="24"/>
          <w:szCs w:val="24"/>
        </w:rPr>
      </w:pPr>
      <w:r>
        <w:rPr>
          <w:rFonts w:ascii="Times New Roman" w:hAnsi="Times New Roman"/>
          <w:sz w:val="24"/>
          <w:szCs w:val="24"/>
        </w:rPr>
        <w:t xml:space="preserve">     </w:t>
      </w:r>
      <w:r w:rsidR="005375F2" w:rsidRPr="005375F2">
        <w:rPr>
          <w:rFonts w:ascii="Times New Roman" w:hAnsi="Times New Roman"/>
          <w:sz w:val="24"/>
          <w:szCs w:val="24"/>
        </w:rPr>
        <w:t>ПАО Московская Биржа, единственный акционер НКЦ, 31 марта 2017 года приняло следующее решение (№35) о выплате (объявлении) дивидендов:</w:t>
      </w:r>
    </w:p>
    <w:p w14:paraId="65F7EF0D" w14:textId="77777777" w:rsidR="005375F2" w:rsidRPr="005375F2" w:rsidRDefault="005375F2" w:rsidP="005375F2">
      <w:pPr>
        <w:tabs>
          <w:tab w:val="left" w:pos="953"/>
        </w:tabs>
        <w:ind w:left="476"/>
        <w:jc w:val="both"/>
        <w:rPr>
          <w:rFonts w:ascii="Times New Roman" w:hAnsi="Times New Roman"/>
          <w:sz w:val="24"/>
          <w:szCs w:val="24"/>
        </w:rPr>
      </w:pPr>
    </w:p>
    <w:p w14:paraId="739ABCEE" w14:textId="77777777" w:rsidR="005375F2" w:rsidRPr="005375F2" w:rsidRDefault="005375F2" w:rsidP="005375F2">
      <w:pPr>
        <w:numPr>
          <w:ilvl w:val="0"/>
          <w:numId w:val="66"/>
        </w:numPr>
        <w:tabs>
          <w:tab w:val="left" w:pos="953"/>
        </w:tabs>
        <w:spacing w:after="120"/>
        <w:ind w:left="952" w:hanging="476"/>
        <w:contextualSpacing/>
        <w:jc w:val="both"/>
        <w:rPr>
          <w:rFonts w:ascii="Times New Roman" w:hAnsi="Times New Roman"/>
          <w:sz w:val="24"/>
          <w:szCs w:val="24"/>
        </w:rPr>
      </w:pPr>
      <w:r w:rsidRPr="005375F2">
        <w:rPr>
          <w:rFonts w:ascii="Times New Roman" w:hAnsi="Times New Roman"/>
          <w:sz w:val="24"/>
          <w:szCs w:val="24"/>
        </w:rPr>
        <w:t>направить на выплату дивидендов нераспределенную прибыль прошлых лет в размере 2 099 919 900 руб. 00 коп.;</w:t>
      </w:r>
    </w:p>
    <w:p w14:paraId="124EF64B" w14:textId="77777777" w:rsidR="005375F2" w:rsidRPr="005375F2" w:rsidRDefault="005375F2" w:rsidP="005375F2">
      <w:pPr>
        <w:numPr>
          <w:ilvl w:val="0"/>
          <w:numId w:val="66"/>
        </w:numPr>
        <w:tabs>
          <w:tab w:val="left" w:pos="953"/>
        </w:tabs>
        <w:spacing w:after="120"/>
        <w:ind w:left="952" w:hanging="476"/>
        <w:contextualSpacing/>
        <w:jc w:val="both"/>
        <w:rPr>
          <w:rFonts w:ascii="Times New Roman" w:hAnsi="Times New Roman"/>
          <w:sz w:val="24"/>
          <w:szCs w:val="24"/>
        </w:rPr>
      </w:pPr>
      <w:r w:rsidRPr="005375F2">
        <w:rPr>
          <w:rFonts w:ascii="Times New Roman" w:hAnsi="Times New Roman"/>
          <w:sz w:val="24"/>
          <w:szCs w:val="24"/>
        </w:rPr>
        <w:t>определить размер дивиденда по акциям НКЦ 125 руб. 97 коп. на одну обыкновенную именную акцию;</w:t>
      </w:r>
    </w:p>
    <w:p w14:paraId="7A4B4A39" w14:textId="77777777" w:rsidR="005375F2" w:rsidRPr="005375F2" w:rsidRDefault="005375F2" w:rsidP="005375F2">
      <w:pPr>
        <w:numPr>
          <w:ilvl w:val="0"/>
          <w:numId w:val="66"/>
        </w:numPr>
        <w:tabs>
          <w:tab w:val="left" w:pos="953"/>
        </w:tabs>
        <w:spacing w:after="120"/>
        <w:ind w:left="952" w:hanging="476"/>
        <w:contextualSpacing/>
        <w:jc w:val="both"/>
        <w:rPr>
          <w:rFonts w:ascii="Times New Roman" w:hAnsi="Times New Roman"/>
          <w:sz w:val="24"/>
          <w:szCs w:val="24"/>
        </w:rPr>
      </w:pPr>
      <w:r w:rsidRPr="005375F2">
        <w:rPr>
          <w:rFonts w:ascii="Times New Roman" w:hAnsi="Times New Roman"/>
          <w:sz w:val="24"/>
          <w:szCs w:val="24"/>
        </w:rPr>
        <w:t>установить датой, на которую определяются лица, имеющие право на получение дивидендов, 11 апреля 2017 года.</w:t>
      </w:r>
    </w:p>
    <w:p w14:paraId="356B68A4" w14:textId="77777777" w:rsidR="005375F2" w:rsidRPr="005375F2" w:rsidRDefault="005375F2" w:rsidP="005375F2">
      <w:pPr>
        <w:ind w:firstLine="476"/>
        <w:jc w:val="both"/>
        <w:rPr>
          <w:rFonts w:ascii="Times New Roman" w:hAnsi="Times New Roman"/>
          <w:sz w:val="24"/>
          <w:szCs w:val="24"/>
        </w:rPr>
      </w:pPr>
      <w:r w:rsidRPr="005375F2">
        <w:rPr>
          <w:rFonts w:ascii="Times New Roman" w:hAnsi="Times New Roman"/>
          <w:sz w:val="24"/>
          <w:szCs w:val="24"/>
        </w:rPr>
        <w:t xml:space="preserve">Решением также было определено, что дивиденды выплачиваются в денежной форме в сроки, установленные законодательством Российской Федерации. </w:t>
      </w:r>
    </w:p>
    <w:p w14:paraId="749A1FD6" w14:textId="77777777" w:rsidR="005375F2" w:rsidRPr="005375F2" w:rsidRDefault="005375F2" w:rsidP="005375F2">
      <w:pPr>
        <w:ind w:firstLine="476"/>
        <w:jc w:val="both"/>
        <w:rPr>
          <w:rFonts w:ascii="Times New Roman" w:hAnsi="Times New Roman"/>
          <w:sz w:val="24"/>
          <w:szCs w:val="24"/>
        </w:rPr>
      </w:pPr>
      <w:r w:rsidRPr="005375F2">
        <w:rPr>
          <w:rFonts w:ascii="Times New Roman" w:hAnsi="Times New Roman"/>
          <w:sz w:val="24"/>
          <w:szCs w:val="24"/>
        </w:rPr>
        <w:t>Выплата дивидендов была осуществлена 28 апреля 2017 года.</w:t>
      </w:r>
    </w:p>
    <w:p w14:paraId="57C440CA" w14:textId="77777777" w:rsidR="005375F2" w:rsidRPr="005375F2" w:rsidRDefault="005375F2" w:rsidP="005375F2">
      <w:pPr>
        <w:tabs>
          <w:tab w:val="left" w:pos="953"/>
        </w:tabs>
        <w:ind w:left="476"/>
        <w:jc w:val="both"/>
        <w:rPr>
          <w:rFonts w:ascii="Times New Roman" w:hAnsi="Times New Roman"/>
          <w:sz w:val="24"/>
          <w:szCs w:val="24"/>
        </w:rPr>
      </w:pPr>
    </w:p>
    <w:p w14:paraId="1EF65C87" w14:textId="26091ED4" w:rsidR="005375F2" w:rsidRPr="005375F2" w:rsidRDefault="00E74F46" w:rsidP="00E74F46">
      <w:pPr>
        <w:tabs>
          <w:tab w:val="left" w:pos="953"/>
        </w:tabs>
        <w:jc w:val="both"/>
        <w:rPr>
          <w:rFonts w:ascii="Times New Roman" w:hAnsi="Times New Roman"/>
          <w:sz w:val="24"/>
          <w:szCs w:val="24"/>
        </w:rPr>
      </w:pPr>
      <w:r>
        <w:rPr>
          <w:rFonts w:ascii="Times New Roman" w:hAnsi="Times New Roman"/>
          <w:sz w:val="24"/>
          <w:szCs w:val="24"/>
          <w:lang w:eastAsia="ru-RU"/>
        </w:rPr>
        <w:t xml:space="preserve">     </w:t>
      </w:r>
      <w:r w:rsidR="005375F2" w:rsidRPr="005375F2">
        <w:rPr>
          <w:rFonts w:ascii="Times New Roman" w:hAnsi="Times New Roman"/>
          <w:sz w:val="24"/>
          <w:szCs w:val="24"/>
          <w:lang w:eastAsia="ru-RU"/>
        </w:rPr>
        <w:t xml:space="preserve">ПАО Московская Биржа, единственный акционер НКЦ, в рамках рассмотрения вопросов годового Общего собрания акционеров </w:t>
      </w:r>
      <w:r w:rsidR="005375F2" w:rsidRPr="005375F2">
        <w:rPr>
          <w:rFonts w:ascii="Times New Roman" w:hAnsi="Times New Roman"/>
          <w:sz w:val="24"/>
          <w:szCs w:val="24"/>
        </w:rPr>
        <w:t>23 июня 2017 года приняло следующее решение (№36) о распределении чистой прибыли НКЦ и выплате (объявлении) дивидендов:</w:t>
      </w:r>
    </w:p>
    <w:p w14:paraId="6C486408" w14:textId="77777777" w:rsidR="005375F2" w:rsidRPr="005375F2" w:rsidRDefault="005375F2" w:rsidP="005375F2">
      <w:pPr>
        <w:tabs>
          <w:tab w:val="left" w:pos="953"/>
        </w:tabs>
        <w:ind w:left="476"/>
        <w:jc w:val="both"/>
        <w:rPr>
          <w:rFonts w:ascii="Times New Roman" w:hAnsi="Times New Roman"/>
          <w:sz w:val="24"/>
          <w:szCs w:val="24"/>
        </w:rPr>
      </w:pPr>
    </w:p>
    <w:p w14:paraId="30328191" w14:textId="77777777" w:rsidR="005375F2" w:rsidRPr="005375F2" w:rsidRDefault="005375F2" w:rsidP="005375F2">
      <w:pPr>
        <w:numPr>
          <w:ilvl w:val="0"/>
          <w:numId w:val="66"/>
        </w:numPr>
        <w:tabs>
          <w:tab w:val="left" w:pos="953"/>
        </w:tabs>
        <w:spacing w:after="120"/>
        <w:ind w:left="952" w:hanging="476"/>
        <w:contextualSpacing/>
        <w:jc w:val="both"/>
        <w:rPr>
          <w:rFonts w:ascii="Times New Roman" w:hAnsi="Times New Roman"/>
          <w:sz w:val="24"/>
          <w:szCs w:val="24"/>
        </w:rPr>
      </w:pPr>
      <w:r w:rsidRPr="005375F2">
        <w:rPr>
          <w:rFonts w:ascii="Times New Roman" w:hAnsi="Times New Roman"/>
          <w:sz w:val="24"/>
          <w:szCs w:val="24"/>
        </w:rPr>
        <w:t>утвердить распределение чистой прибыли в размере 20 919 160 319 руб. 88 коп, полученной по результатам 2016 отчетного года:</w:t>
      </w:r>
    </w:p>
    <w:p w14:paraId="1CA1587E" w14:textId="77777777" w:rsidR="005375F2" w:rsidRPr="005375F2" w:rsidRDefault="005375F2" w:rsidP="005375F2">
      <w:pPr>
        <w:tabs>
          <w:tab w:val="left" w:pos="953"/>
          <w:tab w:val="num" w:pos="1247"/>
        </w:tabs>
        <w:spacing w:after="60"/>
        <w:ind w:left="952" w:hanging="476"/>
        <w:jc w:val="both"/>
        <w:rPr>
          <w:rFonts w:ascii="Times New Roman" w:eastAsia="Arial Unicode MS" w:hAnsi="Times New Roman"/>
          <w:sz w:val="24"/>
          <w:szCs w:val="24"/>
          <w:lang w:eastAsia="ru-RU"/>
        </w:rPr>
      </w:pPr>
      <w:r w:rsidRPr="005375F2">
        <w:rPr>
          <w:rFonts w:ascii="Times New Roman" w:eastAsia="Arial Unicode MS" w:hAnsi="Times New Roman"/>
          <w:sz w:val="24"/>
          <w:szCs w:val="24"/>
          <w:lang w:eastAsia="ru-RU"/>
        </w:rPr>
        <w:t>выплатить по результатам 2016 отчетного года дивиденды на общую сумму 5 199 873 100 руб. 00 коп;</w:t>
      </w:r>
    </w:p>
    <w:p w14:paraId="74CC91D1" w14:textId="77777777" w:rsidR="005375F2" w:rsidRPr="005375F2" w:rsidRDefault="005375F2" w:rsidP="005375F2">
      <w:pPr>
        <w:tabs>
          <w:tab w:val="left" w:pos="953"/>
          <w:tab w:val="num" w:pos="1247"/>
        </w:tabs>
        <w:spacing w:after="60"/>
        <w:ind w:left="952" w:hanging="476"/>
        <w:jc w:val="both"/>
        <w:rPr>
          <w:rFonts w:ascii="Times New Roman" w:eastAsia="Arial Unicode MS" w:hAnsi="Times New Roman"/>
          <w:sz w:val="24"/>
          <w:szCs w:val="24"/>
          <w:lang w:eastAsia="ru-RU"/>
        </w:rPr>
      </w:pPr>
      <w:r w:rsidRPr="005375F2">
        <w:rPr>
          <w:rFonts w:ascii="Times New Roman" w:eastAsia="Arial Unicode MS" w:hAnsi="Times New Roman"/>
          <w:sz w:val="24"/>
          <w:szCs w:val="24"/>
          <w:lang w:eastAsia="ru-RU"/>
        </w:rPr>
        <w:t>оставшуюся после выплаты дивидендов часть чистой прибыли в размере 15 719 287 219 руб. 00 коп. не распределять;</w:t>
      </w:r>
    </w:p>
    <w:p w14:paraId="6702FA08" w14:textId="77777777" w:rsidR="005375F2" w:rsidRPr="005375F2" w:rsidRDefault="005375F2" w:rsidP="005375F2">
      <w:pPr>
        <w:tabs>
          <w:tab w:val="left" w:pos="953"/>
          <w:tab w:val="num" w:pos="1247"/>
        </w:tabs>
        <w:spacing w:after="60"/>
        <w:ind w:left="952" w:hanging="476"/>
        <w:jc w:val="both"/>
        <w:rPr>
          <w:rFonts w:ascii="Times New Roman" w:eastAsia="Arial Unicode MS" w:hAnsi="Times New Roman"/>
          <w:sz w:val="24"/>
          <w:szCs w:val="24"/>
          <w:lang w:eastAsia="ru-RU"/>
        </w:rPr>
      </w:pPr>
      <w:r w:rsidRPr="005375F2">
        <w:rPr>
          <w:rFonts w:ascii="Times New Roman" w:eastAsia="Arial Unicode MS" w:hAnsi="Times New Roman"/>
          <w:sz w:val="24"/>
          <w:szCs w:val="24"/>
          <w:lang w:eastAsia="ru-RU"/>
        </w:rPr>
        <w:t xml:space="preserve">определить размер дивиденда по акциям НКЦ 311 руб. 93 коп. на одну обыкновенную именную акцию; </w:t>
      </w:r>
    </w:p>
    <w:p w14:paraId="783EEF87" w14:textId="77777777" w:rsidR="005375F2" w:rsidRPr="005375F2" w:rsidRDefault="005375F2" w:rsidP="005375F2">
      <w:pPr>
        <w:tabs>
          <w:tab w:val="left" w:pos="953"/>
          <w:tab w:val="num" w:pos="1247"/>
        </w:tabs>
        <w:spacing w:after="60"/>
        <w:ind w:left="952" w:hanging="476"/>
        <w:jc w:val="both"/>
        <w:rPr>
          <w:rFonts w:ascii="Times New Roman" w:eastAsia="Arial Unicode MS" w:hAnsi="Times New Roman"/>
          <w:sz w:val="24"/>
          <w:szCs w:val="24"/>
          <w:lang w:eastAsia="ru-RU"/>
        </w:rPr>
      </w:pPr>
      <w:r w:rsidRPr="005375F2">
        <w:rPr>
          <w:rFonts w:ascii="Times New Roman" w:eastAsia="Arial Unicode MS" w:hAnsi="Times New Roman"/>
          <w:sz w:val="24"/>
          <w:szCs w:val="24"/>
          <w:lang w:eastAsia="ru-RU"/>
        </w:rPr>
        <w:t xml:space="preserve">установить датой, на которую определяются лица, имеющие право на получение дивидендов, 5 июля 2017 года; </w:t>
      </w:r>
    </w:p>
    <w:p w14:paraId="2177FA17" w14:textId="494F2ACA" w:rsidR="005375F2" w:rsidRPr="005375F2" w:rsidRDefault="00E74F46" w:rsidP="00E74F46">
      <w:pPr>
        <w:jc w:val="both"/>
        <w:rPr>
          <w:rFonts w:ascii="Times New Roman" w:hAnsi="Times New Roman"/>
          <w:sz w:val="24"/>
          <w:szCs w:val="24"/>
        </w:rPr>
      </w:pPr>
      <w:r>
        <w:rPr>
          <w:rFonts w:ascii="Times New Roman" w:hAnsi="Times New Roman"/>
          <w:sz w:val="24"/>
          <w:szCs w:val="24"/>
        </w:rPr>
        <w:t xml:space="preserve">     </w:t>
      </w:r>
      <w:r w:rsidR="005375F2" w:rsidRPr="005375F2">
        <w:rPr>
          <w:rFonts w:ascii="Times New Roman" w:hAnsi="Times New Roman"/>
          <w:sz w:val="24"/>
          <w:szCs w:val="24"/>
        </w:rPr>
        <w:t>Решением также было определено, что дивиденды выплачиваются в денежной форме в безналичном порядке в сроки, установленные законодательством Российской Федерации, но не позднее 8 августа 2017 года.</w:t>
      </w:r>
    </w:p>
    <w:p w14:paraId="12C21B80" w14:textId="77777777" w:rsidR="005375F2" w:rsidRPr="005375F2" w:rsidRDefault="005375F2" w:rsidP="005375F2">
      <w:pPr>
        <w:ind w:firstLine="476"/>
        <w:jc w:val="both"/>
        <w:rPr>
          <w:rFonts w:ascii="Times New Roman" w:hAnsi="Times New Roman"/>
          <w:sz w:val="24"/>
          <w:szCs w:val="24"/>
        </w:rPr>
      </w:pPr>
      <w:r w:rsidRPr="005375F2">
        <w:rPr>
          <w:rFonts w:ascii="Times New Roman" w:hAnsi="Times New Roman"/>
          <w:sz w:val="24"/>
          <w:szCs w:val="24"/>
        </w:rPr>
        <w:t>Выплата дивидендов была осуществлена 7 августа 2017 года.</w:t>
      </w:r>
    </w:p>
    <w:p w14:paraId="3BA5BA7E" w14:textId="77777777" w:rsidR="005375F2" w:rsidRPr="005375F2" w:rsidRDefault="005375F2" w:rsidP="005375F2">
      <w:pPr>
        <w:tabs>
          <w:tab w:val="left" w:pos="953"/>
        </w:tabs>
        <w:ind w:left="476"/>
        <w:jc w:val="both"/>
        <w:rPr>
          <w:rFonts w:ascii="Times New Roman" w:hAnsi="Times New Roman"/>
          <w:sz w:val="24"/>
          <w:szCs w:val="24"/>
        </w:rPr>
      </w:pPr>
    </w:p>
    <w:p w14:paraId="5FF04811" w14:textId="69EC1ECF" w:rsidR="005375F2" w:rsidRPr="005375F2" w:rsidRDefault="00E74F46" w:rsidP="00E74F46">
      <w:pPr>
        <w:tabs>
          <w:tab w:val="left" w:pos="953"/>
        </w:tabs>
        <w:jc w:val="both"/>
        <w:rPr>
          <w:rFonts w:ascii="Times New Roman" w:hAnsi="Times New Roman"/>
          <w:sz w:val="24"/>
          <w:szCs w:val="24"/>
        </w:rPr>
      </w:pPr>
      <w:r>
        <w:rPr>
          <w:rFonts w:ascii="Times New Roman" w:hAnsi="Times New Roman"/>
          <w:sz w:val="24"/>
          <w:szCs w:val="24"/>
        </w:rPr>
        <w:t xml:space="preserve">     </w:t>
      </w:r>
      <w:r w:rsidR="005375F2" w:rsidRPr="005375F2">
        <w:rPr>
          <w:rFonts w:ascii="Times New Roman" w:hAnsi="Times New Roman"/>
          <w:sz w:val="24"/>
          <w:szCs w:val="24"/>
        </w:rPr>
        <w:t>ПАО Московская Биржа, единственный акционер НКЦ, 06 сентября 2017 года приняло следующее решение (№37) о выплате (объявлении) дивидендов:</w:t>
      </w:r>
    </w:p>
    <w:p w14:paraId="20099B48" w14:textId="77777777" w:rsidR="005375F2" w:rsidRPr="005375F2" w:rsidRDefault="005375F2" w:rsidP="005375F2">
      <w:pPr>
        <w:tabs>
          <w:tab w:val="left" w:pos="953"/>
        </w:tabs>
        <w:ind w:left="476"/>
        <w:jc w:val="both"/>
        <w:rPr>
          <w:rFonts w:ascii="Times New Roman" w:hAnsi="Times New Roman"/>
          <w:sz w:val="24"/>
          <w:szCs w:val="24"/>
        </w:rPr>
      </w:pPr>
    </w:p>
    <w:p w14:paraId="2B96CA3C" w14:textId="77777777" w:rsidR="005375F2" w:rsidRPr="005375F2" w:rsidRDefault="005375F2" w:rsidP="005375F2">
      <w:pPr>
        <w:numPr>
          <w:ilvl w:val="0"/>
          <w:numId w:val="66"/>
        </w:numPr>
        <w:tabs>
          <w:tab w:val="left" w:pos="953"/>
        </w:tabs>
        <w:spacing w:after="120"/>
        <w:ind w:left="952" w:hanging="476"/>
        <w:contextualSpacing/>
        <w:jc w:val="both"/>
        <w:rPr>
          <w:rFonts w:ascii="Times New Roman" w:hAnsi="Times New Roman"/>
          <w:sz w:val="24"/>
          <w:szCs w:val="24"/>
        </w:rPr>
      </w:pPr>
      <w:r w:rsidRPr="005375F2">
        <w:rPr>
          <w:rFonts w:ascii="Times New Roman" w:hAnsi="Times New Roman"/>
          <w:sz w:val="24"/>
          <w:szCs w:val="24"/>
        </w:rPr>
        <w:t>направить на выплату дивидендов нераспределенную прибыль прошлых лет НКЦ в размере 5 199 873 100 руб. 00 коп.;</w:t>
      </w:r>
    </w:p>
    <w:p w14:paraId="52D938A9" w14:textId="77777777" w:rsidR="005375F2" w:rsidRPr="005375F2" w:rsidRDefault="005375F2" w:rsidP="005375F2">
      <w:pPr>
        <w:numPr>
          <w:ilvl w:val="0"/>
          <w:numId w:val="66"/>
        </w:numPr>
        <w:tabs>
          <w:tab w:val="left" w:pos="953"/>
        </w:tabs>
        <w:spacing w:after="120"/>
        <w:ind w:left="952" w:hanging="476"/>
        <w:contextualSpacing/>
        <w:jc w:val="both"/>
        <w:rPr>
          <w:rFonts w:ascii="Times New Roman" w:hAnsi="Times New Roman"/>
          <w:sz w:val="24"/>
          <w:szCs w:val="24"/>
        </w:rPr>
      </w:pPr>
      <w:r w:rsidRPr="005375F2">
        <w:rPr>
          <w:rFonts w:ascii="Times New Roman" w:hAnsi="Times New Roman"/>
          <w:sz w:val="24"/>
          <w:szCs w:val="24"/>
        </w:rPr>
        <w:t>определить размер дивиденда по акциям НКЦ 311 руб. 93 коп. на одну обыкновенную именную акцию;</w:t>
      </w:r>
    </w:p>
    <w:p w14:paraId="725F9591" w14:textId="77777777" w:rsidR="005375F2" w:rsidRPr="005375F2" w:rsidRDefault="005375F2" w:rsidP="005375F2">
      <w:pPr>
        <w:numPr>
          <w:ilvl w:val="0"/>
          <w:numId w:val="66"/>
        </w:numPr>
        <w:tabs>
          <w:tab w:val="left" w:pos="953"/>
        </w:tabs>
        <w:spacing w:after="120"/>
        <w:ind w:left="952" w:hanging="476"/>
        <w:contextualSpacing/>
        <w:jc w:val="both"/>
        <w:rPr>
          <w:rFonts w:ascii="Times New Roman" w:hAnsi="Times New Roman"/>
          <w:sz w:val="24"/>
          <w:szCs w:val="24"/>
        </w:rPr>
      </w:pPr>
      <w:r w:rsidRPr="005375F2">
        <w:rPr>
          <w:rFonts w:ascii="Times New Roman" w:hAnsi="Times New Roman"/>
          <w:sz w:val="24"/>
          <w:szCs w:val="24"/>
        </w:rPr>
        <w:t>установить датой, на которую определяются лица, имеющие право на получение дивидендов, 18 сентября 2017 года;</w:t>
      </w:r>
    </w:p>
    <w:p w14:paraId="57F9C446" w14:textId="77777777" w:rsidR="005375F2" w:rsidRPr="005375F2" w:rsidRDefault="005375F2" w:rsidP="000F6097">
      <w:pPr>
        <w:tabs>
          <w:tab w:val="left" w:pos="953"/>
        </w:tabs>
        <w:spacing w:after="120"/>
        <w:ind w:left="952"/>
        <w:contextualSpacing/>
        <w:jc w:val="both"/>
        <w:rPr>
          <w:rFonts w:ascii="Times New Roman" w:hAnsi="Times New Roman"/>
          <w:sz w:val="24"/>
          <w:szCs w:val="24"/>
        </w:rPr>
      </w:pPr>
    </w:p>
    <w:p w14:paraId="23EBA126" w14:textId="77777777" w:rsidR="005375F2" w:rsidRPr="005375F2" w:rsidRDefault="005375F2" w:rsidP="000F6097">
      <w:pPr>
        <w:ind w:firstLine="476"/>
        <w:jc w:val="both"/>
        <w:rPr>
          <w:rFonts w:ascii="Times New Roman" w:hAnsi="Times New Roman"/>
          <w:sz w:val="24"/>
          <w:szCs w:val="24"/>
        </w:rPr>
      </w:pPr>
      <w:r w:rsidRPr="005375F2">
        <w:rPr>
          <w:rFonts w:ascii="Times New Roman" w:hAnsi="Times New Roman"/>
          <w:sz w:val="24"/>
          <w:szCs w:val="24"/>
        </w:rPr>
        <w:t xml:space="preserve">Решением также было определено, что дивиденды выплачиваются в денежной форме в безналичном порядке в сроки, установленные законодательством Российской Федерации. </w:t>
      </w:r>
    </w:p>
    <w:p w14:paraId="219201FA" w14:textId="77777777" w:rsidR="005375F2" w:rsidRPr="005375F2" w:rsidRDefault="005375F2" w:rsidP="000F6097">
      <w:pPr>
        <w:ind w:firstLine="476"/>
        <w:jc w:val="both"/>
        <w:rPr>
          <w:rFonts w:ascii="Times New Roman" w:hAnsi="Times New Roman"/>
          <w:sz w:val="24"/>
          <w:szCs w:val="24"/>
        </w:rPr>
      </w:pPr>
      <w:r w:rsidRPr="005375F2">
        <w:rPr>
          <w:rFonts w:ascii="Times New Roman" w:hAnsi="Times New Roman"/>
          <w:sz w:val="24"/>
          <w:szCs w:val="24"/>
        </w:rPr>
        <w:t>Выплата дивидендов была осуществлена 16 октября 2017 года.</w:t>
      </w:r>
    </w:p>
    <w:p w14:paraId="79629F1F" w14:textId="77777777" w:rsidR="005375F2" w:rsidRPr="005375F2" w:rsidRDefault="005375F2" w:rsidP="005375F2">
      <w:pPr>
        <w:tabs>
          <w:tab w:val="left" w:pos="953"/>
        </w:tabs>
        <w:ind w:left="1196"/>
        <w:jc w:val="both"/>
        <w:rPr>
          <w:rFonts w:ascii="Times New Roman" w:hAnsi="Times New Roman"/>
          <w:sz w:val="24"/>
          <w:szCs w:val="24"/>
        </w:rPr>
      </w:pPr>
    </w:p>
    <w:p w14:paraId="577F5728" w14:textId="6A948F84" w:rsidR="005375F2" w:rsidRPr="005375F2" w:rsidRDefault="00E74F46" w:rsidP="00E74F46">
      <w:pPr>
        <w:tabs>
          <w:tab w:val="left" w:pos="953"/>
        </w:tabs>
        <w:jc w:val="both"/>
        <w:rPr>
          <w:rFonts w:ascii="Times New Roman" w:hAnsi="Times New Roman"/>
          <w:sz w:val="24"/>
          <w:szCs w:val="24"/>
        </w:rPr>
      </w:pPr>
      <w:r>
        <w:rPr>
          <w:rFonts w:ascii="Times New Roman" w:hAnsi="Times New Roman"/>
          <w:sz w:val="24"/>
          <w:szCs w:val="24"/>
        </w:rPr>
        <w:t xml:space="preserve">     </w:t>
      </w:r>
      <w:r w:rsidR="005375F2" w:rsidRPr="005375F2">
        <w:rPr>
          <w:rFonts w:ascii="Times New Roman" w:hAnsi="Times New Roman"/>
          <w:sz w:val="24"/>
          <w:szCs w:val="24"/>
        </w:rPr>
        <w:t>ПАО Московская Биржа, единственный акционер НКЦ, 17 ноября 2017 года приняло следующее решение (№39) о выплате (объявлении) дивидендов:</w:t>
      </w:r>
    </w:p>
    <w:p w14:paraId="4B3F6CC7" w14:textId="77777777" w:rsidR="005375F2" w:rsidRPr="005375F2" w:rsidRDefault="005375F2" w:rsidP="005375F2">
      <w:pPr>
        <w:tabs>
          <w:tab w:val="left" w:pos="953"/>
        </w:tabs>
        <w:ind w:left="476"/>
        <w:jc w:val="both"/>
        <w:rPr>
          <w:rFonts w:ascii="Times New Roman" w:hAnsi="Times New Roman"/>
          <w:sz w:val="24"/>
          <w:szCs w:val="24"/>
        </w:rPr>
      </w:pPr>
    </w:p>
    <w:p w14:paraId="5B3CE090" w14:textId="77777777" w:rsidR="005375F2" w:rsidRPr="005375F2" w:rsidRDefault="005375F2" w:rsidP="005375F2">
      <w:pPr>
        <w:numPr>
          <w:ilvl w:val="0"/>
          <w:numId w:val="66"/>
        </w:numPr>
        <w:tabs>
          <w:tab w:val="left" w:pos="953"/>
        </w:tabs>
        <w:spacing w:after="120"/>
        <w:ind w:left="952" w:hanging="476"/>
        <w:contextualSpacing/>
        <w:jc w:val="both"/>
        <w:rPr>
          <w:rFonts w:ascii="Times New Roman" w:hAnsi="Times New Roman"/>
          <w:sz w:val="24"/>
          <w:szCs w:val="24"/>
        </w:rPr>
      </w:pPr>
      <w:r w:rsidRPr="005375F2">
        <w:rPr>
          <w:rFonts w:ascii="Times New Roman" w:hAnsi="Times New Roman"/>
          <w:sz w:val="24"/>
          <w:szCs w:val="24"/>
        </w:rPr>
        <w:t>направить на выплату дивидендов нераспределенную прибыль прошлых лет НКЦ в размере 5 199 873 100 руб. 00 коп.;</w:t>
      </w:r>
    </w:p>
    <w:p w14:paraId="497FDF16" w14:textId="77777777" w:rsidR="005375F2" w:rsidRPr="005375F2" w:rsidRDefault="005375F2" w:rsidP="005375F2">
      <w:pPr>
        <w:numPr>
          <w:ilvl w:val="0"/>
          <w:numId w:val="66"/>
        </w:numPr>
        <w:tabs>
          <w:tab w:val="left" w:pos="953"/>
        </w:tabs>
        <w:spacing w:after="120"/>
        <w:ind w:left="952" w:hanging="476"/>
        <w:contextualSpacing/>
        <w:jc w:val="both"/>
        <w:rPr>
          <w:rFonts w:ascii="Times New Roman" w:hAnsi="Times New Roman"/>
          <w:sz w:val="24"/>
          <w:szCs w:val="24"/>
        </w:rPr>
      </w:pPr>
      <w:r w:rsidRPr="005375F2">
        <w:rPr>
          <w:rFonts w:ascii="Times New Roman" w:hAnsi="Times New Roman"/>
          <w:sz w:val="24"/>
          <w:szCs w:val="24"/>
        </w:rPr>
        <w:t>определить размер дивиденда по акциям НКЦ 311 руб. 93 коп. на одну обыкновенную именную акцию;</w:t>
      </w:r>
    </w:p>
    <w:p w14:paraId="499E229D" w14:textId="77777777" w:rsidR="005375F2" w:rsidRPr="005375F2" w:rsidRDefault="005375F2" w:rsidP="005375F2">
      <w:pPr>
        <w:numPr>
          <w:ilvl w:val="0"/>
          <w:numId w:val="66"/>
        </w:numPr>
        <w:tabs>
          <w:tab w:val="left" w:pos="953"/>
        </w:tabs>
        <w:spacing w:after="120"/>
        <w:ind w:left="952" w:hanging="476"/>
        <w:contextualSpacing/>
        <w:jc w:val="both"/>
        <w:rPr>
          <w:rFonts w:ascii="Times New Roman" w:hAnsi="Times New Roman"/>
          <w:sz w:val="24"/>
          <w:szCs w:val="24"/>
        </w:rPr>
      </w:pPr>
      <w:r w:rsidRPr="005375F2">
        <w:rPr>
          <w:rFonts w:ascii="Times New Roman" w:hAnsi="Times New Roman"/>
          <w:sz w:val="24"/>
          <w:szCs w:val="24"/>
        </w:rPr>
        <w:t xml:space="preserve">установить датой, на которую определяются лица, имеющие право на получение дивидендов, 29 ноября 2017 года; </w:t>
      </w:r>
    </w:p>
    <w:p w14:paraId="52A2AFC9" w14:textId="77777777" w:rsidR="005375F2" w:rsidRPr="005375F2" w:rsidRDefault="005375F2" w:rsidP="005375F2">
      <w:pPr>
        <w:ind w:firstLine="476"/>
        <w:jc w:val="both"/>
        <w:rPr>
          <w:rFonts w:ascii="Times New Roman" w:hAnsi="Times New Roman"/>
          <w:sz w:val="24"/>
          <w:szCs w:val="24"/>
        </w:rPr>
      </w:pPr>
      <w:r w:rsidRPr="005375F2">
        <w:rPr>
          <w:rFonts w:ascii="Times New Roman" w:hAnsi="Times New Roman"/>
          <w:sz w:val="24"/>
          <w:szCs w:val="24"/>
        </w:rPr>
        <w:t xml:space="preserve">Решением также было определено, что дивиденды выплачиваются в денежной форме в безналичном порядке в сроки, установленные законодательством Российской Федерации. </w:t>
      </w:r>
    </w:p>
    <w:p w14:paraId="463E8830" w14:textId="77777777" w:rsidR="005375F2" w:rsidRPr="005375F2" w:rsidRDefault="005375F2" w:rsidP="005375F2">
      <w:pPr>
        <w:ind w:firstLine="476"/>
        <w:jc w:val="both"/>
        <w:rPr>
          <w:rFonts w:ascii="Times New Roman" w:hAnsi="Times New Roman"/>
          <w:sz w:val="24"/>
          <w:szCs w:val="24"/>
        </w:rPr>
      </w:pPr>
      <w:r w:rsidRPr="005375F2">
        <w:rPr>
          <w:rFonts w:ascii="Times New Roman" w:hAnsi="Times New Roman"/>
          <w:sz w:val="24"/>
          <w:szCs w:val="24"/>
        </w:rPr>
        <w:t>Выплата дивидендов была осуществлена 29 декабря 2017 года.</w:t>
      </w:r>
    </w:p>
    <w:p w14:paraId="67FB6EEE" w14:textId="77777777" w:rsidR="005375F2" w:rsidRPr="005375F2" w:rsidRDefault="005375F2" w:rsidP="005375F2">
      <w:pPr>
        <w:tabs>
          <w:tab w:val="left" w:pos="953"/>
        </w:tabs>
        <w:ind w:left="476"/>
        <w:jc w:val="both"/>
        <w:rPr>
          <w:rFonts w:ascii="Times New Roman" w:hAnsi="Times New Roman"/>
          <w:sz w:val="24"/>
          <w:szCs w:val="24"/>
        </w:rPr>
      </w:pPr>
    </w:p>
    <w:p w14:paraId="33DB83F7" w14:textId="77777777" w:rsidR="005375F2" w:rsidRPr="005375F2" w:rsidRDefault="005375F2" w:rsidP="005375F2">
      <w:pPr>
        <w:tabs>
          <w:tab w:val="left" w:pos="953"/>
        </w:tabs>
        <w:spacing w:after="120"/>
        <w:jc w:val="both"/>
        <w:rPr>
          <w:rFonts w:ascii="Times New Roman" w:hAnsi="Times New Roman"/>
          <w:sz w:val="24"/>
          <w:szCs w:val="24"/>
          <w:lang w:eastAsia="ru-RU"/>
        </w:rPr>
      </w:pPr>
      <w:r w:rsidRPr="005375F2">
        <w:rPr>
          <w:rFonts w:ascii="Times New Roman" w:hAnsi="Times New Roman"/>
          <w:sz w:val="24"/>
          <w:szCs w:val="24"/>
          <w:lang w:eastAsia="ru-RU"/>
        </w:rPr>
        <w:tab/>
        <w:t>Итого в 2017 году НКЦ выплатил дивиденды в размере 17 699 539,2 тыс. руб. (в 2016 году – 25 399 912,3 тыс. руб.).</w:t>
      </w:r>
    </w:p>
    <w:p w14:paraId="6FBE153C" w14:textId="3649A2AF" w:rsidR="00266F28" w:rsidRPr="00266F28" w:rsidRDefault="0035690E" w:rsidP="00266F28">
      <w:pPr>
        <w:widowControl w:val="0"/>
        <w:overflowPunct w:val="0"/>
        <w:autoSpaceDE w:val="0"/>
        <w:autoSpaceDN w:val="0"/>
        <w:adjustRightInd w:val="0"/>
        <w:ind w:firstLine="360"/>
        <w:jc w:val="center"/>
        <w:textAlignment w:val="baseline"/>
        <w:outlineLvl w:val="0"/>
        <w:rPr>
          <w:rFonts w:ascii="Times New Roman" w:eastAsia="Times New Roman" w:hAnsi="Times New Roman" w:cs="Arial"/>
          <w:b/>
          <w:sz w:val="32"/>
          <w:szCs w:val="32"/>
          <w:lang w:eastAsia="ru-RU"/>
        </w:rPr>
      </w:pPr>
      <w:bookmarkStart w:id="60" w:name="_Toc510776691"/>
      <w:r>
        <w:rPr>
          <w:rFonts w:ascii="Times New Roman" w:eastAsia="Times New Roman" w:hAnsi="Times New Roman" w:cs="Arial"/>
          <w:b/>
          <w:sz w:val="32"/>
          <w:szCs w:val="32"/>
          <w:lang w:eastAsia="ru-RU"/>
        </w:rPr>
        <w:t>16</w:t>
      </w:r>
      <w:r w:rsidR="00266F28" w:rsidRPr="00266F28">
        <w:rPr>
          <w:rFonts w:ascii="Times New Roman" w:eastAsia="Times New Roman" w:hAnsi="Times New Roman" w:cs="Arial"/>
          <w:b/>
          <w:sz w:val="32"/>
          <w:szCs w:val="32"/>
          <w:lang w:eastAsia="ru-RU"/>
        </w:rPr>
        <w:t>. О соблюдении Кодекса корпоративного</w:t>
      </w:r>
      <w:bookmarkEnd w:id="60"/>
    </w:p>
    <w:p w14:paraId="235CE22D" w14:textId="6A418BAA" w:rsidR="0090529D" w:rsidRPr="00266F28" w:rsidRDefault="00266F28" w:rsidP="00266F28">
      <w:pPr>
        <w:widowControl w:val="0"/>
        <w:overflowPunct w:val="0"/>
        <w:autoSpaceDE w:val="0"/>
        <w:autoSpaceDN w:val="0"/>
        <w:adjustRightInd w:val="0"/>
        <w:ind w:firstLine="360"/>
        <w:jc w:val="center"/>
        <w:textAlignment w:val="baseline"/>
        <w:outlineLvl w:val="0"/>
        <w:rPr>
          <w:rFonts w:ascii="Times New Roman" w:eastAsia="Times New Roman" w:hAnsi="Times New Roman" w:cs="Arial"/>
          <w:b/>
          <w:sz w:val="32"/>
          <w:szCs w:val="32"/>
          <w:lang w:eastAsia="ru-RU"/>
        </w:rPr>
      </w:pPr>
      <w:bookmarkStart w:id="61" w:name="_Toc510776692"/>
      <w:r w:rsidRPr="00266F28">
        <w:rPr>
          <w:rFonts w:ascii="Times New Roman" w:eastAsia="Times New Roman" w:hAnsi="Times New Roman" w:cs="Arial"/>
          <w:b/>
          <w:sz w:val="32"/>
          <w:szCs w:val="32"/>
          <w:lang w:eastAsia="ru-RU"/>
        </w:rPr>
        <w:t>управления</w:t>
      </w:r>
      <w:bookmarkEnd w:id="61"/>
    </w:p>
    <w:p w14:paraId="65218087" w14:textId="5D9A0004" w:rsidR="001472BC" w:rsidRPr="001472BC" w:rsidRDefault="00E74F46" w:rsidP="000F6097">
      <w:pPr>
        <w:jc w:val="both"/>
        <w:rPr>
          <w:rFonts w:ascii="Times New Roman" w:hAnsi="Times New Roman"/>
          <w:sz w:val="24"/>
          <w:szCs w:val="24"/>
        </w:rPr>
      </w:pPr>
      <w:r>
        <w:rPr>
          <w:rFonts w:ascii="Times New Roman" w:hAnsi="Times New Roman"/>
          <w:sz w:val="24"/>
          <w:szCs w:val="24"/>
        </w:rPr>
        <w:t xml:space="preserve">     </w:t>
      </w:r>
      <w:r w:rsidR="001472BC" w:rsidRPr="001472BC">
        <w:rPr>
          <w:rFonts w:ascii="Times New Roman" w:hAnsi="Times New Roman"/>
          <w:sz w:val="24"/>
          <w:szCs w:val="24"/>
        </w:rPr>
        <w:t xml:space="preserve">В отчетный период НКЦ уделял значительное внимание повышению уровня корпоративного управления, рассматривая его как один из важнейших инструментов, способствующих достижению поставленных перед </w:t>
      </w:r>
      <w:r w:rsidR="00B66454">
        <w:rPr>
          <w:rFonts w:ascii="Times New Roman" w:hAnsi="Times New Roman"/>
          <w:sz w:val="24"/>
          <w:szCs w:val="24"/>
        </w:rPr>
        <w:t>Обществом</w:t>
      </w:r>
      <w:r w:rsidR="001472BC" w:rsidRPr="001472BC">
        <w:rPr>
          <w:rFonts w:ascii="Times New Roman" w:hAnsi="Times New Roman"/>
          <w:sz w:val="24"/>
          <w:szCs w:val="24"/>
        </w:rPr>
        <w:t xml:space="preserve"> стратегических задач. </w:t>
      </w:r>
    </w:p>
    <w:p w14:paraId="514CAF55" w14:textId="77777777" w:rsidR="007020E6" w:rsidRDefault="007020E6" w:rsidP="001472BC">
      <w:pPr>
        <w:ind w:firstLine="539"/>
        <w:jc w:val="both"/>
        <w:rPr>
          <w:rFonts w:ascii="Times New Roman" w:hAnsi="Times New Roman"/>
          <w:sz w:val="24"/>
          <w:szCs w:val="24"/>
        </w:rPr>
      </w:pPr>
    </w:p>
    <w:p w14:paraId="05EF2620" w14:textId="2826DDD5" w:rsidR="001472BC" w:rsidRPr="001472BC" w:rsidRDefault="00E74F46" w:rsidP="000F6097">
      <w:pPr>
        <w:jc w:val="both"/>
        <w:rPr>
          <w:rFonts w:ascii="Times New Roman" w:hAnsi="Times New Roman"/>
          <w:sz w:val="24"/>
          <w:szCs w:val="24"/>
        </w:rPr>
      </w:pPr>
      <w:r>
        <w:rPr>
          <w:rFonts w:ascii="Times New Roman" w:hAnsi="Times New Roman"/>
          <w:sz w:val="24"/>
          <w:szCs w:val="24"/>
        </w:rPr>
        <w:t xml:space="preserve">     </w:t>
      </w:r>
      <w:r w:rsidR="001472BC" w:rsidRPr="001472BC">
        <w:rPr>
          <w:rFonts w:ascii="Times New Roman" w:hAnsi="Times New Roman"/>
          <w:sz w:val="24"/>
          <w:szCs w:val="24"/>
        </w:rPr>
        <w:t>В</w:t>
      </w:r>
      <w:r>
        <w:rPr>
          <w:rFonts w:ascii="Times New Roman" w:hAnsi="Times New Roman"/>
          <w:sz w:val="24"/>
          <w:szCs w:val="24"/>
        </w:rPr>
        <w:t xml:space="preserve"> </w:t>
      </w:r>
      <w:r w:rsidR="001472BC" w:rsidRPr="001472BC">
        <w:rPr>
          <w:rFonts w:ascii="Times New Roman" w:hAnsi="Times New Roman"/>
          <w:sz w:val="24"/>
          <w:szCs w:val="24"/>
        </w:rPr>
        <w:t xml:space="preserve">этой работе НКЦ стремится следовать лучшим практикам и стандартам корпоративного управления, признавая, что позитивная динамика на данном направлении является непременным условием для достижения успехов в финансово-хозяйственной деятельности, обеспечения внедрения новых проектов и развития деятельности </w:t>
      </w:r>
      <w:r w:rsidR="007020E6">
        <w:rPr>
          <w:rFonts w:ascii="Times New Roman" w:hAnsi="Times New Roman"/>
          <w:sz w:val="24"/>
          <w:szCs w:val="24"/>
        </w:rPr>
        <w:t xml:space="preserve">организации, </w:t>
      </w:r>
      <w:r w:rsidR="001472BC" w:rsidRPr="001472BC">
        <w:rPr>
          <w:rFonts w:ascii="Times New Roman" w:hAnsi="Times New Roman"/>
          <w:sz w:val="24"/>
          <w:szCs w:val="24"/>
        </w:rPr>
        <w:t>в целом.</w:t>
      </w:r>
      <w:r w:rsidR="007020E6">
        <w:rPr>
          <w:rFonts w:ascii="Times New Roman" w:hAnsi="Times New Roman"/>
          <w:sz w:val="24"/>
          <w:szCs w:val="24"/>
        </w:rPr>
        <w:t xml:space="preserve"> </w:t>
      </w:r>
      <w:r w:rsidR="001472BC" w:rsidRPr="001472BC">
        <w:rPr>
          <w:rFonts w:ascii="Times New Roman" w:hAnsi="Times New Roman"/>
          <w:sz w:val="24"/>
          <w:szCs w:val="24"/>
        </w:rPr>
        <w:t xml:space="preserve">Принимаемые меры по развитию системы корпоративного управления НКЦ основываются на рекомендациях Кодекса корпоративного управления, одобренного Банком России 21.03.2014, рекомендациях Банка России и Базельского комитета по банковскому надзору, признанных в международной практике принципах корпоративного управления. </w:t>
      </w:r>
    </w:p>
    <w:p w14:paraId="42964FB9" w14:textId="77777777" w:rsidR="007020E6" w:rsidRDefault="007020E6" w:rsidP="001472BC">
      <w:pPr>
        <w:ind w:firstLine="539"/>
        <w:jc w:val="both"/>
        <w:rPr>
          <w:rFonts w:ascii="Times New Roman" w:hAnsi="Times New Roman"/>
          <w:sz w:val="24"/>
          <w:szCs w:val="24"/>
        </w:rPr>
      </w:pPr>
    </w:p>
    <w:p w14:paraId="1B7D4B98" w14:textId="2554C4CC" w:rsidR="001472BC" w:rsidRPr="001472BC" w:rsidRDefault="00E74F46" w:rsidP="00E74F46">
      <w:pPr>
        <w:jc w:val="both"/>
        <w:rPr>
          <w:rFonts w:ascii="Times New Roman" w:hAnsi="Times New Roman"/>
          <w:sz w:val="24"/>
          <w:szCs w:val="24"/>
        </w:rPr>
      </w:pPr>
      <w:r>
        <w:rPr>
          <w:rFonts w:ascii="Times New Roman" w:hAnsi="Times New Roman"/>
          <w:sz w:val="24"/>
          <w:szCs w:val="24"/>
        </w:rPr>
        <w:t xml:space="preserve">    </w:t>
      </w:r>
      <w:r w:rsidR="001472BC" w:rsidRPr="001472BC">
        <w:rPr>
          <w:rFonts w:ascii="Times New Roman" w:hAnsi="Times New Roman"/>
          <w:sz w:val="24"/>
          <w:szCs w:val="24"/>
        </w:rPr>
        <w:t xml:space="preserve">В НКЦ утверждены и соблюдаются Принципы корпоративного управления (далее – Принципы), основной целью которых является описание действующих в </w:t>
      </w:r>
      <w:r w:rsidR="007020E6">
        <w:rPr>
          <w:rFonts w:ascii="Times New Roman" w:hAnsi="Times New Roman"/>
          <w:sz w:val="24"/>
          <w:szCs w:val="24"/>
        </w:rPr>
        <w:t>Обществе</w:t>
      </w:r>
      <w:r w:rsidR="001472BC" w:rsidRPr="001472BC">
        <w:rPr>
          <w:rFonts w:ascii="Times New Roman" w:hAnsi="Times New Roman"/>
          <w:sz w:val="24"/>
          <w:szCs w:val="24"/>
        </w:rPr>
        <w:t xml:space="preserve"> правил и системы корпоративного управления для повышения эффективности ведения бизнеса, увеличения уровня прозрачности, поддержания финансовой стабильности и привлекательности компании.</w:t>
      </w:r>
      <w:r w:rsidR="007020E6">
        <w:rPr>
          <w:rFonts w:ascii="Times New Roman" w:hAnsi="Times New Roman"/>
          <w:sz w:val="24"/>
          <w:szCs w:val="24"/>
        </w:rPr>
        <w:t xml:space="preserve"> </w:t>
      </w:r>
      <w:r w:rsidR="001472BC" w:rsidRPr="001472BC">
        <w:rPr>
          <w:rFonts w:ascii="Times New Roman" w:hAnsi="Times New Roman"/>
          <w:sz w:val="24"/>
          <w:szCs w:val="24"/>
        </w:rPr>
        <w:t xml:space="preserve">В соответствии с </w:t>
      </w:r>
      <w:r w:rsidR="001472BC" w:rsidRPr="001472BC">
        <w:rPr>
          <w:rFonts w:ascii="Times New Roman" w:hAnsi="Times New Roman"/>
          <w:sz w:val="24"/>
          <w:szCs w:val="24"/>
        </w:rPr>
        <w:lastRenderedPageBreak/>
        <w:t>Принципами корпоративное управление призвано обеспечить Наблюдательному совету НКЦ и работникам НКЦ соответствующие стимулы для достижения целей, в которых заинтересованы НКЦ и акционер, а также должно способствовать осуществлению действенного контроля, поощряя тем самым более эффективное использование НКЦ своих ресурсов.</w:t>
      </w:r>
      <w:r w:rsidR="007020E6">
        <w:rPr>
          <w:rFonts w:ascii="Times New Roman" w:hAnsi="Times New Roman"/>
          <w:sz w:val="24"/>
          <w:szCs w:val="24"/>
        </w:rPr>
        <w:t xml:space="preserve"> </w:t>
      </w:r>
      <w:r w:rsidR="001472BC" w:rsidRPr="001472BC">
        <w:rPr>
          <w:rFonts w:ascii="Times New Roman" w:hAnsi="Times New Roman"/>
          <w:sz w:val="24"/>
          <w:szCs w:val="24"/>
        </w:rPr>
        <w:t>Применение НКЦ Принципов продиктовано стремлением повысить для акционера, клиентов (пользователей услуг), работников, кредиторов, Банка России привлекательность НКЦ и основывается на следующих подходах:</w:t>
      </w:r>
    </w:p>
    <w:p w14:paraId="30C9C276" w14:textId="77777777" w:rsidR="001472BC" w:rsidRPr="001472BC" w:rsidRDefault="001472BC" w:rsidP="001472BC">
      <w:pPr>
        <w:ind w:firstLine="539"/>
        <w:jc w:val="both"/>
        <w:rPr>
          <w:rFonts w:ascii="Times New Roman" w:hAnsi="Times New Roman"/>
          <w:sz w:val="24"/>
          <w:szCs w:val="24"/>
        </w:rPr>
      </w:pPr>
      <w:r w:rsidRPr="00D661FB">
        <w:rPr>
          <w:rFonts w:ascii="Times New Roman" w:hAnsi="Times New Roman"/>
          <w:bCs/>
          <w:i/>
          <w:iCs/>
          <w:sz w:val="24"/>
          <w:szCs w:val="24"/>
        </w:rPr>
        <w:t>Подотчетность</w:t>
      </w:r>
      <w:r w:rsidRPr="001472BC">
        <w:rPr>
          <w:rFonts w:ascii="Times New Roman" w:hAnsi="Times New Roman"/>
          <w:sz w:val="24"/>
          <w:szCs w:val="24"/>
        </w:rPr>
        <w:t>. Наблюдательный совет и исполнительные органы НКЦ подотчетны единственному акционеру.</w:t>
      </w:r>
    </w:p>
    <w:p w14:paraId="47360434" w14:textId="77777777" w:rsidR="001472BC" w:rsidRPr="001472BC" w:rsidRDefault="001472BC" w:rsidP="001472BC">
      <w:pPr>
        <w:ind w:firstLine="539"/>
        <w:jc w:val="both"/>
        <w:rPr>
          <w:rFonts w:ascii="Times New Roman" w:hAnsi="Times New Roman"/>
          <w:sz w:val="24"/>
          <w:szCs w:val="24"/>
        </w:rPr>
      </w:pPr>
      <w:r w:rsidRPr="00D661FB">
        <w:rPr>
          <w:rFonts w:ascii="Times New Roman" w:hAnsi="Times New Roman"/>
          <w:bCs/>
          <w:i/>
          <w:iCs/>
          <w:sz w:val="24"/>
          <w:szCs w:val="24"/>
        </w:rPr>
        <w:t>Справедливость</w:t>
      </w:r>
      <w:r w:rsidRPr="00D661FB">
        <w:rPr>
          <w:rFonts w:ascii="Times New Roman" w:hAnsi="Times New Roman"/>
          <w:i/>
          <w:iCs/>
          <w:sz w:val="24"/>
          <w:szCs w:val="24"/>
        </w:rPr>
        <w:t>.</w:t>
      </w:r>
      <w:r w:rsidRPr="001472BC">
        <w:rPr>
          <w:rFonts w:ascii="Times New Roman" w:hAnsi="Times New Roman"/>
          <w:iCs/>
          <w:sz w:val="24"/>
          <w:szCs w:val="24"/>
        </w:rPr>
        <w:t xml:space="preserve"> </w:t>
      </w:r>
      <w:r w:rsidRPr="001472BC">
        <w:rPr>
          <w:rFonts w:ascii="Times New Roman" w:hAnsi="Times New Roman"/>
          <w:sz w:val="24"/>
          <w:szCs w:val="24"/>
        </w:rPr>
        <w:t>Органы управления НКЦ осуществляют свою деятельность беспристрастно на законных основаниях.</w:t>
      </w:r>
    </w:p>
    <w:p w14:paraId="7E4C28D6" w14:textId="77777777" w:rsidR="001472BC" w:rsidRPr="001472BC" w:rsidRDefault="001472BC" w:rsidP="001472BC">
      <w:pPr>
        <w:ind w:firstLine="539"/>
        <w:jc w:val="both"/>
        <w:rPr>
          <w:rFonts w:ascii="Times New Roman" w:hAnsi="Times New Roman"/>
          <w:sz w:val="24"/>
          <w:szCs w:val="24"/>
        </w:rPr>
      </w:pPr>
      <w:r w:rsidRPr="00D661FB">
        <w:rPr>
          <w:rFonts w:ascii="Times New Roman" w:hAnsi="Times New Roman"/>
          <w:bCs/>
          <w:i/>
          <w:iCs/>
          <w:sz w:val="24"/>
          <w:szCs w:val="24"/>
        </w:rPr>
        <w:t>Прозрачность</w:t>
      </w:r>
      <w:r w:rsidRPr="001472BC">
        <w:rPr>
          <w:rFonts w:ascii="Times New Roman" w:hAnsi="Times New Roman"/>
          <w:iCs/>
          <w:sz w:val="24"/>
          <w:szCs w:val="24"/>
        </w:rPr>
        <w:t xml:space="preserve">. </w:t>
      </w:r>
      <w:r w:rsidRPr="001472BC">
        <w:rPr>
          <w:rFonts w:ascii="Times New Roman" w:hAnsi="Times New Roman"/>
          <w:sz w:val="24"/>
          <w:szCs w:val="24"/>
        </w:rPr>
        <w:t xml:space="preserve">Органы управления НКЦ обеспечивают своевременное и достаточное раскрытие достоверной информации, касающейся деятельности НКЦ, в том числе о его финансовом положении, результатах деятельности, органах управления. </w:t>
      </w:r>
    </w:p>
    <w:p w14:paraId="4AC793CD" w14:textId="77777777" w:rsidR="001472BC" w:rsidRPr="001472BC" w:rsidRDefault="001472BC" w:rsidP="001472BC">
      <w:pPr>
        <w:ind w:firstLine="539"/>
        <w:jc w:val="both"/>
        <w:rPr>
          <w:rFonts w:ascii="Times New Roman" w:hAnsi="Times New Roman"/>
          <w:sz w:val="24"/>
          <w:szCs w:val="24"/>
        </w:rPr>
      </w:pPr>
      <w:r w:rsidRPr="00D661FB">
        <w:rPr>
          <w:rFonts w:ascii="Times New Roman" w:hAnsi="Times New Roman"/>
          <w:bCs/>
          <w:i/>
          <w:iCs/>
          <w:sz w:val="24"/>
          <w:szCs w:val="24"/>
        </w:rPr>
        <w:t>Ответственность</w:t>
      </w:r>
      <w:r w:rsidRPr="00D661FB">
        <w:rPr>
          <w:rFonts w:ascii="Times New Roman" w:hAnsi="Times New Roman"/>
          <w:i/>
          <w:iCs/>
          <w:sz w:val="24"/>
          <w:szCs w:val="24"/>
        </w:rPr>
        <w:t>.</w:t>
      </w:r>
      <w:r w:rsidRPr="001472BC">
        <w:rPr>
          <w:rFonts w:ascii="Times New Roman" w:hAnsi="Times New Roman"/>
          <w:iCs/>
          <w:sz w:val="24"/>
          <w:szCs w:val="24"/>
        </w:rPr>
        <w:t xml:space="preserve"> </w:t>
      </w:r>
      <w:r w:rsidRPr="001472BC">
        <w:rPr>
          <w:rFonts w:ascii="Times New Roman" w:hAnsi="Times New Roman"/>
          <w:sz w:val="24"/>
          <w:szCs w:val="24"/>
        </w:rPr>
        <w:t>Органы управления НКЦ признают и обеспечивают предусмотренные законодательством Российской Федерации права заинтересованных сторон.</w:t>
      </w:r>
    </w:p>
    <w:p w14:paraId="657DF543" w14:textId="3CAE3D25" w:rsidR="001472BC" w:rsidRPr="001472BC" w:rsidRDefault="001472BC" w:rsidP="001472BC">
      <w:pPr>
        <w:ind w:firstLine="539"/>
        <w:jc w:val="both"/>
        <w:rPr>
          <w:rFonts w:ascii="Times New Roman" w:hAnsi="Times New Roman"/>
          <w:sz w:val="24"/>
          <w:szCs w:val="24"/>
        </w:rPr>
      </w:pPr>
      <w:r w:rsidRPr="00D661FB">
        <w:rPr>
          <w:rFonts w:ascii="Times New Roman" w:hAnsi="Times New Roman"/>
          <w:bCs/>
          <w:i/>
          <w:iCs/>
          <w:sz w:val="24"/>
          <w:szCs w:val="24"/>
        </w:rPr>
        <w:t>Стремление к дальнейшему развитию</w:t>
      </w:r>
      <w:r w:rsidRPr="00D661FB">
        <w:rPr>
          <w:rFonts w:ascii="Times New Roman" w:hAnsi="Times New Roman"/>
          <w:i/>
          <w:iCs/>
          <w:sz w:val="24"/>
          <w:szCs w:val="24"/>
        </w:rPr>
        <w:t>.</w:t>
      </w:r>
      <w:r w:rsidRPr="001472BC">
        <w:rPr>
          <w:rFonts w:ascii="Times New Roman" w:hAnsi="Times New Roman"/>
          <w:iCs/>
          <w:sz w:val="24"/>
          <w:szCs w:val="24"/>
        </w:rPr>
        <w:t xml:space="preserve"> </w:t>
      </w:r>
      <w:r w:rsidRPr="001472BC">
        <w:rPr>
          <w:rFonts w:ascii="Times New Roman" w:hAnsi="Times New Roman"/>
          <w:sz w:val="24"/>
          <w:szCs w:val="24"/>
        </w:rPr>
        <w:t>Органы управления НКЦ признают необходимость постоянного совершенствования сис</w:t>
      </w:r>
      <w:r w:rsidR="0035690E">
        <w:rPr>
          <w:rFonts w:ascii="Times New Roman" w:hAnsi="Times New Roman"/>
          <w:sz w:val="24"/>
          <w:szCs w:val="24"/>
        </w:rPr>
        <w:t xml:space="preserve">темы корпоративного управления </w:t>
      </w:r>
      <w:r w:rsidR="00434A56">
        <w:rPr>
          <w:rFonts w:ascii="Times New Roman" w:hAnsi="Times New Roman"/>
          <w:sz w:val="24"/>
          <w:szCs w:val="24"/>
        </w:rPr>
        <w:t xml:space="preserve">с учетом </w:t>
      </w:r>
      <w:r w:rsidRPr="001472BC">
        <w:rPr>
          <w:rFonts w:ascii="Times New Roman" w:hAnsi="Times New Roman"/>
          <w:sz w:val="24"/>
          <w:szCs w:val="24"/>
        </w:rPr>
        <w:t>развития и влияния внешних факторов, а также необходимость постоянного контроля за соблюдением прав и интересов единственного акционера и иных</w:t>
      </w:r>
    </w:p>
    <w:p w14:paraId="2C370AB8" w14:textId="77777777" w:rsidR="001472BC" w:rsidRPr="001472BC" w:rsidRDefault="001472BC" w:rsidP="001472BC">
      <w:pPr>
        <w:spacing w:after="120"/>
        <w:jc w:val="both"/>
        <w:rPr>
          <w:rFonts w:ascii="Times New Roman" w:hAnsi="Times New Roman"/>
          <w:sz w:val="24"/>
          <w:szCs w:val="24"/>
        </w:rPr>
      </w:pPr>
      <w:r w:rsidRPr="001472BC">
        <w:rPr>
          <w:rFonts w:ascii="Times New Roman" w:hAnsi="Times New Roman"/>
          <w:sz w:val="24"/>
          <w:szCs w:val="24"/>
        </w:rPr>
        <w:t>заинтересованных сторон.</w:t>
      </w:r>
    </w:p>
    <w:p w14:paraId="56A30697" w14:textId="191C9391" w:rsidR="001472BC" w:rsidRPr="001472BC" w:rsidRDefault="00E74F46" w:rsidP="00E74F46">
      <w:pPr>
        <w:spacing w:after="120"/>
        <w:jc w:val="both"/>
        <w:rPr>
          <w:rFonts w:ascii="Times New Roman" w:hAnsi="Times New Roman"/>
          <w:sz w:val="24"/>
          <w:szCs w:val="24"/>
        </w:rPr>
      </w:pPr>
      <w:r>
        <w:rPr>
          <w:rFonts w:ascii="Times New Roman" w:hAnsi="Times New Roman"/>
          <w:sz w:val="24"/>
          <w:szCs w:val="24"/>
        </w:rPr>
        <w:t xml:space="preserve">     </w:t>
      </w:r>
      <w:r w:rsidR="001472BC" w:rsidRPr="001472BC">
        <w:rPr>
          <w:rFonts w:ascii="Times New Roman" w:hAnsi="Times New Roman"/>
          <w:sz w:val="24"/>
          <w:szCs w:val="24"/>
        </w:rPr>
        <w:t>В 2017 году в Принципы были внесены изменения для соответствия НКЦ требованиям Федерального закона «О клиринге, клиринговой деятельности и центральном контрагенте» о наличии в составе Наблюдательного совета центрального контрагента не менее 1/3 независимых директоров. Критерии независимого директора, закрепленн</w:t>
      </w:r>
      <w:r w:rsidR="00956701">
        <w:rPr>
          <w:rFonts w:ascii="Times New Roman" w:hAnsi="Times New Roman"/>
          <w:sz w:val="24"/>
          <w:szCs w:val="24"/>
        </w:rPr>
        <w:t>ые</w:t>
      </w:r>
      <w:r w:rsidR="001472BC" w:rsidRPr="001472BC">
        <w:rPr>
          <w:rFonts w:ascii="Times New Roman" w:hAnsi="Times New Roman"/>
          <w:sz w:val="24"/>
          <w:szCs w:val="24"/>
        </w:rPr>
        <w:t xml:space="preserve"> изменениями в Принципы, в полной мере соответствуют требованиям указанного федерального закона, а установленные критерии связанности и критерии существенности основываются на отдельных положениях Кодекса корпоративного управления Банка России.</w:t>
      </w:r>
    </w:p>
    <w:p w14:paraId="4740AF37" w14:textId="1CEC498B" w:rsidR="001472BC" w:rsidRPr="001472BC" w:rsidRDefault="00E74F46" w:rsidP="00E74F46">
      <w:pPr>
        <w:jc w:val="both"/>
        <w:rPr>
          <w:rFonts w:ascii="Times New Roman" w:hAnsi="Times New Roman"/>
          <w:sz w:val="24"/>
          <w:szCs w:val="24"/>
        </w:rPr>
      </w:pPr>
      <w:r>
        <w:rPr>
          <w:rFonts w:ascii="Times New Roman" w:hAnsi="Times New Roman"/>
          <w:sz w:val="24"/>
          <w:szCs w:val="24"/>
        </w:rPr>
        <w:t xml:space="preserve">     </w:t>
      </w:r>
      <w:r w:rsidR="001472BC" w:rsidRPr="001472BC">
        <w:rPr>
          <w:rFonts w:ascii="Times New Roman" w:hAnsi="Times New Roman"/>
          <w:sz w:val="24"/>
          <w:szCs w:val="24"/>
        </w:rPr>
        <w:t xml:space="preserve">Практика работы Наблюдательного совета показывает высокий уровень вовлеченности его членов в управление деятельностью НКЦ и эффективный контроль за деятельностью Правления и Председателя Правления Общества. Все члены Наблюдательного совета обладают высшим образованием, необходимыми знаниями, навыками и компетенцией для решения долгосрочных стратегических задач развития НКЦ и имеют значительный опыт работы в коллегиальных органах управления. Одновременно все члены Наблюдательного совета соответствуют необходимой квалификации и требованиям к деловой репутации, установленным действующим законодательством Российской Федерации. Члены Наблюдательного совета в своей деятельности подотчетны акционеру НКЦ. </w:t>
      </w:r>
    </w:p>
    <w:p w14:paraId="0E078B23" w14:textId="77777777" w:rsidR="00E74F46" w:rsidRDefault="00E74F46" w:rsidP="00E74F46">
      <w:pPr>
        <w:spacing w:after="120"/>
        <w:jc w:val="both"/>
        <w:rPr>
          <w:rFonts w:ascii="Times New Roman" w:hAnsi="Times New Roman"/>
          <w:sz w:val="24"/>
          <w:szCs w:val="24"/>
        </w:rPr>
      </w:pPr>
    </w:p>
    <w:p w14:paraId="178E9B16" w14:textId="28B59BD1" w:rsidR="001472BC" w:rsidRPr="001472BC" w:rsidRDefault="00E74F46" w:rsidP="00E74F46">
      <w:pPr>
        <w:spacing w:after="120"/>
        <w:jc w:val="both"/>
        <w:rPr>
          <w:rFonts w:ascii="Times New Roman" w:hAnsi="Times New Roman"/>
          <w:sz w:val="24"/>
          <w:szCs w:val="24"/>
        </w:rPr>
      </w:pPr>
      <w:r>
        <w:rPr>
          <w:rFonts w:ascii="Times New Roman" w:hAnsi="Times New Roman"/>
          <w:sz w:val="24"/>
          <w:szCs w:val="24"/>
        </w:rPr>
        <w:t xml:space="preserve">     </w:t>
      </w:r>
      <w:r w:rsidR="001472BC" w:rsidRPr="001472BC">
        <w:rPr>
          <w:rFonts w:ascii="Times New Roman" w:hAnsi="Times New Roman"/>
          <w:sz w:val="24"/>
          <w:szCs w:val="24"/>
        </w:rPr>
        <w:t xml:space="preserve">В связи с получением в 2017 году статуса </w:t>
      </w:r>
      <w:r w:rsidR="00D61A46">
        <w:rPr>
          <w:rFonts w:ascii="Times New Roman" w:hAnsi="Times New Roman"/>
          <w:sz w:val="24"/>
          <w:szCs w:val="24"/>
        </w:rPr>
        <w:t>небанковской кредитной организации-</w:t>
      </w:r>
      <w:r w:rsidR="001472BC" w:rsidRPr="001472BC">
        <w:rPr>
          <w:rFonts w:ascii="Times New Roman" w:hAnsi="Times New Roman"/>
          <w:sz w:val="24"/>
          <w:szCs w:val="24"/>
        </w:rPr>
        <w:t xml:space="preserve">центрального контрагента в НКЦ была проведена оценка независимости действующего состава Наблюдательного совета на предмет соответствия обновленным критериям независимости и связанности, по результатам которой три члена Наблюдательного совета были признаны независимыми директорами.  </w:t>
      </w:r>
    </w:p>
    <w:p w14:paraId="54E0671E" w14:textId="01854C20" w:rsidR="001472BC" w:rsidRPr="001472BC" w:rsidRDefault="00E74F46" w:rsidP="00E74F46">
      <w:pPr>
        <w:jc w:val="both"/>
        <w:rPr>
          <w:rFonts w:ascii="Times New Roman" w:hAnsi="Times New Roman"/>
          <w:sz w:val="24"/>
          <w:szCs w:val="24"/>
        </w:rPr>
      </w:pPr>
      <w:r>
        <w:rPr>
          <w:rFonts w:ascii="Times New Roman" w:hAnsi="Times New Roman"/>
          <w:sz w:val="24"/>
          <w:szCs w:val="24"/>
        </w:rPr>
        <w:lastRenderedPageBreak/>
        <w:t xml:space="preserve">     </w:t>
      </w:r>
      <w:r w:rsidR="001472BC" w:rsidRPr="001472BC">
        <w:rPr>
          <w:rFonts w:ascii="Times New Roman" w:hAnsi="Times New Roman"/>
          <w:sz w:val="24"/>
          <w:szCs w:val="24"/>
        </w:rPr>
        <w:t xml:space="preserve">Для обеспечения принятия качественных и своевременных решений в области назначений и вознаграждений в </w:t>
      </w:r>
      <w:r w:rsidR="0035690E">
        <w:rPr>
          <w:rFonts w:ascii="Times New Roman" w:hAnsi="Times New Roman"/>
          <w:sz w:val="24"/>
          <w:szCs w:val="24"/>
        </w:rPr>
        <w:t xml:space="preserve">составе Наблюдательного совета </w:t>
      </w:r>
      <w:r w:rsidR="001472BC" w:rsidRPr="001472BC">
        <w:rPr>
          <w:rFonts w:ascii="Times New Roman" w:hAnsi="Times New Roman"/>
          <w:sz w:val="24"/>
          <w:szCs w:val="24"/>
        </w:rPr>
        <w:t>функционирует Комитет по назначениям и вознаграждениям. Основной целью такого Комитета является обеспечение эффективной работы Наблюдательного совета НКЦ при решении вопросов, необходимых для обеспечения соответствия системы оплаты труда характеру и масштабу совершаемых НКЦ операций, результатам его деятельности, уровню и сочетанию принимаемых рисков. Комитет проводит подготовку предложений в области назначений и вознаграждений членов Наблюдательного совета, членов исполнительных органов НКЦ. Члены Комитета по назначениям и вознаграждениям не являются членами исполнительных органов НКЦ, большинство членов Комитета обладают достаточным опытом или квалификацией, позволяющими им принимать обоснованные решения.</w:t>
      </w:r>
    </w:p>
    <w:p w14:paraId="16A13E49" w14:textId="77777777" w:rsidR="000F6097" w:rsidRDefault="000F6097" w:rsidP="00E74F46">
      <w:pPr>
        <w:spacing w:after="120"/>
        <w:jc w:val="both"/>
        <w:rPr>
          <w:rFonts w:ascii="Times New Roman" w:hAnsi="Times New Roman"/>
          <w:sz w:val="24"/>
          <w:szCs w:val="24"/>
        </w:rPr>
      </w:pPr>
    </w:p>
    <w:p w14:paraId="2FE6D71F" w14:textId="7B12EA89" w:rsidR="001472BC" w:rsidRPr="001472BC" w:rsidRDefault="00E74F46" w:rsidP="000F6097">
      <w:pPr>
        <w:spacing w:after="120"/>
        <w:jc w:val="both"/>
        <w:rPr>
          <w:rFonts w:ascii="Times New Roman" w:hAnsi="Times New Roman"/>
          <w:sz w:val="24"/>
          <w:szCs w:val="24"/>
        </w:rPr>
      </w:pPr>
      <w:r>
        <w:rPr>
          <w:rFonts w:ascii="Times New Roman" w:hAnsi="Times New Roman"/>
          <w:sz w:val="24"/>
          <w:szCs w:val="24"/>
        </w:rPr>
        <w:t xml:space="preserve">     </w:t>
      </w:r>
      <w:r w:rsidR="001472BC" w:rsidRPr="001472BC">
        <w:rPr>
          <w:rFonts w:ascii="Times New Roman" w:hAnsi="Times New Roman"/>
          <w:sz w:val="24"/>
          <w:szCs w:val="24"/>
        </w:rPr>
        <w:t xml:space="preserve">В целях исполнения требований Федерального закона «О клиринге, клиринговой деятельности и центральном контрагенте» для усиления контроля над системой управления рисками при Наблюдательном совете НКЦ функционирует Комитет по рискам. Основной задачей Комитета является участие в совершенствовании системы управления рисками НКЦ как клиринговой организации и центрального контрагента, в целях повышения финансовой устойчивости </w:t>
      </w:r>
      <w:r w:rsidR="00CB3822">
        <w:rPr>
          <w:rFonts w:ascii="Times New Roman" w:hAnsi="Times New Roman"/>
          <w:sz w:val="24"/>
          <w:szCs w:val="24"/>
        </w:rPr>
        <w:t xml:space="preserve">Общества </w:t>
      </w:r>
      <w:r w:rsidR="001472BC" w:rsidRPr="001472BC">
        <w:rPr>
          <w:rFonts w:ascii="Times New Roman" w:hAnsi="Times New Roman"/>
          <w:sz w:val="24"/>
          <w:szCs w:val="24"/>
        </w:rPr>
        <w:t>и обеспечения непрерывности клиринговой деятельности. Состав Комитета по рискам Наблюдательного совета соответствует требованиям указанного федерального закона и состоит из представителей участников клиринга (две трети состава), независимых членов Наблюдательного совета НКЦ и представителей клиентов участников клиринга.</w:t>
      </w:r>
    </w:p>
    <w:p w14:paraId="45D796A7" w14:textId="5B49DF33" w:rsidR="001472BC" w:rsidRPr="001472BC" w:rsidRDefault="00E74F46" w:rsidP="00E74F46">
      <w:pPr>
        <w:spacing w:after="120"/>
        <w:jc w:val="both"/>
        <w:rPr>
          <w:rFonts w:ascii="Times New Roman" w:hAnsi="Times New Roman"/>
          <w:bCs/>
          <w:sz w:val="24"/>
          <w:szCs w:val="24"/>
        </w:rPr>
      </w:pPr>
      <w:r>
        <w:rPr>
          <w:rFonts w:ascii="Times New Roman" w:hAnsi="Times New Roman"/>
          <w:bCs/>
          <w:sz w:val="24"/>
          <w:szCs w:val="24"/>
        </w:rPr>
        <w:t xml:space="preserve">     </w:t>
      </w:r>
      <w:r w:rsidR="001472BC" w:rsidRPr="001472BC">
        <w:rPr>
          <w:rFonts w:ascii="Times New Roman" w:hAnsi="Times New Roman"/>
          <w:bCs/>
          <w:sz w:val="24"/>
          <w:szCs w:val="24"/>
        </w:rPr>
        <w:t xml:space="preserve">Для повышения эффективности и контроля за состоянием корпоративного управления НКЦ в 2017 году была проведена оценка состояния корпоративного управления с привлечением членов Наблюдательного совета к участию в такой оценке. Проведенная оценка продемонстрировала улучшение состояния корпоративного управления по ряду вопросов, в том числе, в части увеличения количества независимых директоров в составе </w:t>
      </w:r>
      <w:r w:rsidR="00CB3822">
        <w:rPr>
          <w:rFonts w:ascii="Times New Roman" w:hAnsi="Times New Roman"/>
          <w:bCs/>
          <w:sz w:val="24"/>
          <w:szCs w:val="24"/>
        </w:rPr>
        <w:t>Н</w:t>
      </w:r>
      <w:r w:rsidR="001472BC" w:rsidRPr="001472BC">
        <w:rPr>
          <w:rFonts w:ascii="Times New Roman" w:hAnsi="Times New Roman"/>
          <w:bCs/>
          <w:sz w:val="24"/>
          <w:szCs w:val="24"/>
        </w:rPr>
        <w:t xml:space="preserve">аблюдательного совета НКЦ, организации </w:t>
      </w:r>
      <w:r w:rsidR="00CB3822">
        <w:rPr>
          <w:rFonts w:ascii="Times New Roman" w:hAnsi="Times New Roman"/>
          <w:bCs/>
          <w:sz w:val="24"/>
          <w:szCs w:val="24"/>
        </w:rPr>
        <w:t xml:space="preserve">его </w:t>
      </w:r>
      <w:r w:rsidR="001472BC" w:rsidRPr="001472BC">
        <w:rPr>
          <w:rFonts w:ascii="Times New Roman" w:hAnsi="Times New Roman"/>
          <w:bCs/>
          <w:sz w:val="24"/>
          <w:szCs w:val="24"/>
        </w:rPr>
        <w:t>деятельности.</w:t>
      </w:r>
    </w:p>
    <w:p w14:paraId="7ABB6F10" w14:textId="1D4F8DE9" w:rsidR="001472BC" w:rsidRPr="001472BC" w:rsidRDefault="00E74F46" w:rsidP="00E74F46">
      <w:pPr>
        <w:spacing w:after="120"/>
        <w:jc w:val="both"/>
        <w:rPr>
          <w:rFonts w:ascii="Times New Roman" w:hAnsi="Times New Roman"/>
          <w:sz w:val="24"/>
          <w:szCs w:val="24"/>
        </w:rPr>
      </w:pPr>
      <w:r>
        <w:rPr>
          <w:rFonts w:ascii="Times New Roman" w:hAnsi="Times New Roman"/>
          <w:sz w:val="24"/>
          <w:szCs w:val="24"/>
        </w:rPr>
        <w:t xml:space="preserve">     </w:t>
      </w:r>
      <w:r w:rsidR="001472BC" w:rsidRPr="001472BC">
        <w:rPr>
          <w:rFonts w:ascii="Times New Roman" w:hAnsi="Times New Roman"/>
          <w:sz w:val="24"/>
          <w:szCs w:val="24"/>
        </w:rPr>
        <w:t>Практика корпоративного управления в НКЦ обеспечивает Правлению и его Председателю возможность разумно, добросовестно, исключительно в интересах Общества осуществлять эффективное руководство текущей деятельностью, а также подотчетность данных органов Наблюдательному совету и Общему собранию акционеров (единственному акционеру).</w:t>
      </w:r>
      <w:r w:rsidR="001472BC" w:rsidRPr="001472BC">
        <w:rPr>
          <w:rFonts w:ascii="Times New Roman" w:hAnsi="Times New Roman"/>
          <w:color w:val="0000FF"/>
          <w:sz w:val="24"/>
          <w:szCs w:val="24"/>
        </w:rPr>
        <w:t xml:space="preserve"> </w:t>
      </w:r>
      <w:r w:rsidR="001472BC" w:rsidRPr="001472BC">
        <w:rPr>
          <w:rFonts w:ascii="Times New Roman" w:hAnsi="Times New Roman"/>
          <w:sz w:val="24"/>
          <w:szCs w:val="24"/>
        </w:rPr>
        <w:t xml:space="preserve">Правление и Председатель Правления организуют выполнение решений Общего собрания акционеров (единственного акционера) и Наблюдательного совета. </w:t>
      </w:r>
    </w:p>
    <w:p w14:paraId="03A0B652" w14:textId="6B8DB905" w:rsidR="001472BC" w:rsidRPr="001472BC" w:rsidRDefault="00E74F46" w:rsidP="000F6097">
      <w:pPr>
        <w:jc w:val="both"/>
        <w:rPr>
          <w:rFonts w:ascii="Times New Roman" w:hAnsi="Times New Roman"/>
          <w:sz w:val="24"/>
          <w:szCs w:val="24"/>
        </w:rPr>
      </w:pPr>
      <w:r>
        <w:rPr>
          <w:rFonts w:ascii="Times New Roman" w:hAnsi="Times New Roman"/>
          <w:sz w:val="24"/>
          <w:szCs w:val="24"/>
        </w:rPr>
        <w:t xml:space="preserve">     </w:t>
      </w:r>
      <w:r w:rsidR="001472BC" w:rsidRPr="001472BC">
        <w:rPr>
          <w:rFonts w:ascii="Times New Roman" w:hAnsi="Times New Roman"/>
          <w:sz w:val="24"/>
          <w:szCs w:val="24"/>
        </w:rPr>
        <w:t>Одним из ключевых принципов корпоративного управления НКЦ является своевременное раскрытие достоверной информации о</w:t>
      </w:r>
      <w:r w:rsidR="00CB3822">
        <w:rPr>
          <w:rFonts w:ascii="Times New Roman" w:hAnsi="Times New Roman"/>
          <w:sz w:val="24"/>
          <w:szCs w:val="24"/>
        </w:rPr>
        <w:t>б Обществе</w:t>
      </w:r>
      <w:r w:rsidR="001472BC" w:rsidRPr="001472BC">
        <w:rPr>
          <w:rFonts w:ascii="Times New Roman" w:hAnsi="Times New Roman"/>
          <w:sz w:val="24"/>
          <w:szCs w:val="24"/>
        </w:rPr>
        <w:t xml:space="preserve"> в соответствии с требованиями законодательства Российской Федерации и внутренними документами НКЦ. Раскрытие информации осуществляется в соответствии с Положением об информационной политике НКЦ, утвержденным Наблюдательным советом и основанным на принципах регулярности и оперативности предоставления информации, ее доступности для заинтересованных сторон, достоверности и полноты ее содержания. </w:t>
      </w:r>
    </w:p>
    <w:p w14:paraId="477F24DB" w14:textId="77777777" w:rsidR="00CB3822" w:rsidRDefault="00CB3822" w:rsidP="001472BC">
      <w:pPr>
        <w:ind w:firstLine="539"/>
        <w:jc w:val="both"/>
        <w:rPr>
          <w:rFonts w:ascii="Times New Roman" w:hAnsi="Times New Roman"/>
          <w:sz w:val="24"/>
          <w:szCs w:val="24"/>
        </w:rPr>
      </w:pPr>
    </w:p>
    <w:p w14:paraId="73B5C0D2" w14:textId="501CF04C" w:rsidR="001472BC" w:rsidRPr="001472BC" w:rsidRDefault="00E74F46" w:rsidP="00E74F46">
      <w:pPr>
        <w:jc w:val="both"/>
        <w:rPr>
          <w:rFonts w:ascii="Times New Roman" w:hAnsi="Times New Roman"/>
          <w:sz w:val="24"/>
          <w:szCs w:val="24"/>
        </w:rPr>
      </w:pPr>
      <w:r>
        <w:rPr>
          <w:rFonts w:ascii="Times New Roman" w:hAnsi="Times New Roman"/>
          <w:sz w:val="24"/>
          <w:szCs w:val="24"/>
        </w:rPr>
        <w:t xml:space="preserve">     </w:t>
      </w:r>
      <w:r w:rsidR="001472BC" w:rsidRPr="001472BC">
        <w:rPr>
          <w:rFonts w:ascii="Times New Roman" w:hAnsi="Times New Roman"/>
          <w:sz w:val="24"/>
          <w:szCs w:val="24"/>
        </w:rPr>
        <w:t xml:space="preserve">В соответствии с требованиями законодательства НКЦ раскрывает информацию при осуществлении функций кредитной организации, а также клиринговой организации и центрального контрагента. </w:t>
      </w:r>
      <w:r w:rsidR="00CB3822">
        <w:rPr>
          <w:rFonts w:ascii="Times New Roman" w:hAnsi="Times New Roman"/>
          <w:sz w:val="24"/>
          <w:szCs w:val="24"/>
        </w:rPr>
        <w:t>Общество</w:t>
      </w:r>
      <w:r w:rsidR="001472BC" w:rsidRPr="001472BC">
        <w:rPr>
          <w:rFonts w:ascii="Times New Roman" w:hAnsi="Times New Roman"/>
          <w:sz w:val="24"/>
          <w:szCs w:val="24"/>
        </w:rPr>
        <w:t xml:space="preserve"> раскрывает бухгал</w:t>
      </w:r>
      <w:r w:rsidR="001472BC" w:rsidRPr="001472BC">
        <w:rPr>
          <w:rFonts w:ascii="Times New Roman" w:hAnsi="Times New Roman"/>
          <w:sz w:val="24"/>
          <w:szCs w:val="24"/>
        </w:rPr>
        <w:lastRenderedPageBreak/>
        <w:t xml:space="preserve">терскую (финансовую) отчетность в соответствии с российскими и международными стандартами, </w:t>
      </w:r>
      <w:r w:rsidR="00CB3822">
        <w:rPr>
          <w:rFonts w:ascii="Times New Roman" w:hAnsi="Times New Roman"/>
          <w:sz w:val="24"/>
          <w:szCs w:val="24"/>
        </w:rPr>
        <w:t xml:space="preserve">а </w:t>
      </w:r>
      <w:r w:rsidR="001472BC" w:rsidRPr="001472BC">
        <w:rPr>
          <w:rFonts w:ascii="Times New Roman" w:hAnsi="Times New Roman"/>
          <w:sz w:val="24"/>
          <w:szCs w:val="24"/>
        </w:rPr>
        <w:t xml:space="preserve">также дополнительную информацию о своей деятельности, которая может являться существенной для акционера и иных заинтересованных лиц, с соблюдением разумного баланса между открытостью НКЦ и защитой его коммерческих интересов. Для раскрытия информации НКЦ использует наиболее удобные для адресатов средства и способы. Официальный сайт НКЦ является основным каналом раскрытия информации </w:t>
      </w:r>
      <w:r w:rsidR="00CB3822">
        <w:rPr>
          <w:rFonts w:ascii="Times New Roman" w:hAnsi="Times New Roman"/>
          <w:sz w:val="24"/>
          <w:szCs w:val="24"/>
        </w:rPr>
        <w:t>Общества</w:t>
      </w:r>
      <w:r w:rsidR="001472BC" w:rsidRPr="001472BC">
        <w:rPr>
          <w:rFonts w:ascii="Times New Roman" w:hAnsi="Times New Roman"/>
          <w:sz w:val="24"/>
          <w:szCs w:val="24"/>
        </w:rPr>
        <w:t xml:space="preserve">, поэтому на сайте размещается информация, достаточная для формирования объективного представления о существенных аспектах деятельности НКЦ. Существенные события или действия НКЦ, как правило, сопровождаются выпуском пресс-релизов. </w:t>
      </w:r>
    </w:p>
    <w:p w14:paraId="071627D1" w14:textId="77777777" w:rsidR="00131D15" w:rsidRDefault="00131D15" w:rsidP="000F6097">
      <w:pPr>
        <w:spacing w:after="120"/>
        <w:jc w:val="both"/>
        <w:rPr>
          <w:rFonts w:ascii="Times New Roman" w:hAnsi="Times New Roman"/>
          <w:sz w:val="24"/>
          <w:szCs w:val="24"/>
        </w:rPr>
      </w:pPr>
    </w:p>
    <w:p w14:paraId="5829FDF5" w14:textId="57342902" w:rsidR="001472BC" w:rsidRPr="001472BC" w:rsidRDefault="00E74F46" w:rsidP="000F6097">
      <w:pPr>
        <w:spacing w:after="120"/>
        <w:jc w:val="both"/>
        <w:rPr>
          <w:rFonts w:ascii="Times New Roman" w:hAnsi="Times New Roman"/>
          <w:sz w:val="24"/>
          <w:szCs w:val="24"/>
        </w:rPr>
      </w:pPr>
      <w:r>
        <w:rPr>
          <w:rFonts w:ascii="Times New Roman" w:hAnsi="Times New Roman"/>
          <w:sz w:val="24"/>
          <w:szCs w:val="24"/>
        </w:rPr>
        <w:t xml:space="preserve">     </w:t>
      </w:r>
      <w:r w:rsidR="001472BC" w:rsidRPr="001472BC">
        <w:rPr>
          <w:rFonts w:ascii="Times New Roman" w:hAnsi="Times New Roman"/>
          <w:sz w:val="24"/>
          <w:szCs w:val="24"/>
        </w:rPr>
        <w:t>С целью защиты прав и законных интересов акционера и для целей осуществления эффективного контроля за финансово-хозяйственной деятельностью в НКЦ</w:t>
      </w:r>
      <w:r w:rsidR="001472BC" w:rsidRPr="001472BC">
        <w:rPr>
          <w:rFonts w:ascii="Times New Roman" w:eastAsia="Calibri" w:hAnsi="Times New Roman"/>
          <w:color w:val="000000"/>
          <w:sz w:val="24"/>
          <w:szCs w:val="24"/>
        </w:rPr>
        <w:t xml:space="preserve"> </w:t>
      </w:r>
      <w:r w:rsidR="001472BC" w:rsidRPr="001472BC">
        <w:rPr>
          <w:rFonts w:ascii="Times New Roman" w:hAnsi="Times New Roman"/>
          <w:sz w:val="24"/>
          <w:szCs w:val="24"/>
        </w:rPr>
        <w:t>функционирует Ревизионная комиссия, которая избирается на годовом Общем собрании акционеров. Ревизионная комиссия подотчетна Общему собранию акционеров и действует независимо от других органов управления Общества.</w:t>
      </w:r>
    </w:p>
    <w:p w14:paraId="5E007C50" w14:textId="24CA45AD" w:rsidR="001472BC" w:rsidRPr="001472BC" w:rsidRDefault="00E74F46" w:rsidP="00E74F46">
      <w:pPr>
        <w:spacing w:after="120"/>
        <w:jc w:val="both"/>
        <w:rPr>
          <w:rFonts w:ascii="Times New Roman" w:hAnsi="Times New Roman"/>
          <w:sz w:val="24"/>
          <w:szCs w:val="24"/>
        </w:rPr>
      </w:pPr>
      <w:r>
        <w:rPr>
          <w:rFonts w:ascii="Times New Roman" w:hAnsi="Times New Roman"/>
          <w:sz w:val="24"/>
          <w:szCs w:val="24"/>
        </w:rPr>
        <w:t xml:space="preserve">     </w:t>
      </w:r>
      <w:r w:rsidR="001472BC" w:rsidRPr="001472BC">
        <w:rPr>
          <w:rFonts w:ascii="Times New Roman" w:hAnsi="Times New Roman"/>
          <w:sz w:val="24"/>
          <w:szCs w:val="24"/>
        </w:rPr>
        <w:t>Для проверки и подтверждения достоверности финансовой отчетности НКЦ на договорной основе ежегодно привлекает профессиональную аудиторскую организацию, не связанную имущественными интересами с НКЦ или его единственным акционером.</w:t>
      </w:r>
    </w:p>
    <w:p w14:paraId="53AE00DF" w14:textId="5857073D" w:rsidR="001472BC" w:rsidRDefault="00E74F46" w:rsidP="00E74F46">
      <w:pPr>
        <w:jc w:val="both"/>
        <w:rPr>
          <w:rFonts w:ascii="Times New Roman" w:hAnsi="Times New Roman"/>
          <w:sz w:val="24"/>
          <w:szCs w:val="24"/>
        </w:rPr>
      </w:pPr>
      <w:r>
        <w:rPr>
          <w:rFonts w:ascii="Times New Roman" w:hAnsi="Times New Roman"/>
          <w:sz w:val="24"/>
          <w:szCs w:val="24"/>
        </w:rPr>
        <w:t xml:space="preserve">     </w:t>
      </w:r>
      <w:r w:rsidR="001472BC" w:rsidRPr="001472BC">
        <w:rPr>
          <w:rFonts w:ascii="Times New Roman" w:hAnsi="Times New Roman"/>
          <w:sz w:val="24"/>
          <w:szCs w:val="24"/>
        </w:rPr>
        <w:t xml:space="preserve">В </w:t>
      </w:r>
      <w:r w:rsidR="00CB3822">
        <w:rPr>
          <w:rFonts w:ascii="Times New Roman" w:hAnsi="Times New Roman"/>
          <w:sz w:val="24"/>
          <w:szCs w:val="24"/>
        </w:rPr>
        <w:t>Обществе</w:t>
      </w:r>
      <w:r w:rsidR="001472BC" w:rsidRPr="001472BC">
        <w:rPr>
          <w:rFonts w:ascii="Times New Roman" w:hAnsi="Times New Roman"/>
          <w:sz w:val="24"/>
          <w:szCs w:val="24"/>
        </w:rPr>
        <w:t xml:space="preserve"> действует Кодекс деловой этики, закрепляющий принципы взаимодействия работников НКЦ, включая членов исполнительных органов, с клиентами, партнерами, средствами массовой информации, государственными и политическими организациями и иные правила внешних коммуникаций. </w:t>
      </w:r>
      <w:r w:rsidR="00C20094">
        <w:rPr>
          <w:rFonts w:ascii="Times New Roman" w:hAnsi="Times New Roman"/>
          <w:sz w:val="24"/>
          <w:szCs w:val="24"/>
        </w:rPr>
        <w:t>В</w:t>
      </w:r>
      <w:r w:rsidR="001472BC" w:rsidRPr="001472BC">
        <w:rPr>
          <w:rFonts w:ascii="Times New Roman" w:hAnsi="Times New Roman"/>
          <w:sz w:val="24"/>
          <w:szCs w:val="24"/>
        </w:rPr>
        <w:t xml:space="preserve"> НКЦ </w:t>
      </w:r>
      <w:r w:rsidR="00C20094">
        <w:rPr>
          <w:rFonts w:ascii="Times New Roman" w:hAnsi="Times New Roman"/>
          <w:sz w:val="24"/>
          <w:szCs w:val="24"/>
        </w:rPr>
        <w:t xml:space="preserve">также </w:t>
      </w:r>
      <w:r w:rsidR="001472BC" w:rsidRPr="001472BC">
        <w:rPr>
          <w:rFonts w:ascii="Times New Roman" w:hAnsi="Times New Roman"/>
          <w:sz w:val="24"/>
          <w:szCs w:val="24"/>
        </w:rPr>
        <w:t>утвержден Порядок предотвращения конфликта интересов, отражающий основания возникновения конфликта интересов, меры, направленные на их предотвращение и порядок урегулирования конфликта интересов</w:t>
      </w:r>
      <w:r w:rsidR="00C20094">
        <w:rPr>
          <w:rFonts w:ascii="Times New Roman" w:hAnsi="Times New Roman"/>
          <w:sz w:val="24"/>
          <w:szCs w:val="24"/>
        </w:rPr>
        <w:t>. Кроме того, утверждена А</w:t>
      </w:r>
      <w:r w:rsidR="001472BC" w:rsidRPr="001472BC">
        <w:rPr>
          <w:rFonts w:ascii="Times New Roman" w:hAnsi="Times New Roman"/>
          <w:sz w:val="24"/>
          <w:szCs w:val="24"/>
        </w:rPr>
        <w:t xml:space="preserve">нтикоррупционная политика, устанавливающая принципы, которыми руководствуется Общество в своей деятельности в рамках соблюдения требований антикоррупционного законодательства, и ситуации, содержащие признаки коррупционного риска, а также меры, направленные на их предупреждение и противодействие коррупции в деятельности </w:t>
      </w:r>
      <w:r w:rsidR="00C20094">
        <w:rPr>
          <w:rFonts w:ascii="Times New Roman" w:hAnsi="Times New Roman"/>
          <w:sz w:val="24"/>
          <w:szCs w:val="24"/>
        </w:rPr>
        <w:t>НКЦ.</w:t>
      </w:r>
    </w:p>
    <w:p w14:paraId="4B61982C" w14:textId="77777777" w:rsidR="000F6097" w:rsidRDefault="000F6097" w:rsidP="00E74F46">
      <w:pPr>
        <w:jc w:val="both"/>
        <w:rPr>
          <w:rFonts w:ascii="Times New Roman" w:hAnsi="Times New Roman"/>
          <w:sz w:val="24"/>
          <w:szCs w:val="24"/>
        </w:rPr>
      </w:pPr>
    </w:p>
    <w:p w14:paraId="7A17A852" w14:textId="77777777" w:rsidR="000F6097" w:rsidRDefault="000F6097" w:rsidP="00E74F46">
      <w:pPr>
        <w:jc w:val="both"/>
        <w:rPr>
          <w:rFonts w:ascii="Times New Roman" w:hAnsi="Times New Roman"/>
          <w:sz w:val="24"/>
          <w:szCs w:val="24"/>
        </w:rPr>
      </w:pPr>
    </w:p>
    <w:p w14:paraId="78A157E8" w14:textId="77777777" w:rsidR="000F6097" w:rsidRDefault="000F6097" w:rsidP="00E74F46">
      <w:pPr>
        <w:jc w:val="both"/>
        <w:rPr>
          <w:rFonts w:ascii="Times New Roman" w:hAnsi="Times New Roman"/>
          <w:sz w:val="24"/>
          <w:szCs w:val="24"/>
        </w:rPr>
      </w:pPr>
    </w:p>
    <w:p w14:paraId="5048E07B" w14:textId="21396E1F" w:rsidR="000F6097" w:rsidRPr="006B05A8" w:rsidRDefault="000F6097" w:rsidP="000F6097">
      <w:pPr>
        <w:spacing w:after="200"/>
        <w:jc w:val="both"/>
        <w:rPr>
          <w:rFonts w:ascii="Times New Roman" w:hAnsi="Times New Roman"/>
          <w:b/>
          <w:bCs/>
          <w:sz w:val="28"/>
          <w:szCs w:val="28"/>
        </w:rPr>
      </w:pPr>
      <w:r w:rsidRPr="006B05A8">
        <w:rPr>
          <w:rFonts w:ascii="Times New Roman" w:hAnsi="Times New Roman"/>
          <w:b/>
          <w:bCs/>
          <w:sz w:val="28"/>
          <w:szCs w:val="28"/>
        </w:rPr>
        <w:t>Председатель Правления НКО НКЦ (АО)                                А.С. Хавин</w:t>
      </w:r>
    </w:p>
    <w:p w14:paraId="60B664E0" w14:textId="77777777" w:rsidR="000F6097" w:rsidRPr="001472BC" w:rsidRDefault="000F6097" w:rsidP="00E74F46">
      <w:pPr>
        <w:jc w:val="both"/>
        <w:rPr>
          <w:rFonts w:ascii="Times New Roman" w:hAnsi="Times New Roman"/>
          <w:sz w:val="24"/>
          <w:szCs w:val="24"/>
        </w:rPr>
      </w:pPr>
    </w:p>
    <w:p w14:paraId="556455DC" w14:textId="77777777" w:rsidR="001472BC" w:rsidRPr="001472BC" w:rsidRDefault="001472BC" w:rsidP="001472BC">
      <w:pPr>
        <w:ind w:firstLine="567"/>
        <w:jc w:val="both"/>
        <w:rPr>
          <w:rFonts w:ascii="Times New Roman" w:hAnsi="Times New Roman"/>
          <w:sz w:val="24"/>
          <w:szCs w:val="24"/>
        </w:rPr>
      </w:pPr>
    </w:p>
    <w:p w14:paraId="053EB384" w14:textId="77777777" w:rsidR="001472BC" w:rsidRPr="001472BC" w:rsidRDefault="001472BC" w:rsidP="001472BC">
      <w:pPr>
        <w:ind w:firstLine="567"/>
        <w:jc w:val="both"/>
        <w:rPr>
          <w:rFonts w:ascii="Times New Roman" w:hAnsi="Times New Roman"/>
          <w:sz w:val="24"/>
          <w:szCs w:val="24"/>
        </w:rPr>
      </w:pPr>
    </w:p>
    <w:p w14:paraId="51797338" w14:textId="77777777" w:rsidR="00BF135F" w:rsidRPr="001472BC" w:rsidRDefault="00BF135F" w:rsidP="00015C0E">
      <w:pPr>
        <w:widowControl w:val="0"/>
        <w:tabs>
          <w:tab w:val="left" w:pos="8820"/>
        </w:tabs>
        <w:overflowPunct w:val="0"/>
        <w:autoSpaceDE w:val="0"/>
        <w:autoSpaceDN w:val="0"/>
        <w:adjustRightInd w:val="0"/>
        <w:ind w:right="76"/>
        <w:jc w:val="center"/>
        <w:textAlignment w:val="baseline"/>
        <w:rPr>
          <w:rFonts w:ascii="Times New Roman" w:eastAsia="Times New Roman" w:hAnsi="Times New Roman"/>
          <w:b/>
          <w:sz w:val="24"/>
          <w:szCs w:val="24"/>
          <w:lang w:eastAsia="ru-RU"/>
        </w:rPr>
      </w:pPr>
    </w:p>
    <w:sectPr w:rsidR="00BF135F" w:rsidRPr="001472BC" w:rsidSect="003A12FD">
      <w:footerReference w:type="default" r:id="rId3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FFF1C" w14:textId="77777777" w:rsidR="00315BCD" w:rsidRDefault="00315BCD" w:rsidP="00015C0E">
      <w:r>
        <w:separator/>
      </w:r>
    </w:p>
  </w:endnote>
  <w:endnote w:type="continuationSeparator" w:id="0">
    <w:p w14:paraId="3B52957E" w14:textId="77777777" w:rsidR="00315BCD" w:rsidRDefault="00315BCD" w:rsidP="0001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39105"/>
      <w:docPartObj>
        <w:docPartGallery w:val="Page Numbers (Bottom of Page)"/>
        <w:docPartUnique/>
      </w:docPartObj>
    </w:sdtPr>
    <w:sdtEndPr/>
    <w:sdtContent>
      <w:p w14:paraId="01F7247B" w14:textId="198806E2" w:rsidR="00944739" w:rsidRDefault="00944739">
        <w:pPr>
          <w:pStyle w:val="af7"/>
          <w:jc w:val="right"/>
        </w:pPr>
        <w:r>
          <w:fldChar w:fldCharType="begin"/>
        </w:r>
        <w:r>
          <w:instrText>PAGE   \* MERGEFORMAT</w:instrText>
        </w:r>
        <w:r>
          <w:fldChar w:fldCharType="separate"/>
        </w:r>
        <w:r w:rsidR="00054D8A">
          <w:rPr>
            <w:noProof/>
          </w:rPr>
          <w:t>4</w:t>
        </w:r>
        <w:r>
          <w:fldChar w:fldCharType="end"/>
        </w:r>
      </w:p>
    </w:sdtContent>
  </w:sdt>
  <w:p w14:paraId="635B5999" w14:textId="77777777" w:rsidR="00944739" w:rsidRDefault="0094473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CE776" w14:textId="77777777" w:rsidR="00315BCD" w:rsidRDefault="00315BCD" w:rsidP="00015C0E">
      <w:r>
        <w:separator/>
      </w:r>
    </w:p>
  </w:footnote>
  <w:footnote w:type="continuationSeparator" w:id="0">
    <w:p w14:paraId="50546457" w14:textId="77777777" w:rsidR="00315BCD" w:rsidRDefault="00315BCD" w:rsidP="00015C0E">
      <w:r>
        <w:continuationSeparator/>
      </w:r>
    </w:p>
  </w:footnote>
  <w:footnote w:id="1">
    <w:p w14:paraId="29665B74" w14:textId="77777777" w:rsidR="00944739" w:rsidRPr="00DB2A73" w:rsidRDefault="00944739" w:rsidP="00D249C7">
      <w:pPr>
        <w:pStyle w:val="a4"/>
        <w:jc w:val="both"/>
        <w:rPr>
          <w:rFonts w:ascii="Times New Roman" w:hAnsi="Times New Roman" w:cs="Times New Roman"/>
          <w:lang w:val="en-US"/>
        </w:rPr>
      </w:pPr>
      <w:r w:rsidRPr="00DB2A73">
        <w:rPr>
          <w:rStyle w:val="a6"/>
          <w:rFonts w:ascii="Times New Roman" w:hAnsi="Times New Roman" w:cs="Times New Roman"/>
        </w:rPr>
        <w:footnoteRef/>
      </w:r>
      <w:r w:rsidRPr="00DB2A73">
        <w:rPr>
          <w:rFonts w:ascii="Times New Roman" w:hAnsi="Times New Roman" w:cs="Times New Roman"/>
          <w:lang w:val="en-US"/>
        </w:rPr>
        <w:t xml:space="preserve"> </w:t>
      </w:r>
      <w:r w:rsidRPr="00DB2A73">
        <w:rPr>
          <w:rFonts w:ascii="Times New Roman" w:hAnsi="Times New Roman" w:cs="Times New Roman"/>
        </w:rPr>
        <w:t>По</w:t>
      </w:r>
      <w:r w:rsidRPr="00DB2A73">
        <w:rPr>
          <w:rFonts w:ascii="Times New Roman" w:hAnsi="Times New Roman" w:cs="Times New Roman"/>
          <w:lang w:val="en-US"/>
        </w:rPr>
        <w:t xml:space="preserve"> </w:t>
      </w:r>
      <w:r w:rsidRPr="00DB2A73">
        <w:rPr>
          <w:rFonts w:ascii="Times New Roman" w:hAnsi="Times New Roman" w:cs="Times New Roman"/>
        </w:rPr>
        <w:t>данным</w:t>
      </w:r>
      <w:r w:rsidRPr="00DB2A73">
        <w:rPr>
          <w:rFonts w:ascii="Times New Roman" w:hAnsi="Times New Roman" w:cs="Times New Roman"/>
          <w:lang w:val="en-US"/>
        </w:rPr>
        <w:t xml:space="preserve"> Futures Industry Association (FIA) Annual Report 2017, </w:t>
      </w:r>
      <w:r w:rsidRPr="00DB2A73">
        <w:rPr>
          <w:rFonts w:ascii="Times New Roman" w:hAnsi="Times New Roman" w:cs="Times New Roman"/>
        </w:rPr>
        <w:t>опубликованного</w:t>
      </w:r>
      <w:r w:rsidRPr="00DB2A73">
        <w:rPr>
          <w:rFonts w:ascii="Times New Roman" w:hAnsi="Times New Roman" w:cs="Times New Roman"/>
          <w:lang w:val="en-US"/>
        </w:rPr>
        <w:t xml:space="preserve"> 24.01.2018 г. </w:t>
      </w:r>
      <w:r w:rsidRPr="00DB2A73">
        <w:rPr>
          <w:rFonts w:ascii="Times New Roman" w:hAnsi="Times New Roman" w:cs="Times New Roman"/>
        </w:rPr>
        <w:t>на</w:t>
      </w:r>
      <w:r w:rsidRPr="00DB2A73">
        <w:rPr>
          <w:rFonts w:ascii="Times New Roman" w:hAnsi="Times New Roman" w:cs="Times New Roman"/>
          <w:lang w:val="en-US"/>
        </w:rPr>
        <w:t xml:space="preserve"> </w:t>
      </w:r>
      <w:r w:rsidRPr="00DB2A73">
        <w:rPr>
          <w:rFonts w:ascii="Times New Roman" w:hAnsi="Times New Roman" w:cs="Times New Roman"/>
        </w:rPr>
        <w:t>сайте</w:t>
      </w:r>
      <w:r w:rsidRPr="00DB2A73">
        <w:rPr>
          <w:rFonts w:ascii="Times New Roman" w:hAnsi="Times New Roman" w:cs="Times New Roman"/>
          <w:lang w:val="en-US"/>
        </w:rPr>
        <w:t xml:space="preserve"> fia.org </w:t>
      </w:r>
    </w:p>
  </w:footnote>
  <w:footnote w:id="2">
    <w:p w14:paraId="56CF3194" w14:textId="77777777" w:rsidR="00944739" w:rsidRDefault="00944739" w:rsidP="00B16348">
      <w:pPr>
        <w:pStyle w:val="a4"/>
      </w:pPr>
      <w:r>
        <w:rPr>
          <w:rStyle w:val="a6"/>
        </w:rPr>
        <w:footnoteRef/>
      </w:r>
      <w:r>
        <w:t xml:space="preserve"> </w:t>
      </w:r>
      <w:r w:rsidRPr="00D55480">
        <w:t xml:space="preserve">Сведения об участии в органах управления указываются по состоянию на </w:t>
      </w:r>
      <w:r>
        <w:t xml:space="preserve">31 декабря </w:t>
      </w:r>
      <w:r w:rsidRPr="000C40B4">
        <w:t>201</w:t>
      </w:r>
      <w:r>
        <w:t xml:space="preserve">7 </w:t>
      </w:r>
      <w:r w:rsidRPr="000C40B4">
        <w:t>года.</w:t>
      </w:r>
    </w:p>
  </w:footnote>
  <w:footnote w:id="3">
    <w:p w14:paraId="65ADDCB2" w14:textId="77777777" w:rsidR="00944739" w:rsidRDefault="00944739" w:rsidP="00B16348">
      <w:pPr>
        <w:pStyle w:val="a4"/>
      </w:pPr>
      <w:r>
        <w:rPr>
          <w:rStyle w:val="a6"/>
        </w:rPr>
        <w:footnoteRef/>
      </w:r>
      <w:r>
        <w:t xml:space="preserve"> </w:t>
      </w:r>
      <w:r w:rsidRPr="00D55480">
        <w:t xml:space="preserve">Сведения </w:t>
      </w:r>
      <w:r>
        <w:t xml:space="preserve">предоставлены </w:t>
      </w:r>
      <w:r w:rsidRPr="00D55480">
        <w:t xml:space="preserve">по состоянию на </w:t>
      </w:r>
      <w:r>
        <w:t xml:space="preserve">30 сентября </w:t>
      </w:r>
      <w:r w:rsidRPr="000C40B4">
        <w:t>201</w:t>
      </w:r>
      <w:r>
        <w:t xml:space="preserve">7 </w:t>
      </w:r>
      <w:r w:rsidRPr="000C40B4">
        <w:t>года.</w:t>
      </w:r>
    </w:p>
  </w:footnote>
  <w:footnote w:id="4">
    <w:p w14:paraId="59F88203" w14:textId="77777777" w:rsidR="00944739" w:rsidRPr="00B330EF" w:rsidRDefault="00944739" w:rsidP="00C67BA9">
      <w:pPr>
        <w:pStyle w:val="a4"/>
      </w:pPr>
      <w:r>
        <w:rPr>
          <w:rStyle w:val="a6"/>
        </w:rPr>
        <w:footnoteRef/>
      </w:r>
      <w:r>
        <w:t xml:space="preserve"> </w:t>
      </w:r>
      <w:r w:rsidRPr="00994520">
        <w:rPr>
          <w:rFonts w:ascii="Times New Roman" w:hAnsi="Times New Roman"/>
          <w:sz w:val="16"/>
          <w:szCs w:val="16"/>
        </w:rPr>
        <w:t>Инструкци</w:t>
      </w:r>
      <w:r>
        <w:rPr>
          <w:rFonts w:ascii="Times New Roman" w:hAnsi="Times New Roman"/>
          <w:sz w:val="16"/>
          <w:szCs w:val="16"/>
        </w:rPr>
        <w:t>я</w:t>
      </w:r>
      <w:r w:rsidRPr="00994520">
        <w:rPr>
          <w:rFonts w:ascii="Times New Roman" w:hAnsi="Times New Roman"/>
          <w:sz w:val="16"/>
          <w:szCs w:val="16"/>
        </w:rPr>
        <w:t xml:space="preserve"> Банка России от 17.06.2014 № 154-И «О порядке оценки системы оплаты труда в кредитной организации и порядке направления в кредитную организацию предписания об устранении нарушения в ее системе оплаты труда» (далее – Инструкция </w:t>
      </w:r>
      <w:r>
        <w:rPr>
          <w:rFonts w:ascii="Times New Roman" w:hAnsi="Times New Roman"/>
          <w:sz w:val="16"/>
          <w:szCs w:val="16"/>
        </w:rPr>
        <w:t>№</w:t>
      </w:r>
      <w:r w:rsidRPr="00994520">
        <w:rPr>
          <w:rFonts w:ascii="Times New Roman" w:hAnsi="Times New Roman"/>
          <w:sz w:val="16"/>
          <w:szCs w:val="16"/>
        </w:rPr>
        <w:t>154-И)</w:t>
      </w:r>
      <w:r w:rsidRPr="00477DB0">
        <w:rPr>
          <w:rFonts w:ascii="Times New Roman" w:hAnsi="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4B96"/>
    <w:multiLevelType w:val="hybridMultilevel"/>
    <w:tmpl w:val="D3585EF0"/>
    <w:lvl w:ilvl="0" w:tplc="5038FB9A">
      <w:start w:val="1"/>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0631316B"/>
    <w:multiLevelType w:val="hybridMultilevel"/>
    <w:tmpl w:val="31700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D403E"/>
    <w:multiLevelType w:val="hybridMultilevel"/>
    <w:tmpl w:val="9C7E21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0887041"/>
    <w:multiLevelType w:val="hybridMultilevel"/>
    <w:tmpl w:val="773CA2A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E50263"/>
    <w:multiLevelType w:val="hybridMultilevel"/>
    <w:tmpl w:val="171ABCC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A9A416B"/>
    <w:multiLevelType w:val="hybridMultilevel"/>
    <w:tmpl w:val="F8821436"/>
    <w:lvl w:ilvl="0" w:tplc="0419000F">
      <w:start w:val="1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6" w15:restartNumberingAfterBreak="0">
    <w:nsid w:val="1A9D1D05"/>
    <w:multiLevelType w:val="hybridMultilevel"/>
    <w:tmpl w:val="E118E7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F054B6C"/>
    <w:multiLevelType w:val="hybridMultilevel"/>
    <w:tmpl w:val="67C0BE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12654CF"/>
    <w:multiLevelType w:val="hybridMultilevel"/>
    <w:tmpl w:val="BF0CC5C0"/>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9" w15:restartNumberingAfterBreak="0">
    <w:nsid w:val="22FB24EB"/>
    <w:multiLevelType w:val="hybridMultilevel"/>
    <w:tmpl w:val="7DAC9D60"/>
    <w:lvl w:ilvl="0" w:tplc="8DDA6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5086567"/>
    <w:multiLevelType w:val="hybridMultilevel"/>
    <w:tmpl w:val="B7A6FDA8"/>
    <w:lvl w:ilvl="0" w:tplc="F56E3596">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1" w15:restartNumberingAfterBreak="0">
    <w:nsid w:val="265015A2"/>
    <w:multiLevelType w:val="hybridMultilevel"/>
    <w:tmpl w:val="695EB4C6"/>
    <w:lvl w:ilvl="0" w:tplc="0419000F">
      <w:start w:val="1"/>
      <w:numFmt w:val="decimal"/>
      <w:lvlText w:val="%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26AB3401"/>
    <w:multiLevelType w:val="hybridMultilevel"/>
    <w:tmpl w:val="B1662D5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27702D15"/>
    <w:multiLevelType w:val="hybridMultilevel"/>
    <w:tmpl w:val="5A3AF5C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7AF26FF"/>
    <w:multiLevelType w:val="singleLevel"/>
    <w:tmpl w:val="8EA25806"/>
    <w:styleLink w:val="15"/>
    <w:lvl w:ilvl="0">
      <w:start w:val="1"/>
      <w:numFmt w:val="bullet"/>
      <w:pStyle w:val="Pointmark"/>
      <w:lvlText w:val=""/>
      <w:lvlJc w:val="left"/>
      <w:pPr>
        <w:tabs>
          <w:tab w:val="num" w:pos="360"/>
        </w:tabs>
        <w:ind w:left="360" w:hanging="360"/>
      </w:pPr>
      <w:rPr>
        <w:rFonts w:ascii="Symbol" w:hAnsi="Symbol" w:hint="default"/>
      </w:rPr>
    </w:lvl>
  </w:abstractNum>
  <w:abstractNum w:abstractNumId="15" w15:restartNumberingAfterBreak="0">
    <w:nsid w:val="28841695"/>
    <w:multiLevelType w:val="hybridMultilevel"/>
    <w:tmpl w:val="34E0C84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2C6D1DD7"/>
    <w:multiLevelType w:val="hybridMultilevel"/>
    <w:tmpl w:val="26D07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BF5CCB"/>
    <w:multiLevelType w:val="hybridMultilevel"/>
    <w:tmpl w:val="518488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2CFB47B8"/>
    <w:multiLevelType w:val="hybridMultilevel"/>
    <w:tmpl w:val="FD6CA136"/>
    <w:lvl w:ilvl="0" w:tplc="F7983A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FE4329"/>
    <w:multiLevelType w:val="hybridMultilevel"/>
    <w:tmpl w:val="596CD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4C2A34"/>
    <w:multiLevelType w:val="hybridMultilevel"/>
    <w:tmpl w:val="80A0DD50"/>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1" w15:restartNumberingAfterBreak="0">
    <w:nsid w:val="2FAB68FB"/>
    <w:multiLevelType w:val="hybridMultilevel"/>
    <w:tmpl w:val="73CA8696"/>
    <w:lvl w:ilvl="0" w:tplc="04190001">
      <w:start w:val="1"/>
      <w:numFmt w:val="bullet"/>
      <w:lvlText w:val=""/>
      <w:lvlJc w:val="left"/>
      <w:pPr>
        <w:ind w:left="2138" w:hanging="360"/>
      </w:pPr>
      <w:rPr>
        <w:rFonts w:ascii="Symbol" w:hAnsi="Symbol" w:hint="default"/>
        <w:sz w:val="22"/>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2" w15:restartNumberingAfterBreak="0">
    <w:nsid w:val="35193A5C"/>
    <w:multiLevelType w:val="hybridMultilevel"/>
    <w:tmpl w:val="A064AE7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15:restartNumberingAfterBreak="0">
    <w:nsid w:val="35AF2782"/>
    <w:multiLevelType w:val="hybridMultilevel"/>
    <w:tmpl w:val="695EB4C6"/>
    <w:lvl w:ilvl="0" w:tplc="0419000F">
      <w:start w:val="1"/>
      <w:numFmt w:val="decimal"/>
      <w:lvlText w:val="%1."/>
      <w:lvlJc w:val="left"/>
      <w:pPr>
        <w:ind w:left="36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36186C17"/>
    <w:multiLevelType w:val="hybridMultilevel"/>
    <w:tmpl w:val="F15CE140"/>
    <w:lvl w:ilvl="0" w:tplc="E0FE15B0">
      <w:start w:val="1"/>
      <w:numFmt w:val="bullet"/>
      <w:lvlText w:val=""/>
      <w:lvlJc w:val="left"/>
      <w:pPr>
        <w:ind w:left="1196" w:hanging="360"/>
      </w:pPr>
      <w:rPr>
        <w:rFonts w:ascii="Symbol" w:hAnsi="Symbol" w:hint="default"/>
      </w:rPr>
    </w:lvl>
    <w:lvl w:ilvl="1" w:tplc="04190003">
      <w:start w:val="1"/>
      <w:numFmt w:val="bullet"/>
      <w:lvlText w:val="o"/>
      <w:lvlJc w:val="left"/>
      <w:pPr>
        <w:ind w:left="1916" w:hanging="360"/>
      </w:pPr>
      <w:rPr>
        <w:rFonts w:ascii="Courier New" w:hAnsi="Courier New" w:cs="Courier New" w:hint="default"/>
      </w:rPr>
    </w:lvl>
    <w:lvl w:ilvl="2" w:tplc="04190005" w:tentative="1">
      <w:start w:val="1"/>
      <w:numFmt w:val="bullet"/>
      <w:lvlText w:val=""/>
      <w:lvlJc w:val="left"/>
      <w:pPr>
        <w:ind w:left="2636" w:hanging="360"/>
      </w:pPr>
      <w:rPr>
        <w:rFonts w:ascii="Wingdings" w:hAnsi="Wingdings" w:hint="default"/>
      </w:rPr>
    </w:lvl>
    <w:lvl w:ilvl="3" w:tplc="04190001" w:tentative="1">
      <w:start w:val="1"/>
      <w:numFmt w:val="bullet"/>
      <w:lvlText w:val=""/>
      <w:lvlJc w:val="left"/>
      <w:pPr>
        <w:ind w:left="3356" w:hanging="360"/>
      </w:pPr>
      <w:rPr>
        <w:rFonts w:ascii="Symbol" w:hAnsi="Symbol" w:hint="default"/>
      </w:rPr>
    </w:lvl>
    <w:lvl w:ilvl="4" w:tplc="04190003" w:tentative="1">
      <w:start w:val="1"/>
      <w:numFmt w:val="bullet"/>
      <w:lvlText w:val="o"/>
      <w:lvlJc w:val="left"/>
      <w:pPr>
        <w:ind w:left="4076" w:hanging="360"/>
      </w:pPr>
      <w:rPr>
        <w:rFonts w:ascii="Courier New" w:hAnsi="Courier New" w:cs="Courier New" w:hint="default"/>
      </w:rPr>
    </w:lvl>
    <w:lvl w:ilvl="5" w:tplc="04190005" w:tentative="1">
      <w:start w:val="1"/>
      <w:numFmt w:val="bullet"/>
      <w:lvlText w:val=""/>
      <w:lvlJc w:val="left"/>
      <w:pPr>
        <w:ind w:left="4796" w:hanging="360"/>
      </w:pPr>
      <w:rPr>
        <w:rFonts w:ascii="Wingdings" w:hAnsi="Wingdings" w:hint="default"/>
      </w:rPr>
    </w:lvl>
    <w:lvl w:ilvl="6" w:tplc="04190001" w:tentative="1">
      <w:start w:val="1"/>
      <w:numFmt w:val="bullet"/>
      <w:lvlText w:val=""/>
      <w:lvlJc w:val="left"/>
      <w:pPr>
        <w:ind w:left="5516" w:hanging="360"/>
      </w:pPr>
      <w:rPr>
        <w:rFonts w:ascii="Symbol" w:hAnsi="Symbol" w:hint="default"/>
      </w:rPr>
    </w:lvl>
    <w:lvl w:ilvl="7" w:tplc="04190003" w:tentative="1">
      <w:start w:val="1"/>
      <w:numFmt w:val="bullet"/>
      <w:lvlText w:val="o"/>
      <w:lvlJc w:val="left"/>
      <w:pPr>
        <w:ind w:left="6236" w:hanging="360"/>
      </w:pPr>
      <w:rPr>
        <w:rFonts w:ascii="Courier New" w:hAnsi="Courier New" w:cs="Courier New" w:hint="default"/>
      </w:rPr>
    </w:lvl>
    <w:lvl w:ilvl="8" w:tplc="04190005" w:tentative="1">
      <w:start w:val="1"/>
      <w:numFmt w:val="bullet"/>
      <w:lvlText w:val=""/>
      <w:lvlJc w:val="left"/>
      <w:pPr>
        <w:ind w:left="6956" w:hanging="360"/>
      </w:pPr>
      <w:rPr>
        <w:rFonts w:ascii="Wingdings" w:hAnsi="Wingdings" w:hint="default"/>
      </w:rPr>
    </w:lvl>
  </w:abstractNum>
  <w:abstractNum w:abstractNumId="25" w15:restartNumberingAfterBreak="0">
    <w:nsid w:val="374F0506"/>
    <w:multiLevelType w:val="hybridMultilevel"/>
    <w:tmpl w:val="B9685B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A046CDF"/>
    <w:multiLevelType w:val="hybridMultilevel"/>
    <w:tmpl w:val="5A168108"/>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CA66873"/>
    <w:multiLevelType w:val="hybridMultilevel"/>
    <w:tmpl w:val="8EC6D0B0"/>
    <w:lvl w:ilvl="0" w:tplc="F56E3596">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3D8D15DA"/>
    <w:multiLevelType w:val="hybridMultilevel"/>
    <w:tmpl w:val="0330C0DA"/>
    <w:lvl w:ilvl="0" w:tplc="DD8A7AA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3FFA1D8A"/>
    <w:multiLevelType w:val="multilevel"/>
    <w:tmpl w:val="C1F2E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1FB726E"/>
    <w:multiLevelType w:val="hybridMultilevel"/>
    <w:tmpl w:val="695EB4C6"/>
    <w:lvl w:ilvl="0" w:tplc="0419000F">
      <w:start w:val="1"/>
      <w:numFmt w:val="decimal"/>
      <w:lvlText w:val="%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47CA6083"/>
    <w:multiLevelType w:val="hybridMultilevel"/>
    <w:tmpl w:val="9836D8D4"/>
    <w:lvl w:ilvl="0" w:tplc="EC10CB48">
      <w:start w:val="3"/>
      <w:numFmt w:val="upperRoman"/>
      <w:lvlText w:val="%1."/>
      <w:lvlJc w:val="left"/>
      <w:pPr>
        <w:ind w:left="1287"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C93BDD"/>
    <w:multiLevelType w:val="hybridMultilevel"/>
    <w:tmpl w:val="7952C72A"/>
    <w:lvl w:ilvl="0" w:tplc="D98C4FD4">
      <w:start w:val="1"/>
      <w:numFmt w:val="decimal"/>
      <w:lvlText w:val="%1."/>
      <w:lvlJc w:val="left"/>
      <w:pPr>
        <w:ind w:left="927" w:hanging="360"/>
      </w:pPr>
      <w:rPr>
        <w:rFonts w:cstheme="minorBid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DDA70D9"/>
    <w:multiLevelType w:val="hybridMultilevel"/>
    <w:tmpl w:val="F9A86A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380DB3"/>
    <w:multiLevelType w:val="hybridMultilevel"/>
    <w:tmpl w:val="6F20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E5A1869"/>
    <w:multiLevelType w:val="hybridMultilevel"/>
    <w:tmpl w:val="42E4A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EF67D2B"/>
    <w:multiLevelType w:val="multilevel"/>
    <w:tmpl w:val="4334A87E"/>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515270DC"/>
    <w:multiLevelType w:val="hybridMultilevel"/>
    <w:tmpl w:val="D95E9C8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1EE5B3B"/>
    <w:multiLevelType w:val="hybridMultilevel"/>
    <w:tmpl w:val="5A168108"/>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535709A4"/>
    <w:multiLevelType w:val="hybridMultilevel"/>
    <w:tmpl w:val="312A99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373376E"/>
    <w:multiLevelType w:val="hybridMultilevel"/>
    <w:tmpl w:val="68700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5A447C1"/>
    <w:multiLevelType w:val="multilevel"/>
    <w:tmpl w:val="F22072E6"/>
    <w:lvl w:ilvl="0">
      <w:start w:val="28"/>
      <w:numFmt w:val="decimal"/>
      <w:lvlText w:val="%1"/>
      <w:lvlJc w:val="left"/>
      <w:pPr>
        <w:ind w:left="1080" w:hanging="1080"/>
      </w:pPr>
      <w:rPr>
        <w:rFonts w:hint="default"/>
      </w:rPr>
    </w:lvl>
    <w:lvl w:ilvl="1">
      <w:start w:val="6"/>
      <w:numFmt w:val="decimalZero"/>
      <w:lvlText w:val="%1.%2"/>
      <w:lvlJc w:val="left"/>
      <w:pPr>
        <w:ind w:left="1434" w:hanging="1080"/>
      </w:pPr>
      <w:rPr>
        <w:rFonts w:hint="default"/>
      </w:rPr>
    </w:lvl>
    <w:lvl w:ilvl="2">
      <w:start w:val="2016"/>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562639C8"/>
    <w:multiLevelType w:val="hybridMultilevel"/>
    <w:tmpl w:val="F3A6AB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5DF67CF1"/>
    <w:multiLevelType w:val="hybridMultilevel"/>
    <w:tmpl w:val="F384B87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15:restartNumberingAfterBreak="0">
    <w:nsid w:val="5E4C45DC"/>
    <w:multiLevelType w:val="hybridMultilevel"/>
    <w:tmpl w:val="695EB4C6"/>
    <w:lvl w:ilvl="0" w:tplc="0419000F">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62A1038F"/>
    <w:multiLevelType w:val="hybridMultilevel"/>
    <w:tmpl w:val="450671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63102AAB"/>
    <w:multiLevelType w:val="hybridMultilevel"/>
    <w:tmpl w:val="1ABC0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81F3343"/>
    <w:multiLevelType w:val="hybridMultilevel"/>
    <w:tmpl w:val="A8F0AED2"/>
    <w:lvl w:ilvl="0" w:tplc="078CE382">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ADC392A"/>
    <w:multiLevelType w:val="multilevel"/>
    <w:tmpl w:val="7A14E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AE21C29"/>
    <w:multiLevelType w:val="hybridMultilevel"/>
    <w:tmpl w:val="27DA2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B1E2043"/>
    <w:multiLevelType w:val="hybridMultilevel"/>
    <w:tmpl w:val="AFEEEF1C"/>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51" w15:restartNumberingAfterBreak="0">
    <w:nsid w:val="6DD666E7"/>
    <w:multiLevelType w:val="hybridMultilevel"/>
    <w:tmpl w:val="7EB43B60"/>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2" w15:restartNumberingAfterBreak="0">
    <w:nsid w:val="705E16AA"/>
    <w:multiLevelType w:val="hybridMultilevel"/>
    <w:tmpl w:val="3FA872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3455CBE"/>
    <w:multiLevelType w:val="hybridMultilevel"/>
    <w:tmpl w:val="7B20F256"/>
    <w:lvl w:ilvl="0" w:tplc="E926E6CA">
      <w:start w:val="13"/>
      <w:numFmt w:val="decimal"/>
      <w:lvlText w:val="%1."/>
      <w:lvlJc w:val="left"/>
      <w:pPr>
        <w:ind w:left="1630" w:hanging="42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54" w15:restartNumberingAfterBreak="0">
    <w:nsid w:val="74681404"/>
    <w:multiLevelType w:val="hybridMultilevel"/>
    <w:tmpl w:val="0A28029A"/>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5BF7FEE"/>
    <w:multiLevelType w:val="hybridMultilevel"/>
    <w:tmpl w:val="8CFC1BB6"/>
    <w:lvl w:ilvl="0" w:tplc="7476477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15:restartNumberingAfterBreak="0">
    <w:nsid w:val="76EF1148"/>
    <w:multiLevelType w:val="hybridMultilevel"/>
    <w:tmpl w:val="57586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7CB7639"/>
    <w:multiLevelType w:val="hybridMultilevel"/>
    <w:tmpl w:val="534AA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8CC6E38"/>
    <w:multiLevelType w:val="hybridMultilevel"/>
    <w:tmpl w:val="57CCADF0"/>
    <w:lvl w:ilvl="0" w:tplc="04190003">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A2B1E3B"/>
    <w:multiLevelType w:val="hybridMultilevel"/>
    <w:tmpl w:val="F6ACD744"/>
    <w:lvl w:ilvl="0" w:tplc="04190001">
      <w:start w:val="1"/>
      <w:numFmt w:val="bullet"/>
      <w:lvlText w:val=""/>
      <w:lvlJc w:val="left"/>
      <w:pPr>
        <w:ind w:left="720" w:hanging="360"/>
      </w:pPr>
      <w:rPr>
        <w:rFonts w:ascii="Symbol" w:hAnsi="Symbol"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A364B91"/>
    <w:multiLevelType w:val="hybridMultilevel"/>
    <w:tmpl w:val="660078B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1" w15:restartNumberingAfterBreak="0">
    <w:nsid w:val="7A6B1E72"/>
    <w:multiLevelType w:val="hybridMultilevel"/>
    <w:tmpl w:val="5A70DFE2"/>
    <w:lvl w:ilvl="0" w:tplc="04190001">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BCD3199"/>
    <w:multiLevelType w:val="hybridMultilevel"/>
    <w:tmpl w:val="DE18E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CAA4CD5"/>
    <w:multiLevelType w:val="hybridMultilevel"/>
    <w:tmpl w:val="8B9676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DBD0EF7"/>
    <w:multiLevelType w:val="hybridMultilevel"/>
    <w:tmpl w:val="01EAC04A"/>
    <w:lvl w:ilvl="0" w:tplc="107481A4">
      <w:start w:val="1"/>
      <w:numFmt w:val="decimal"/>
      <w:lvlText w:val="%1."/>
      <w:lvlJc w:val="left"/>
      <w:pPr>
        <w:ind w:left="106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0"/>
  </w:num>
  <w:num w:numId="3">
    <w:abstractNumId w:val="9"/>
  </w:num>
  <w:num w:numId="4">
    <w:abstractNumId w:val="8"/>
  </w:num>
  <w:num w:numId="5">
    <w:abstractNumId w:val="42"/>
  </w:num>
  <w:num w:numId="6">
    <w:abstractNumId w:val="35"/>
  </w:num>
  <w:num w:numId="7">
    <w:abstractNumId w:val="7"/>
  </w:num>
  <w:num w:numId="8">
    <w:abstractNumId w:val="19"/>
  </w:num>
  <w:num w:numId="9">
    <w:abstractNumId w:val="62"/>
  </w:num>
  <w:num w:numId="10">
    <w:abstractNumId w:val="56"/>
  </w:num>
  <w:num w:numId="11">
    <w:abstractNumId w:val="1"/>
  </w:num>
  <w:num w:numId="12">
    <w:abstractNumId w:val="34"/>
  </w:num>
  <w:num w:numId="13">
    <w:abstractNumId w:val="25"/>
  </w:num>
  <w:num w:numId="14">
    <w:abstractNumId w:val="47"/>
  </w:num>
  <w:num w:numId="15">
    <w:abstractNumId w:val="58"/>
  </w:num>
  <w:num w:numId="16">
    <w:abstractNumId w:val="37"/>
  </w:num>
  <w:num w:numId="17">
    <w:abstractNumId w:val="54"/>
  </w:num>
  <w:num w:numId="18">
    <w:abstractNumId w:val="3"/>
  </w:num>
  <w:num w:numId="19">
    <w:abstractNumId w:val="16"/>
  </w:num>
  <w:num w:numId="20">
    <w:abstractNumId w:val="28"/>
  </w:num>
  <w:num w:numId="21">
    <w:abstractNumId w:val="13"/>
  </w:num>
  <w:num w:numId="22">
    <w:abstractNumId w:val="32"/>
  </w:num>
  <w:num w:numId="23">
    <w:abstractNumId w:val="31"/>
  </w:num>
  <w:num w:numId="24">
    <w:abstractNumId w:val="18"/>
  </w:num>
  <w:num w:numId="25">
    <w:abstractNumId w:val="52"/>
  </w:num>
  <w:num w:numId="26">
    <w:abstractNumId w:val="57"/>
  </w:num>
  <w:num w:numId="27">
    <w:abstractNumId w:val="63"/>
  </w:num>
  <w:num w:numId="28">
    <w:abstractNumId w:val="49"/>
  </w:num>
  <w:num w:numId="29">
    <w:abstractNumId w:val="23"/>
  </w:num>
  <w:num w:numId="30">
    <w:abstractNumId w:val="64"/>
  </w:num>
  <w:num w:numId="31">
    <w:abstractNumId w:val="38"/>
  </w:num>
  <w:num w:numId="32">
    <w:abstractNumId w:val="60"/>
  </w:num>
  <w:num w:numId="33">
    <w:abstractNumId w:val="26"/>
  </w:num>
  <w:num w:numId="34">
    <w:abstractNumId w:val="41"/>
  </w:num>
  <w:num w:numId="35">
    <w:abstractNumId w:val="5"/>
  </w:num>
  <w:num w:numId="36">
    <w:abstractNumId w:val="40"/>
  </w:num>
  <w:num w:numId="37">
    <w:abstractNumId w:val="30"/>
  </w:num>
  <w:num w:numId="38">
    <w:abstractNumId w:val="11"/>
  </w:num>
  <w:num w:numId="39">
    <w:abstractNumId w:val="44"/>
  </w:num>
  <w:num w:numId="40">
    <w:abstractNumId w:val="51"/>
  </w:num>
  <w:num w:numId="41">
    <w:abstractNumId w:val="15"/>
  </w:num>
  <w:num w:numId="42">
    <w:abstractNumId w:val="4"/>
  </w:num>
  <w:num w:numId="43">
    <w:abstractNumId w:val="12"/>
  </w:num>
  <w:num w:numId="44">
    <w:abstractNumId w:val="43"/>
  </w:num>
  <w:num w:numId="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1"/>
  </w:num>
  <w:num w:numId="47">
    <w:abstractNumId w:val="14"/>
    <w:lvlOverride w:ilvl="0">
      <w:lvl w:ilvl="0">
        <w:start w:val="1"/>
        <w:numFmt w:val="bullet"/>
        <w:pStyle w:val="Pointmark"/>
        <w:lvlText w:val="伀Ŋ儀Ŋ漀(桰＀좖6ÿ"/>
        <w:lvlJc w:val="left"/>
        <w:pPr>
          <w:tabs>
            <w:tab w:val="num" w:pos="360"/>
          </w:tabs>
          <w:ind w:left="360" w:hanging="360"/>
        </w:pPr>
      </w:lvl>
    </w:lvlOverride>
  </w:num>
  <w:num w:numId="48">
    <w:abstractNumId w:val="39"/>
  </w:num>
  <w:num w:numId="49">
    <w:abstractNumId w:val="14"/>
  </w:num>
  <w:num w:numId="50">
    <w:abstractNumId w:val="33"/>
  </w:num>
  <w:num w:numId="51">
    <w:abstractNumId w:val="45"/>
  </w:num>
  <w:num w:numId="52">
    <w:abstractNumId w:val="6"/>
  </w:num>
  <w:num w:numId="53">
    <w:abstractNumId w:val="2"/>
  </w:num>
  <w:num w:numId="54">
    <w:abstractNumId w:val="36"/>
  </w:num>
  <w:num w:numId="55">
    <w:abstractNumId w:val="10"/>
  </w:num>
  <w:num w:numId="56">
    <w:abstractNumId w:val="27"/>
  </w:num>
  <w:num w:numId="57">
    <w:abstractNumId w:val="20"/>
  </w:num>
  <w:num w:numId="58">
    <w:abstractNumId w:val="22"/>
  </w:num>
  <w:num w:numId="59">
    <w:abstractNumId w:val="46"/>
  </w:num>
  <w:num w:numId="60">
    <w:abstractNumId w:val="59"/>
  </w:num>
  <w:num w:numId="61">
    <w:abstractNumId w:val="53"/>
  </w:num>
  <w:num w:numId="62">
    <w:abstractNumId w:val="55"/>
  </w:num>
  <w:num w:numId="63">
    <w:abstractNumId w:val="0"/>
  </w:num>
  <w:num w:numId="64">
    <w:abstractNumId w:val="21"/>
  </w:num>
  <w:num w:numId="65">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2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B78"/>
    <w:rsid w:val="000009F0"/>
    <w:rsid w:val="00001094"/>
    <w:rsid w:val="000075F0"/>
    <w:rsid w:val="00015506"/>
    <w:rsid w:val="00015C0E"/>
    <w:rsid w:val="0002161F"/>
    <w:rsid w:val="00022875"/>
    <w:rsid w:val="00054D8A"/>
    <w:rsid w:val="000864BC"/>
    <w:rsid w:val="00086C2C"/>
    <w:rsid w:val="00090201"/>
    <w:rsid w:val="00090649"/>
    <w:rsid w:val="000925E1"/>
    <w:rsid w:val="00096208"/>
    <w:rsid w:val="000B2B01"/>
    <w:rsid w:val="000D23E7"/>
    <w:rsid w:val="000D500B"/>
    <w:rsid w:val="000D7306"/>
    <w:rsid w:val="000E6DC5"/>
    <w:rsid w:val="000F2B6B"/>
    <w:rsid w:val="000F4ADC"/>
    <w:rsid w:val="000F4CBD"/>
    <w:rsid w:val="000F6097"/>
    <w:rsid w:val="00115E94"/>
    <w:rsid w:val="00125189"/>
    <w:rsid w:val="00131D15"/>
    <w:rsid w:val="0013451A"/>
    <w:rsid w:val="001472BC"/>
    <w:rsid w:val="00166444"/>
    <w:rsid w:val="00181A6F"/>
    <w:rsid w:val="00184FEB"/>
    <w:rsid w:val="0018565B"/>
    <w:rsid w:val="001860BA"/>
    <w:rsid w:val="001930D5"/>
    <w:rsid w:val="00194585"/>
    <w:rsid w:val="001A658F"/>
    <w:rsid w:val="001B7675"/>
    <w:rsid w:val="001C1E6D"/>
    <w:rsid w:val="001C4679"/>
    <w:rsid w:val="001C552B"/>
    <w:rsid w:val="001D44FC"/>
    <w:rsid w:val="001D66DC"/>
    <w:rsid w:val="001E3E8C"/>
    <w:rsid w:val="001E5301"/>
    <w:rsid w:val="001F3145"/>
    <w:rsid w:val="002200A3"/>
    <w:rsid w:val="00224651"/>
    <w:rsid w:val="002257F8"/>
    <w:rsid w:val="00233039"/>
    <w:rsid w:val="00260452"/>
    <w:rsid w:val="0026144B"/>
    <w:rsid w:val="00266434"/>
    <w:rsid w:val="00266F28"/>
    <w:rsid w:val="00286CB1"/>
    <w:rsid w:val="002A5D02"/>
    <w:rsid w:val="002C5661"/>
    <w:rsid w:val="002E515B"/>
    <w:rsid w:val="003002B6"/>
    <w:rsid w:val="003026D3"/>
    <w:rsid w:val="00315BCD"/>
    <w:rsid w:val="0032069A"/>
    <w:rsid w:val="003221B6"/>
    <w:rsid w:val="003275BA"/>
    <w:rsid w:val="00330568"/>
    <w:rsid w:val="00354E0E"/>
    <w:rsid w:val="0035690E"/>
    <w:rsid w:val="00361CF3"/>
    <w:rsid w:val="0038598B"/>
    <w:rsid w:val="00395EDF"/>
    <w:rsid w:val="003A12FD"/>
    <w:rsid w:val="003C049C"/>
    <w:rsid w:val="003D473D"/>
    <w:rsid w:val="003D5CD6"/>
    <w:rsid w:val="003D69CF"/>
    <w:rsid w:val="003F4E49"/>
    <w:rsid w:val="003F6331"/>
    <w:rsid w:val="00400487"/>
    <w:rsid w:val="004202E6"/>
    <w:rsid w:val="0042752D"/>
    <w:rsid w:val="00434A56"/>
    <w:rsid w:val="00446742"/>
    <w:rsid w:val="00447135"/>
    <w:rsid w:val="00457435"/>
    <w:rsid w:val="00463F90"/>
    <w:rsid w:val="00485CB9"/>
    <w:rsid w:val="00496FBA"/>
    <w:rsid w:val="004F10EC"/>
    <w:rsid w:val="004F536A"/>
    <w:rsid w:val="00511657"/>
    <w:rsid w:val="00520AA0"/>
    <w:rsid w:val="00525D29"/>
    <w:rsid w:val="00531E78"/>
    <w:rsid w:val="005375F2"/>
    <w:rsid w:val="005441D2"/>
    <w:rsid w:val="005442F8"/>
    <w:rsid w:val="005566E3"/>
    <w:rsid w:val="005610E8"/>
    <w:rsid w:val="00565EEB"/>
    <w:rsid w:val="005815E7"/>
    <w:rsid w:val="0058663F"/>
    <w:rsid w:val="00590D65"/>
    <w:rsid w:val="005A413D"/>
    <w:rsid w:val="005C60A3"/>
    <w:rsid w:val="005D0AE3"/>
    <w:rsid w:val="005E5980"/>
    <w:rsid w:val="005E7F8F"/>
    <w:rsid w:val="005F6C5D"/>
    <w:rsid w:val="005F703F"/>
    <w:rsid w:val="006031E7"/>
    <w:rsid w:val="00621FA2"/>
    <w:rsid w:val="00625984"/>
    <w:rsid w:val="00640000"/>
    <w:rsid w:val="00640E26"/>
    <w:rsid w:val="0064260E"/>
    <w:rsid w:val="00647838"/>
    <w:rsid w:val="00653954"/>
    <w:rsid w:val="0065576A"/>
    <w:rsid w:val="006603B5"/>
    <w:rsid w:val="006676A5"/>
    <w:rsid w:val="00671880"/>
    <w:rsid w:val="00697DC8"/>
    <w:rsid w:val="006A5C68"/>
    <w:rsid w:val="006B05A8"/>
    <w:rsid w:val="006B0B78"/>
    <w:rsid w:val="006C074F"/>
    <w:rsid w:val="006C1D9B"/>
    <w:rsid w:val="007020E6"/>
    <w:rsid w:val="00703153"/>
    <w:rsid w:val="007160B5"/>
    <w:rsid w:val="00720884"/>
    <w:rsid w:val="00722C56"/>
    <w:rsid w:val="00724F19"/>
    <w:rsid w:val="00726BC7"/>
    <w:rsid w:val="0073461C"/>
    <w:rsid w:val="007553C0"/>
    <w:rsid w:val="0078048B"/>
    <w:rsid w:val="007962C2"/>
    <w:rsid w:val="007A0F11"/>
    <w:rsid w:val="007A2262"/>
    <w:rsid w:val="007A29F7"/>
    <w:rsid w:val="007A3CB9"/>
    <w:rsid w:val="007B2356"/>
    <w:rsid w:val="007B77A7"/>
    <w:rsid w:val="007C64EF"/>
    <w:rsid w:val="007E1E0A"/>
    <w:rsid w:val="007E57BF"/>
    <w:rsid w:val="007F55DE"/>
    <w:rsid w:val="007F63DB"/>
    <w:rsid w:val="00805127"/>
    <w:rsid w:val="0080708D"/>
    <w:rsid w:val="0080787B"/>
    <w:rsid w:val="00835E3E"/>
    <w:rsid w:val="00871C06"/>
    <w:rsid w:val="00880534"/>
    <w:rsid w:val="0088709F"/>
    <w:rsid w:val="008A5C1D"/>
    <w:rsid w:val="008B135E"/>
    <w:rsid w:val="008C16DC"/>
    <w:rsid w:val="008D4996"/>
    <w:rsid w:val="008F2250"/>
    <w:rsid w:val="00904CAC"/>
    <w:rsid w:val="0090529D"/>
    <w:rsid w:val="00944739"/>
    <w:rsid w:val="00944740"/>
    <w:rsid w:val="00945151"/>
    <w:rsid w:val="00953173"/>
    <w:rsid w:val="00953CAF"/>
    <w:rsid w:val="00956701"/>
    <w:rsid w:val="00963277"/>
    <w:rsid w:val="009738AB"/>
    <w:rsid w:val="0098619E"/>
    <w:rsid w:val="00990805"/>
    <w:rsid w:val="009A3094"/>
    <w:rsid w:val="009A73D6"/>
    <w:rsid w:val="009B7594"/>
    <w:rsid w:val="009C7915"/>
    <w:rsid w:val="009E4D5C"/>
    <w:rsid w:val="009F5D88"/>
    <w:rsid w:val="00A105F2"/>
    <w:rsid w:val="00A15B9B"/>
    <w:rsid w:val="00A24FC0"/>
    <w:rsid w:val="00A256F2"/>
    <w:rsid w:val="00A7013B"/>
    <w:rsid w:val="00A72C28"/>
    <w:rsid w:val="00A75FAE"/>
    <w:rsid w:val="00A804E3"/>
    <w:rsid w:val="00A847D4"/>
    <w:rsid w:val="00A92A93"/>
    <w:rsid w:val="00AB256A"/>
    <w:rsid w:val="00AC5DB7"/>
    <w:rsid w:val="00AD694A"/>
    <w:rsid w:val="00AE1E26"/>
    <w:rsid w:val="00B0260E"/>
    <w:rsid w:val="00B11186"/>
    <w:rsid w:val="00B1152E"/>
    <w:rsid w:val="00B16348"/>
    <w:rsid w:val="00B3310A"/>
    <w:rsid w:val="00B359FF"/>
    <w:rsid w:val="00B51561"/>
    <w:rsid w:val="00B51D42"/>
    <w:rsid w:val="00B51D58"/>
    <w:rsid w:val="00B567BF"/>
    <w:rsid w:val="00B66454"/>
    <w:rsid w:val="00B70B47"/>
    <w:rsid w:val="00B80A83"/>
    <w:rsid w:val="00B94001"/>
    <w:rsid w:val="00BA1915"/>
    <w:rsid w:val="00BB4302"/>
    <w:rsid w:val="00BB6DAF"/>
    <w:rsid w:val="00BE7A6C"/>
    <w:rsid w:val="00BF135F"/>
    <w:rsid w:val="00C04F0A"/>
    <w:rsid w:val="00C20094"/>
    <w:rsid w:val="00C24F0F"/>
    <w:rsid w:val="00C324FE"/>
    <w:rsid w:val="00C52172"/>
    <w:rsid w:val="00C64D35"/>
    <w:rsid w:val="00C65E72"/>
    <w:rsid w:val="00C67BA9"/>
    <w:rsid w:val="00C80E8A"/>
    <w:rsid w:val="00C91EF4"/>
    <w:rsid w:val="00CA06AA"/>
    <w:rsid w:val="00CB3822"/>
    <w:rsid w:val="00CB568A"/>
    <w:rsid w:val="00CD2BAC"/>
    <w:rsid w:val="00D00555"/>
    <w:rsid w:val="00D1323B"/>
    <w:rsid w:val="00D13CFB"/>
    <w:rsid w:val="00D17689"/>
    <w:rsid w:val="00D249C7"/>
    <w:rsid w:val="00D33150"/>
    <w:rsid w:val="00D37B0E"/>
    <w:rsid w:val="00D461FD"/>
    <w:rsid w:val="00D61A46"/>
    <w:rsid w:val="00D63CB2"/>
    <w:rsid w:val="00D64111"/>
    <w:rsid w:val="00D661FB"/>
    <w:rsid w:val="00D76935"/>
    <w:rsid w:val="00D7741E"/>
    <w:rsid w:val="00D80EBC"/>
    <w:rsid w:val="00D97B15"/>
    <w:rsid w:val="00DA03FC"/>
    <w:rsid w:val="00DB216A"/>
    <w:rsid w:val="00DC6D4A"/>
    <w:rsid w:val="00DD09C3"/>
    <w:rsid w:val="00DE0832"/>
    <w:rsid w:val="00DF2BA7"/>
    <w:rsid w:val="00DF5FDC"/>
    <w:rsid w:val="00E0488A"/>
    <w:rsid w:val="00E21A8F"/>
    <w:rsid w:val="00E477D5"/>
    <w:rsid w:val="00E52508"/>
    <w:rsid w:val="00E563DC"/>
    <w:rsid w:val="00E74F46"/>
    <w:rsid w:val="00E75250"/>
    <w:rsid w:val="00E80406"/>
    <w:rsid w:val="00E8115B"/>
    <w:rsid w:val="00E917C1"/>
    <w:rsid w:val="00E9438F"/>
    <w:rsid w:val="00EA71B4"/>
    <w:rsid w:val="00EB1CB7"/>
    <w:rsid w:val="00EB266F"/>
    <w:rsid w:val="00EC083B"/>
    <w:rsid w:val="00EC140C"/>
    <w:rsid w:val="00EC224B"/>
    <w:rsid w:val="00EF299C"/>
    <w:rsid w:val="00F0034E"/>
    <w:rsid w:val="00F053E8"/>
    <w:rsid w:val="00F11973"/>
    <w:rsid w:val="00F31DA0"/>
    <w:rsid w:val="00F76336"/>
    <w:rsid w:val="00FA551F"/>
    <w:rsid w:val="00FB40FE"/>
    <w:rsid w:val="00FF5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7330"/>
  <w15:chartTrackingRefBased/>
  <w15:docId w15:val="{5E1FBE58-7B11-45EE-B90B-EA8FF9E9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5E1"/>
    <w:pPr>
      <w:spacing w:after="0" w:line="240" w:lineRule="auto"/>
    </w:pPr>
    <w:rPr>
      <w:rFonts w:ascii="Calibri" w:hAnsi="Calibri" w:cs="Times New Roman"/>
    </w:rPr>
  </w:style>
  <w:style w:type="paragraph" w:styleId="1">
    <w:name w:val="heading 1"/>
    <w:basedOn w:val="a"/>
    <w:next w:val="a"/>
    <w:link w:val="10"/>
    <w:uiPriority w:val="9"/>
    <w:qFormat/>
    <w:rsid w:val="00D33150"/>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33150"/>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A71B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0B78"/>
    <w:rPr>
      <w:color w:val="0563C1"/>
      <w:u w:val="single"/>
    </w:rPr>
  </w:style>
  <w:style w:type="paragraph" w:styleId="a4">
    <w:name w:val="footnote text"/>
    <w:basedOn w:val="a"/>
    <w:link w:val="a5"/>
    <w:uiPriority w:val="99"/>
    <w:semiHidden/>
    <w:unhideWhenUsed/>
    <w:rsid w:val="00015C0E"/>
    <w:rPr>
      <w:rFonts w:asciiTheme="minorHAnsi" w:hAnsiTheme="minorHAnsi" w:cstheme="minorBidi"/>
      <w:sz w:val="20"/>
      <w:szCs w:val="20"/>
    </w:rPr>
  </w:style>
  <w:style w:type="character" w:customStyle="1" w:styleId="a5">
    <w:name w:val="Текст сноски Знак"/>
    <w:basedOn w:val="a0"/>
    <w:link w:val="a4"/>
    <w:uiPriority w:val="99"/>
    <w:semiHidden/>
    <w:rsid w:val="00015C0E"/>
    <w:rPr>
      <w:sz w:val="20"/>
      <w:szCs w:val="20"/>
    </w:rPr>
  </w:style>
  <w:style w:type="character" w:styleId="a6">
    <w:name w:val="footnote reference"/>
    <w:basedOn w:val="a0"/>
    <w:uiPriority w:val="99"/>
    <w:unhideWhenUsed/>
    <w:rsid w:val="00015C0E"/>
    <w:rPr>
      <w:vertAlign w:val="superscript"/>
    </w:rPr>
  </w:style>
  <w:style w:type="paragraph" w:styleId="a7">
    <w:name w:val="Balloon Text"/>
    <w:basedOn w:val="a"/>
    <w:link w:val="a8"/>
    <w:uiPriority w:val="99"/>
    <w:semiHidden/>
    <w:unhideWhenUsed/>
    <w:rsid w:val="00194585"/>
    <w:rPr>
      <w:rFonts w:ascii="Segoe UI" w:hAnsi="Segoe UI" w:cs="Segoe UI"/>
      <w:sz w:val="18"/>
      <w:szCs w:val="18"/>
    </w:rPr>
  </w:style>
  <w:style w:type="character" w:customStyle="1" w:styleId="a8">
    <w:name w:val="Текст выноски Знак"/>
    <w:basedOn w:val="a0"/>
    <w:link w:val="a7"/>
    <w:uiPriority w:val="99"/>
    <w:semiHidden/>
    <w:rsid w:val="00194585"/>
    <w:rPr>
      <w:rFonts w:ascii="Segoe UI" w:hAnsi="Segoe UI" w:cs="Segoe UI"/>
      <w:sz w:val="18"/>
      <w:szCs w:val="18"/>
    </w:rPr>
  </w:style>
  <w:style w:type="character" w:customStyle="1" w:styleId="10">
    <w:name w:val="Заголовок 1 Знак"/>
    <w:basedOn w:val="a0"/>
    <w:link w:val="1"/>
    <w:uiPriority w:val="9"/>
    <w:rsid w:val="00D3315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D33150"/>
    <w:rPr>
      <w:rFonts w:asciiTheme="majorHAnsi" w:eastAsiaTheme="majorEastAsia" w:hAnsiTheme="majorHAnsi" w:cstheme="majorBidi"/>
      <w:color w:val="2E74B5" w:themeColor="accent1" w:themeShade="BF"/>
      <w:sz w:val="26"/>
      <w:szCs w:val="26"/>
    </w:rPr>
  </w:style>
  <w:style w:type="paragraph" w:styleId="a9">
    <w:name w:val="List Paragraph"/>
    <w:aliases w:val="Содержание. 2 уровень,UL,Абзац маркированнный"/>
    <w:basedOn w:val="a"/>
    <w:link w:val="aa"/>
    <w:uiPriority w:val="34"/>
    <w:qFormat/>
    <w:rsid w:val="00D33150"/>
    <w:pPr>
      <w:spacing w:after="200" w:line="276" w:lineRule="auto"/>
      <w:ind w:left="720"/>
      <w:contextualSpacing/>
    </w:pPr>
    <w:rPr>
      <w:rFonts w:eastAsia="Calibri"/>
    </w:rPr>
  </w:style>
  <w:style w:type="paragraph" w:customStyle="1" w:styleId="-11">
    <w:name w:val="Цветной список - Акцент 11"/>
    <w:basedOn w:val="a"/>
    <w:uiPriority w:val="34"/>
    <w:qFormat/>
    <w:rsid w:val="00D33150"/>
    <w:pPr>
      <w:spacing w:after="200" w:line="276" w:lineRule="auto"/>
      <w:ind w:left="720"/>
      <w:contextualSpacing/>
    </w:pPr>
    <w:rPr>
      <w:rFonts w:eastAsia="Calibri"/>
    </w:rPr>
  </w:style>
  <w:style w:type="paragraph" w:styleId="ab">
    <w:name w:val="Normal (Web)"/>
    <w:basedOn w:val="a"/>
    <w:uiPriority w:val="99"/>
    <w:unhideWhenUsed/>
    <w:rsid w:val="00D33150"/>
    <w:pPr>
      <w:spacing w:before="100" w:beforeAutospacing="1" w:after="100" w:afterAutospacing="1"/>
    </w:pPr>
    <w:rPr>
      <w:rFonts w:ascii="Times New Roman" w:eastAsiaTheme="minorEastAsia" w:hAnsi="Times New Roman"/>
      <w:sz w:val="24"/>
      <w:szCs w:val="24"/>
      <w:lang w:eastAsia="ru-RU"/>
    </w:rPr>
  </w:style>
  <w:style w:type="table" w:styleId="ac">
    <w:name w:val="Grid Table Light"/>
    <w:basedOn w:val="a1"/>
    <w:uiPriority w:val="40"/>
    <w:rsid w:val="00D331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Обычный1"/>
    <w:rsid w:val="00125189"/>
    <w:pPr>
      <w:spacing w:after="0" w:line="240" w:lineRule="auto"/>
    </w:pPr>
    <w:rPr>
      <w:rFonts w:ascii="Times New Roman" w:eastAsia="Times New Roman" w:hAnsi="Times New Roman" w:cs="Times New Roman"/>
      <w:sz w:val="20"/>
      <w:szCs w:val="20"/>
      <w:lang w:eastAsia="ru-RU"/>
    </w:rPr>
  </w:style>
  <w:style w:type="character" w:customStyle="1" w:styleId="msoins0">
    <w:name w:val="msoins"/>
    <w:basedOn w:val="a0"/>
    <w:rsid w:val="00125189"/>
  </w:style>
  <w:style w:type="character" w:customStyle="1" w:styleId="aa">
    <w:name w:val="Абзац списка Знак"/>
    <w:aliases w:val="Содержание. 2 уровень Знак,UL Знак,Абзац маркированнный Знак"/>
    <w:basedOn w:val="a0"/>
    <w:link w:val="a9"/>
    <w:uiPriority w:val="34"/>
    <w:locked/>
    <w:rsid w:val="00B16348"/>
    <w:rPr>
      <w:rFonts w:ascii="Calibri" w:eastAsia="Calibri" w:hAnsi="Calibri" w:cs="Times New Roman"/>
    </w:rPr>
  </w:style>
  <w:style w:type="character" w:styleId="ad">
    <w:name w:val="annotation reference"/>
    <w:basedOn w:val="a0"/>
    <w:uiPriority w:val="99"/>
    <w:semiHidden/>
    <w:unhideWhenUsed/>
    <w:rsid w:val="00015506"/>
    <w:rPr>
      <w:sz w:val="16"/>
      <w:szCs w:val="16"/>
    </w:rPr>
  </w:style>
  <w:style w:type="paragraph" w:styleId="ae">
    <w:name w:val="annotation text"/>
    <w:basedOn w:val="a"/>
    <w:link w:val="af"/>
    <w:uiPriority w:val="99"/>
    <w:semiHidden/>
    <w:unhideWhenUsed/>
    <w:rsid w:val="00015506"/>
    <w:rPr>
      <w:rFonts w:ascii="Times New Roman" w:eastAsia="Times New Roman" w:hAnsi="Times New Roman"/>
      <w:sz w:val="20"/>
      <w:szCs w:val="20"/>
      <w:lang w:eastAsia="ru-RU"/>
    </w:rPr>
  </w:style>
  <w:style w:type="character" w:customStyle="1" w:styleId="af">
    <w:name w:val="Текст примечания Знак"/>
    <w:basedOn w:val="a0"/>
    <w:link w:val="ae"/>
    <w:uiPriority w:val="99"/>
    <w:semiHidden/>
    <w:rsid w:val="00015506"/>
    <w:rPr>
      <w:rFonts w:ascii="Times New Roman" w:eastAsia="Times New Roman" w:hAnsi="Times New Roman" w:cs="Times New Roman"/>
      <w:sz w:val="20"/>
      <w:szCs w:val="20"/>
      <w:lang w:eastAsia="ru-RU"/>
    </w:rPr>
  </w:style>
  <w:style w:type="paragraph" w:customStyle="1" w:styleId="Pointmark">
    <w:name w:val="Point (mark)"/>
    <w:next w:val="af0"/>
    <w:qFormat/>
    <w:rsid w:val="00C91EF4"/>
    <w:pPr>
      <w:numPr>
        <w:numId w:val="47"/>
      </w:numPr>
      <w:spacing w:before="60" w:after="0" w:line="240" w:lineRule="auto"/>
      <w:jc w:val="both"/>
    </w:pPr>
    <w:rPr>
      <w:rFonts w:ascii="Times New Roman" w:eastAsia="Times New Roman" w:hAnsi="Times New Roman" w:cs="Arial"/>
      <w:sz w:val="24"/>
      <w:szCs w:val="20"/>
    </w:rPr>
  </w:style>
  <w:style w:type="numbering" w:customStyle="1" w:styleId="15">
    <w:name w:val="Стиль15"/>
    <w:uiPriority w:val="99"/>
    <w:rsid w:val="00C91EF4"/>
    <w:pPr>
      <w:numPr>
        <w:numId w:val="49"/>
      </w:numPr>
    </w:pPr>
  </w:style>
  <w:style w:type="paragraph" w:styleId="af0">
    <w:name w:val="Normal Indent"/>
    <w:basedOn w:val="a"/>
    <w:uiPriority w:val="99"/>
    <w:semiHidden/>
    <w:unhideWhenUsed/>
    <w:rsid w:val="00C91EF4"/>
    <w:pPr>
      <w:ind w:left="708"/>
    </w:pPr>
  </w:style>
  <w:style w:type="paragraph" w:styleId="af1">
    <w:name w:val="annotation subject"/>
    <w:basedOn w:val="ae"/>
    <w:next w:val="ae"/>
    <w:link w:val="af2"/>
    <w:uiPriority w:val="99"/>
    <w:semiHidden/>
    <w:unhideWhenUsed/>
    <w:rsid w:val="003F4E49"/>
    <w:rPr>
      <w:rFonts w:ascii="Calibri" w:eastAsiaTheme="minorHAnsi" w:hAnsi="Calibri"/>
      <w:b/>
      <w:bCs/>
      <w:lang w:eastAsia="en-US"/>
    </w:rPr>
  </w:style>
  <w:style w:type="character" w:customStyle="1" w:styleId="af2">
    <w:name w:val="Тема примечания Знак"/>
    <w:basedOn w:val="af"/>
    <w:link w:val="af1"/>
    <w:uiPriority w:val="99"/>
    <w:semiHidden/>
    <w:rsid w:val="003F4E49"/>
    <w:rPr>
      <w:rFonts w:ascii="Calibri" w:eastAsia="Times New Roman" w:hAnsi="Calibri" w:cs="Times New Roman"/>
      <w:b/>
      <w:bCs/>
      <w:sz w:val="20"/>
      <w:szCs w:val="20"/>
      <w:lang w:eastAsia="ru-RU"/>
    </w:rPr>
  </w:style>
  <w:style w:type="table" w:styleId="af3">
    <w:name w:val="Table Grid"/>
    <w:basedOn w:val="a1"/>
    <w:uiPriority w:val="59"/>
    <w:rsid w:val="001A658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EA71B4"/>
    <w:rPr>
      <w:rFonts w:asciiTheme="majorHAnsi" w:eastAsiaTheme="majorEastAsia" w:hAnsiTheme="majorHAnsi" w:cstheme="majorBidi"/>
      <w:color w:val="1F4D78" w:themeColor="accent1" w:themeShade="7F"/>
      <w:sz w:val="24"/>
      <w:szCs w:val="24"/>
    </w:rPr>
  </w:style>
  <w:style w:type="paragraph" w:styleId="af4">
    <w:name w:val="TOC Heading"/>
    <w:basedOn w:val="1"/>
    <w:next w:val="a"/>
    <w:uiPriority w:val="39"/>
    <w:unhideWhenUsed/>
    <w:qFormat/>
    <w:rsid w:val="00361CF3"/>
    <w:pPr>
      <w:spacing w:line="259" w:lineRule="auto"/>
      <w:outlineLvl w:val="9"/>
    </w:pPr>
    <w:rPr>
      <w:lang w:eastAsia="ru-RU"/>
    </w:rPr>
  </w:style>
  <w:style w:type="paragraph" w:styleId="12">
    <w:name w:val="toc 1"/>
    <w:basedOn w:val="a"/>
    <w:next w:val="a"/>
    <w:autoRedefine/>
    <w:uiPriority w:val="39"/>
    <w:unhideWhenUsed/>
    <w:rsid w:val="00361CF3"/>
    <w:pPr>
      <w:spacing w:after="100"/>
    </w:pPr>
  </w:style>
  <w:style w:type="paragraph" w:styleId="21">
    <w:name w:val="toc 2"/>
    <w:basedOn w:val="a"/>
    <w:next w:val="a"/>
    <w:autoRedefine/>
    <w:uiPriority w:val="39"/>
    <w:unhideWhenUsed/>
    <w:rsid w:val="00361CF3"/>
    <w:pPr>
      <w:spacing w:after="100"/>
      <w:ind w:left="220"/>
    </w:pPr>
  </w:style>
  <w:style w:type="paragraph" w:styleId="31">
    <w:name w:val="toc 3"/>
    <w:basedOn w:val="a"/>
    <w:next w:val="a"/>
    <w:autoRedefine/>
    <w:uiPriority w:val="39"/>
    <w:unhideWhenUsed/>
    <w:rsid w:val="00361CF3"/>
    <w:pPr>
      <w:spacing w:after="100"/>
      <w:ind w:left="440"/>
    </w:pPr>
  </w:style>
  <w:style w:type="paragraph" w:styleId="af5">
    <w:name w:val="header"/>
    <w:basedOn w:val="a"/>
    <w:link w:val="af6"/>
    <w:uiPriority w:val="99"/>
    <w:unhideWhenUsed/>
    <w:rsid w:val="003A12FD"/>
    <w:pPr>
      <w:tabs>
        <w:tab w:val="center" w:pos="4677"/>
        <w:tab w:val="right" w:pos="9355"/>
      </w:tabs>
    </w:pPr>
  </w:style>
  <w:style w:type="character" w:customStyle="1" w:styleId="af6">
    <w:name w:val="Верхний колонтитул Знак"/>
    <w:basedOn w:val="a0"/>
    <w:link w:val="af5"/>
    <w:uiPriority w:val="99"/>
    <w:rsid w:val="003A12FD"/>
    <w:rPr>
      <w:rFonts w:ascii="Calibri" w:hAnsi="Calibri" w:cs="Times New Roman"/>
    </w:rPr>
  </w:style>
  <w:style w:type="paragraph" w:styleId="af7">
    <w:name w:val="footer"/>
    <w:basedOn w:val="a"/>
    <w:link w:val="af8"/>
    <w:uiPriority w:val="99"/>
    <w:unhideWhenUsed/>
    <w:rsid w:val="003A12FD"/>
    <w:pPr>
      <w:tabs>
        <w:tab w:val="center" w:pos="4677"/>
        <w:tab w:val="right" w:pos="9355"/>
      </w:tabs>
    </w:pPr>
  </w:style>
  <w:style w:type="character" w:customStyle="1" w:styleId="af8">
    <w:name w:val="Нижний колонтитул Знак"/>
    <w:basedOn w:val="a0"/>
    <w:link w:val="af7"/>
    <w:uiPriority w:val="99"/>
    <w:rsid w:val="003A12F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634482199">
      <w:bodyDiv w:val="1"/>
      <w:marLeft w:val="0"/>
      <w:marRight w:val="0"/>
      <w:marTop w:val="0"/>
      <w:marBottom w:val="0"/>
      <w:divBdr>
        <w:top w:val="none" w:sz="0" w:space="0" w:color="auto"/>
        <w:left w:val="none" w:sz="0" w:space="0" w:color="auto"/>
        <w:bottom w:val="none" w:sz="0" w:space="0" w:color="auto"/>
        <w:right w:val="none" w:sz="0" w:space="0" w:color="auto"/>
      </w:divBdr>
    </w:div>
    <w:div w:id="689264196">
      <w:bodyDiv w:val="1"/>
      <w:marLeft w:val="0"/>
      <w:marRight w:val="0"/>
      <w:marTop w:val="0"/>
      <w:marBottom w:val="0"/>
      <w:divBdr>
        <w:top w:val="none" w:sz="0" w:space="0" w:color="auto"/>
        <w:left w:val="none" w:sz="0" w:space="0" w:color="auto"/>
        <w:bottom w:val="none" w:sz="0" w:space="0" w:color="auto"/>
        <w:right w:val="none" w:sz="0" w:space="0" w:color="auto"/>
      </w:divBdr>
    </w:div>
    <w:div w:id="2014455518">
      <w:bodyDiv w:val="1"/>
      <w:marLeft w:val="0"/>
      <w:marRight w:val="0"/>
      <w:marTop w:val="0"/>
      <w:marBottom w:val="0"/>
      <w:divBdr>
        <w:top w:val="none" w:sz="0" w:space="0" w:color="auto"/>
        <w:left w:val="none" w:sz="0" w:space="0" w:color="auto"/>
        <w:bottom w:val="none" w:sz="0" w:space="0" w:color="auto"/>
        <w:right w:val="none" w:sz="0" w:space="0" w:color="auto"/>
      </w:divBdr>
      <w:divsChild>
        <w:div w:id="1710302499">
          <w:marLeft w:val="0"/>
          <w:marRight w:val="0"/>
          <w:marTop w:val="0"/>
          <w:marBottom w:val="0"/>
          <w:divBdr>
            <w:top w:val="none" w:sz="0" w:space="0" w:color="auto"/>
            <w:left w:val="none" w:sz="0" w:space="0" w:color="auto"/>
            <w:bottom w:val="none" w:sz="0" w:space="0" w:color="auto"/>
            <w:right w:val="none" w:sz="0" w:space="0" w:color="auto"/>
          </w:divBdr>
        </w:div>
        <w:div w:id="903491306">
          <w:marLeft w:val="0"/>
          <w:marRight w:val="0"/>
          <w:marTop w:val="0"/>
          <w:marBottom w:val="0"/>
          <w:divBdr>
            <w:top w:val="none" w:sz="0" w:space="0" w:color="auto"/>
            <w:left w:val="none" w:sz="0" w:space="0" w:color="auto"/>
            <w:bottom w:val="none" w:sz="0" w:space="0" w:color="auto"/>
            <w:right w:val="none" w:sz="0" w:space="0" w:color="auto"/>
          </w:divBdr>
        </w:div>
        <w:div w:id="1842700703">
          <w:marLeft w:val="0"/>
          <w:marRight w:val="0"/>
          <w:marTop w:val="0"/>
          <w:marBottom w:val="0"/>
          <w:divBdr>
            <w:top w:val="none" w:sz="0" w:space="0" w:color="auto"/>
            <w:left w:val="none" w:sz="0" w:space="0" w:color="auto"/>
            <w:bottom w:val="none" w:sz="0" w:space="0" w:color="auto"/>
            <w:right w:val="none" w:sz="0" w:space="0" w:color="auto"/>
          </w:divBdr>
        </w:div>
        <w:div w:id="1207988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p12site-main.pbworks.com/w/home" TargetMode="External"/><Relationship Id="rId13" Type="http://schemas.openxmlformats.org/officeDocument/2006/relationships/chart" Target="charts/chart1.xml"/><Relationship Id="rId18" Type="http://schemas.openxmlformats.org/officeDocument/2006/relationships/hyperlink" Target="http://fs.moex.com/files/714"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moex.com/s37" TargetMode="External"/><Relationship Id="rId34"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5.xml"/><Relationship Id="rId25" Type="http://schemas.openxmlformats.org/officeDocument/2006/relationships/image" Target="media/image5.png"/><Relationship Id="rId33" Type="http://schemas.openxmlformats.org/officeDocument/2006/relationships/chart" Target="charts/chart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www.nkcbank.ru/viewCatalog.do?menuKey=18" TargetMode="Externa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4.png"/><Relationship Id="rId32" Type="http://schemas.openxmlformats.org/officeDocument/2006/relationships/chart" Target="charts/chart10.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6.xml"/><Relationship Id="rId28" Type="http://schemas.openxmlformats.org/officeDocument/2006/relationships/image" Target="media/image7.png"/><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nkcbank.ru/viewCatalog.do?menuKey=129"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www.eachccp.eu/" TargetMode="External"/><Relationship Id="rId14" Type="http://schemas.openxmlformats.org/officeDocument/2006/relationships/chart" Target="charts/chart2.xml"/><Relationship Id="rId22" Type="http://schemas.openxmlformats.org/officeDocument/2006/relationships/hyperlink" Target="http://www.nkcbank.ru/viewCatalog.do?menuKey=128" TargetMode="External"/><Relationship Id="rId27" Type="http://schemas.openxmlformats.org/officeDocument/2006/relationships/chart" Target="charts/chart7.xml"/><Relationship Id="rId30" Type="http://schemas.openxmlformats.org/officeDocument/2006/relationships/chart" Target="charts/chart9.xml"/><Relationship Id="rId35" Type="http://schemas.openxmlformats.org/officeDocument/2006/relationships/chart" Target="charts/chart1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elyaevaav\Documents\&#1086;&#1073;&#1098;&#1077;&#1084;%20&#1090;&#1086;&#1088;&#1075;&#1086;&#1074;%20&#1080;%20&#1082;&#1086;&#1084;&#1080;&#1089;&#1089;&#1080;&#1103;%20&#1053;&#1050;&#1062;%20(22%2002%202018).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OstrovskayaSV\Documents\&#1088;&#1072;&#1089;&#1095;&#1077;&#1090;&#1099;%20&#1076;&#1083;&#1103;%20&#1043;&#1054;%202016.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OstrovskayaSV\Documents\&#1088;&#1072;&#1089;&#1095;&#1077;&#1090;&#1099;%20&#1076;&#1083;&#1103;%20&#1043;&#1054;%202016.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OstrovskayaSV\Documents\&#1088;&#1072;&#1089;&#1095;&#1077;&#1090;&#1099;%20&#1076;&#1083;&#1103;%20&#1043;&#1054;%202016.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OstrovskayaSV\Documents\&#1088;&#1072;&#1089;&#1095;&#1077;&#1090;&#1099;%20&#1076;&#1083;&#1103;%20&#1043;&#1054;%202016.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belyaevaav\Documents\&#1086;&#1073;&#1098;&#1077;&#1084;%20&#1090;&#1086;&#1088;&#1075;&#1086;&#1074;%20&#1080;%20&#1082;&#1086;&#1084;&#1080;&#1089;&#1089;&#1080;&#1103;%20&#1053;&#1050;&#1062;%20(22%2002%20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elyaevaav\Documents\&#1086;&#1073;&#1098;&#1077;&#1084;%20&#1090;&#1086;&#1088;&#1075;&#1086;&#1074;%20&#1080;%20&#1082;&#1086;&#1084;&#1080;&#1089;&#1089;&#1080;&#1103;%20&#1053;&#1050;&#1062;%20(22%2002%20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elyaevaav\Documents\&#1086;&#1073;&#1098;&#1077;&#1084;%20&#1090;&#1086;&#1088;&#1075;&#1086;&#1074;%20&#1080;%20&#1082;&#1086;&#1084;&#1080;&#1089;&#1089;&#1080;&#1103;%20&#1053;&#1050;&#1062;%20(10%2002%20201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belyaevaav\Documents\&#1086;&#1073;&#1098;&#1077;&#1084;%20&#1090;&#1086;&#1088;&#1075;&#1086;&#1074;%20&#1080;%20&#1082;&#1086;&#1084;&#1080;&#1089;&#1089;&#1080;&#1103;%20&#1053;&#1050;&#1062;%20(10%2002%20201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oleObject" Target="file:///\\office.micex.com\public\files\&#1053;&#1050;&#1062;-&#1050;&#1072;&#1079;&#1085;&#1072;&#1095;&#1077;&#1081;&#1089;&#1090;&#1074;&#1086;\&#1044;&#1077;&#1092;&#1086;&#1083;&#1090;&#1099;\&#1057;&#1090;&#1072;&#1090;&#1080;&#1089;&#1090;&#1080;&#1082;&#1072;%20&#1076;&#1077;&#1092;&#1086;&#1083;&#1090;&#1086;&#1074;\&#1057;&#1090;&#1072;&#1090;&#1080;&#1089;&#1090;&#1080;&#1082;&#1072;%20&#1076;&#1077;&#1092;&#1086;&#1083;&#1090;&#1086;&#1074;.xlsx"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TsyganovaYA\AppData\Local\Microsoft\Windows\INetCache\Content.Outlook\6BEAOESR\&#1050;&#1086;&#1087;&#1080;&#1103;%20&#1043;&#1088;&#1072;&#1092;&#1080;&#1082;&#1080;%20&#1044;&#1052;&#1056;&#1080;&#1056;&#1054;.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office.micex.com\Public\Files\&#1059;&#1040;&#1050;&#1056;&#1080;&#1060;&#1057;\07.&#1054;&#1090;&#1095;&#1077;&#1090;&#1099;\&#1043;&#1086;&#1076;&#1086;&#1074;&#1099;&#1077;_&#1086;&#1090;&#1095;&#1077;&#1090;&#1099;_&#1053;&#1050;&#1062;\&#1043;&#1086;&#1076;&#1086;&#1074;&#1086;&#1081;_&#1086;&#1090;&#1095;&#1077;&#1090;_2017\01.%20&#1048;&#1090;&#1086;&#1075;&#1080;_&#1075;&#1086;&#1076;&#1072;\&#1043;&#1088;&#1072;&#1092;&#1080;&#1082;&#1080;%20&#1059;&#1056;&#105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Users\&#1053;&#1050;&#1062;\IV%20&#1082;&#1074;&#1072;&#1088;&#1090;&#1072;&#1083;%202017\&#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Количество</a:t>
            </a:r>
            <a:r>
              <a:rPr lang="ru-RU" b="1" baseline="0">
                <a:latin typeface="Times New Roman" panose="02020603050405020304" pitchFamily="18" charset="0"/>
                <a:cs typeface="Times New Roman" panose="02020603050405020304" pitchFamily="18" charset="0"/>
              </a:rPr>
              <a:t> участников клиринга на рынках от общего количества всех участников клиринга, шт.</a:t>
            </a:r>
            <a:endParaRPr lang="ru-RU"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Pt>
            <c:idx val="0"/>
            <c:invertIfNegative val="0"/>
            <c:bubble3D val="0"/>
            <c:spPr>
              <a:solidFill>
                <a:srgbClr val="C00000"/>
              </a:solidFill>
              <a:ln>
                <a:noFill/>
              </a:ln>
              <a:effectLst/>
              <a:sp3d/>
            </c:spPr>
            <c:extLst>
              <c:ext xmlns:c16="http://schemas.microsoft.com/office/drawing/2014/chart" uri="{C3380CC4-5D6E-409C-BE32-E72D297353CC}">
                <c16:uniqueId val="{00000001-46AD-4D20-9D00-C2C53A22DDCF}"/>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46AD-4D20-9D00-C2C53A22DDCF}"/>
              </c:ext>
            </c:extLst>
          </c:dPt>
          <c:dPt>
            <c:idx val="2"/>
            <c:invertIfNegative val="0"/>
            <c:bubble3D val="0"/>
            <c:spPr>
              <a:solidFill>
                <a:schemeClr val="accent6"/>
              </a:solidFill>
              <a:ln>
                <a:noFill/>
              </a:ln>
              <a:effectLst/>
              <a:sp3d/>
            </c:spPr>
            <c:extLst>
              <c:ext xmlns:c16="http://schemas.microsoft.com/office/drawing/2014/chart" uri="{C3380CC4-5D6E-409C-BE32-E72D297353CC}">
                <c16:uniqueId val="{00000005-46AD-4D20-9D00-C2C53A22DDCF}"/>
              </c:ext>
            </c:extLst>
          </c:dPt>
          <c:dPt>
            <c:idx val="4"/>
            <c:invertIfNegative val="0"/>
            <c:bubble3D val="0"/>
            <c:spPr>
              <a:solidFill>
                <a:srgbClr val="7030A0"/>
              </a:solidFill>
              <a:ln>
                <a:noFill/>
              </a:ln>
              <a:effectLst/>
              <a:sp3d/>
            </c:spPr>
            <c:extLst>
              <c:ext xmlns:c16="http://schemas.microsoft.com/office/drawing/2014/chart" uri="{C3380CC4-5D6E-409C-BE32-E72D297353CC}">
                <c16:uniqueId val="{00000007-46AD-4D20-9D00-C2C53A22DDCF}"/>
              </c:ext>
            </c:extLst>
          </c:dPt>
          <c:dLbls>
            <c:dLbl>
              <c:idx val="0"/>
              <c:layout>
                <c:manualLayout>
                  <c:x val="1.3940139941442605E-2"/>
                  <c:y val="-0.36574074074074081"/>
                </c:manualLayout>
              </c:layout>
              <c:tx>
                <c:rich>
                  <a:bodyPr/>
                  <a:lstStyle/>
                  <a:p>
                    <a:fld id="{2A6B7D84-5DE0-46AB-9122-6D4EB88E455A}" type="VALUE">
                      <a:rPr lang="en-US"/>
                      <a:pPr/>
                      <a:t>[ЗНАЧЕНИЕ]</a:t>
                    </a:fld>
                    <a:endParaRPr lang="en-US"/>
                  </a:p>
                  <a:p>
                    <a:r>
                      <a:rPr lang="en-US"/>
                      <a:t>463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6AD-4D20-9D00-C2C53A22DDCF}"/>
                </c:ext>
              </c:extLst>
            </c:dLbl>
            <c:dLbl>
              <c:idx val="1"/>
              <c:layout>
                <c:manualLayout>
                  <c:x val="1.3940139941442631E-2"/>
                  <c:y val="-0.32407407407407413"/>
                </c:manualLayout>
              </c:layout>
              <c:tx>
                <c:rich>
                  <a:bodyPr/>
                  <a:lstStyle/>
                  <a:p>
                    <a:fld id="{9B4D2947-61AC-4579-9D6E-2C34322FF390}" type="VALUE">
                      <a:rPr lang="en-US"/>
                      <a:pPr/>
                      <a:t>[ЗНАЧЕНИЕ]</a:t>
                    </a:fld>
                    <a:endParaRPr lang="en-US"/>
                  </a:p>
                  <a:p>
                    <a:r>
                      <a:rPr lang="en-US"/>
                      <a:t>387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6AD-4D20-9D00-C2C53A22DDCF}"/>
                </c:ext>
              </c:extLst>
            </c:dLbl>
            <c:dLbl>
              <c:idx val="2"/>
              <c:layout>
                <c:manualLayout>
                  <c:x val="8.3640839648655273E-3"/>
                  <c:y val="-0.16203703703703712"/>
                </c:manualLayout>
              </c:layout>
              <c:tx>
                <c:rich>
                  <a:bodyPr/>
                  <a:lstStyle/>
                  <a:p>
                    <a:fld id="{53A9CF36-A6EE-40EF-AFFA-0ACF7775D68A}" type="VALUE">
                      <a:rPr lang="en-US"/>
                      <a:pPr/>
                      <a:t>[ЗНАЧЕНИЕ]</a:t>
                    </a:fld>
                    <a:endParaRPr lang="en-US"/>
                  </a:p>
                  <a:p>
                    <a:r>
                      <a:rPr lang="en-US"/>
                      <a:t>113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6AD-4D20-9D00-C2C53A22DDCF}"/>
                </c:ext>
              </c:extLst>
            </c:dLbl>
            <c:dLbl>
              <c:idx val="3"/>
              <c:layout>
                <c:manualLayout>
                  <c:x val="5.5760559765770526E-3"/>
                  <c:y val="-9.2592592592592587E-2"/>
                </c:manualLayout>
              </c:layout>
              <c:tx>
                <c:rich>
                  <a:bodyPr/>
                  <a:lstStyle/>
                  <a:p>
                    <a:fld id="{88106890-F834-43E9-8B0C-A72B4409FC32}" type="VALUE">
                      <a:rPr lang="en-US"/>
                      <a:pPr/>
                      <a:t>[ЗНАЧЕНИЕ]</a:t>
                    </a:fld>
                    <a:endParaRPr lang="en-US"/>
                  </a:p>
                  <a:p>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6AD-4D20-9D00-C2C53A22DDCF}"/>
                </c:ext>
              </c:extLst>
            </c:dLbl>
            <c:dLbl>
              <c:idx val="4"/>
              <c:layout>
                <c:manualLayout>
                  <c:x val="8.3640839648655794E-3"/>
                  <c:y val="-0.11574074074074074"/>
                </c:manualLayout>
              </c:layout>
              <c:tx>
                <c:rich>
                  <a:bodyPr/>
                  <a:lstStyle/>
                  <a:p>
                    <a:fld id="{B382B33C-C2AD-4A6E-8EF7-0F4C4901E543}" type="VALUE">
                      <a:rPr lang="en-US"/>
                      <a:pPr/>
                      <a:t>[ЗНАЧЕНИЕ]</a:t>
                    </a:fld>
                    <a:endParaRPr lang="en-US"/>
                  </a:p>
                  <a:p>
                    <a:r>
                      <a:rPr lang="en-US"/>
                      <a:t>85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6AD-4D20-9D00-C2C53A22DD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'итог 2015-2016'!$G$7:$K$7</c:f>
              <c:strCache>
                <c:ptCount val="5"/>
                <c:pt idx="0">
                  <c:v>ВР+ДМ</c:v>
                </c:pt>
                <c:pt idx="1">
                  <c:v>ФР</c:v>
                </c:pt>
                <c:pt idx="2">
                  <c:v>СР</c:v>
                </c:pt>
                <c:pt idx="3">
                  <c:v>СПФИ</c:v>
                </c:pt>
                <c:pt idx="4">
                  <c:v>ТР НТБ</c:v>
                </c:pt>
              </c:strCache>
            </c:strRef>
          </c:cat>
          <c:val>
            <c:numRef>
              <c:f>'итог 2015-2016'!$G$9:$K$9</c:f>
              <c:numCache>
                <c:formatCode>0.00%</c:formatCode>
                <c:ptCount val="5"/>
                <c:pt idx="0">
                  <c:v>0.81964285714285712</c:v>
                </c:pt>
                <c:pt idx="1">
                  <c:v>0.7232142857142857</c:v>
                </c:pt>
                <c:pt idx="2">
                  <c:v>0.22857142857142856</c:v>
                </c:pt>
                <c:pt idx="3">
                  <c:v>8.3928571428571422E-2</c:v>
                </c:pt>
                <c:pt idx="4">
                  <c:v>2.5000000000000001E-2</c:v>
                </c:pt>
              </c:numCache>
            </c:numRef>
          </c:val>
          <c:extLst>
            <c:ext xmlns:c16="http://schemas.microsoft.com/office/drawing/2014/chart" uri="{C3380CC4-5D6E-409C-BE32-E72D297353CC}">
              <c16:uniqueId val="{00000009-46AD-4D20-9D00-C2C53A22DDCF}"/>
            </c:ext>
          </c:extLst>
        </c:ser>
        <c:dLbls>
          <c:showLegendKey val="0"/>
          <c:showVal val="0"/>
          <c:showCatName val="0"/>
          <c:showSerName val="0"/>
          <c:showPercent val="0"/>
          <c:showBubbleSize val="0"/>
        </c:dLbls>
        <c:gapWidth val="150"/>
        <c:shape val="box"/>
        <c:axId val="913502792"/>
        <c:axId val="1869425424"/>
        <c:axId val="0"/>
      </c:bar3DChart>
      <c:catAx>
        <c:axId val="913502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69425424"/>
        <c:crosses val="autoZero"/>
        <c:auto val="1"/>
        <c:lblAlgn val="ctr"/>
        <c:lblOffset val="100"/>
        <c:tickLblSkip val="1"/>
        <c:noMultiLvlLbl val="0"/>
      </c:catAx>
      <c:valAx>
        <c:axId val="18694254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13502792"/>
        <c:crosses val="autoZero"/>
        <c:crossBetween val="between"/>
      </c:valAx>
      <c:spPr>
        <a:noFill/>
        <a:ln>
          <a:noFill/>
        </a:ln>
        <a:effectLst/>
      </c:spPr>
    </c:plotArea>
    <c:legend>
      <c:legendPos val="r"/>
      <c:layout>
        <c:manualLayout>
          <c:xMode val="edge"/>
          <c:yMode val="edge"/>
          <c:x val="0.83634728682841886"/>
          <c:y val="0.3766819787654988"/>
          <c:w val="0.1636527131715812"/>
          <c:h val="0.430028746971802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Собственные средства (капитал)</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графики!$A$2</c:f>
              <c:strCache>
                <c:ptCount val="1"/>
                <c:pt idx="0">
                  <c:v>Собственные средства (капитал)</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графики!$B$1:$H$1</c:f>
              <c:numCache>
                <c:formatCode>General</c:formatCode>
                <c:ptCount val="7"/>
                <c:pt idx="0">
                  <c:v>2011</c:v>
                </c:pt>
                <c:pt idx="1">
                  <c:v>2012</c:v>
                </c:pt>
                <c:pt idx="2">
                  <c:v>2013</c:v>
                </c:pt>
                <c:pt idx="3">
                  <c:v>2014</c:v>
                </c:pt>
                <c:pt idx="4">
                  <c:v>2015</c:v>
                </c:pt>
                <c:pt idx="5">
                  <c:v>2016</c:v>
                </c:pt>
                <c:pt idx="6">
                  <c:v>2017</c:v>
                </c:pt>
              </c:numCache>
            </c:numRef>
          </c:cat>
          <c:val>
            <c:numRef>
              <c:f>графики!$B$2:$H$2</c:f>
              <c:numCache>
                <c:formatCode>#,##0</c:formatCode>
                <c:ptCount val="7"/>
                <c:pt idx="0">
                  <c:v>9999913</c:v>
                </c:pt>
                <c:pt idx="1">
                  <c:v>13501400</c:v>
                </c:pt>
                <c:pt idx="2">
                  <c:v>28839271</c:v>
                </c:pt>
                <c:pt idx="3">
                  <c:v>38542136</c:v>
                </c:pt>
                <c:pt idx="4">
                  <c:v>54130884</c:v>
                </c:pt>
                <c:pt idx="5">
                  <c:v>46515470</c:v>
                </c:pt>
                <c:pt idx="6">
                  <c:v>45959393</c:v>
                </c:pt>
              </c:numCache>
            </c:numRef>
          </c:val>
          <c:extLst>
            <c:ext xmlns:c16="http://schemas.microsoft.com/office/drawing/2014/chart" uri="{C3380CC4-5D6E-409C-BE32-E72D297353CC}">
              <c16:uniqueId val="{00000000-21C2-40A5-B79C-04739654876E}"/>
            </c:ext>
          </c:extLst>
        </c:ser>
        <c:dLbls>
          <c:dLblPos val="outEnd"/>
          <c:showLegendKey val="0"/>
          <c:showVal val="1"/>
          <c:showCatName val="0"/>
          <c:showSerName val="0"/>
          <c:showPercent val="0"/>
          <c:showBubbleSize val="0"/>
        </c:dLbls>
        <c:gapWidth val="219"/>
        <c:overlap val="-27"/>
        <c:axId val="2024282920"/>
        <c:axId val="2024283312"/>
      </c:barChart>
      <c:catAx>
        <c:axId val="20242829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24283312"/>
        <c:crosses val="autoZero"/>
        <c:auto val="1"/>
        <c:lblAlgn val="ctr"/>
        <c:lblOffset val="100"/>
        <c:noMultiLvlLbl val="0"/>
      </c:catAx>
      <c:valAx>
        <c:axId val="2024283312"/>
        <c:scaling>
          <c:orientation val="minMax"/>
        </c:scaling>
        <c:delete val="1"/>
        <c:axPos val="l"/>
        <c:numFmt formatCode="#,##0" sourceLinked="1"/>
        <c:majorTickMark val="out"/>
        <c:minorTickMark val="none"/>
        <c:tickLblPos val="nextTo"/>
        <c:crossAx val="2024282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1"/>
          <c:order val="0"/>
          <c:tx>
            <c:strRef>
              <c:f>графики!$A$3</c:f>
              <c:strCache>
                <c:ptCount val="1"/>
                <c:pt idx="0">
                  <c:v>Нераспределенная прибыль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графики!$B$1:$H$1</c:f>
              <c:numCache>
                <c:formatCode>General</c:formatCode>
                <c:ptCount val="7"/>
                <c:pt idx="0">
                  <c:v>2011</c:v>
                </c:pt>
                <c:pt idx="1">
                  <c:v>2012</c:v>
                </c:pt>
                <c:pt idx="2">
                  <c:v>2013</c:v>
                </c:pt>
                <c:pt idx="3">
                  <c:v>2014</c:v>
                </c:pt>
                <c:pt idx="4">
                  <c:v>2015</c:v>
                </c:pt>
                <c:pt idx="5">
                  <c:v>2016</c:v>
                </c:pt>
                <c:pt idx="6">
                  <c:v>2017</c:v>
                </c:pt>
              </c:numCache>
            </c:numRef>
          </c:cat>
          <c:val>
            <c:numRef>
              <c:f>графики!$B$3:$H$3</c:f>
              <c:numCache>
                <c:formatCode>#,##0</c:formatCode>
                <c:ptCount val="7"/>
                <c:pt idx="0">
                  <c:v>3615799</c:v>
                </c:pt>
                <c:pt idx="1">
                  <c:v>7034380</c:v>
                </c:pt>
                <c:pt idx="2">
                  <c:v>13350109</c:v>
                </c:pt>
                <c:pt idx="3">
                  <c:v>20914899</c:v>
                </c:pt>
                <c:pt idx="4">
                  <c:v>43766172</c:v>
                </c:pt>
                <c:pt idx="5">
                  <c:v>39367617</c:v>
                </c:pt>
                <c:pt idx="6">
                  <c:v>38883965</c:v>
                </c:pt>
              </c:numCache>
            </c:numRef>
          </c:val>
          <c:extLst>
            <c:ext xmlns:c16="http://schemas.microsoft.com/office/drawing/2014/chart" uri="{C3380CC4-5D6E-409C-BE32-E72D297353CC}">
              <c16:uniqueId val="{00000000-1944-4318-AA4F-72D2042ED87F}"/>
            </c:ext>
          </c:extLst>
        </c:ser>
        <c:dLbls>
          <c:dLblPos val="outEnd"/>
          <c:showLegendKey val="0"/>
          <c:showVal val="1"/>
          <c:showCatName val="0"/>
          <c:showSerName val="0"/>
          <c:showPercent val="0"/>
          <c:showBubbleSize val="0"/>
        </c:dLbls>
        <c:gapWidth val="219"/>
        <c:overlap val="-27"/>
        <c:axId val="2024284096"/>
        <c:axId val="2024284488"/>
      </c:barChart>
      <c:catAx>
        <c:axId val="2024284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24284488"/>
        <c:crosses val="autoZero"/>
        <c:auto val="1"/>
        <c:lblAlgn val="ctr"/>
        <c:lblOffset val="100"/>
        <c:noMultiLvlLbl val="0"/>
      </c:catAx>
      <c:valAx>
        <c:axId val="2024284488"/>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202428409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Уставный капитал</a:t>
            </a:r>
          </a:p>
        </c:rich>
      </c:tx>
      <c:layout>
        <c:manualLayout>
          <c:xMode val="edge"/>
          <c:yMode val="edge"/>
          <c:x val="0.36864229180654745"/>
          <c:y val="2.695417789757412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2"/>
          <c:order val="0"/>
          <c:tx>
            <c:strRef>
              <c:f>Лист1!$A$4</c:f>
              <c:strCache>
                <c:ptCount val="1"/>
                <c:pt idx="0">
                  <c:v>Уставный капитал</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Лист1!$B$1:$K$1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Лист1!$B$4:$K$4</c:f>
              <c:numCache>
                <c:formatCode>#,##0</c:formatCode>
                <c:ptCount val="10"/>
                <c:pt idx="0">
                  <c:v>700000</c:v>
                </c:pt>
                <c:pt idx="1">
                  <c:v>1735000</c:v>
                </c:pt>
                <c:pt idx="2">
                  <c:v>1735000</c:v>
                </c:pt>
                <c:pt idx="3">
                  <c:v>4435000</c:v>
                </c:pt>
                <c:pt idx="4">
                  <c:v>6170000</c:v>
                </c:pt>
                <c:pt idx="5">
                  <c:v>6170000</c:v>
                </c:pt>
                <c:pt idx="6">
                  <c:v>15170000</c:v>
                </c:pt>
                <c:pt idx="7">
                  <c:v>16670000</c:v>
                </c:pt>
                <c:pt idx="8">
                  <c:v>16670000</c:v>
                </c:pt>
                <c:pt idx="9">
                  <c:v>16670000</c:v>
                </c:pt>
              </c:numCache>
            </c:numRef>
          </c:val>
          <c:extLst>
            <c:ext xmlns:c16="http://schemas.microsoft.com/office/drawing/2014/chart" uri="{C3380CC4-5D6E-409C-BE32-E72D297353CC}">
              <c16:uniqueId val="{00000000-9F0D-4FEE-A3AA-E761618ADFF4}"/>
            </c:ext>
          </c:extLst>
        </c:ser>
        <c:dLbls>
          <c:dLblPos val="outEnd"/>
          <c:showLegendKey val="0"/>
          <c:showVal val="1"/>
          <c:showCatName val="0"/>
          <c:showSerName val="0"/>
          <c:showPercent val="0"/>
          <c:showBubbleSize val="0"/>
        </c:dLbls>
        <c:gapWidth val="219"/>
        <c:overlap val="-27"/>
        <c:axId val="2024285272"/>
        <c:axId val="2024285664"/>
      </c:barChart>
      <c:catAx>
        <c:axId val="2024285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24285664"/>
        <c:crosses val="autoZero"/>
        <c:auto val="1"/>
        <c:lblAlgn val="ctr"/>
        <c:lblOffset val="100"/>
        <c:noMultiLvlLbl val="0"/>
      </c:catAx>
      <c:valAx>
        <c:axId val="2024285664"/>
        <c:scaling>
          <c:orientation val="minMax"/>
        </c:scaling>
        <c:delete val="1"/>
        <c:axPos val="l"/>
        <c:numFmt formatCode="#,##0" sourceLinked="1"/>
        <c:majorTickMark val="none"/>
        <c:minorTickMark val="none"/>
        <c:tickLblPos val="nextTo"/>
        <c:crossAx val="2024285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Источники, уменьшающие собственные средства (капитал)</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графики!$E$8</c:f>
              <c:strCache>
                <c:ptCount val="1"/>
                <c:pt idx="0">
                  <c:v>Выделенный капитал</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графики!$E$7:$H$7</c:f>
              <c:strCache>
                <c:ptCount val="3"/>
                <c:pt idx="0">
                  <c:v>2015</c:v>
                </c:pt>
                <c:pt idx="1">
                  <c:v>2016</c:v>
                </c:pt>
                <c:pt idx="2">
                  <c:v>2017</c:v>
                </c:pt>
              </c:strCache>
            </c:strRef>
          </c:cat>
          <c:val>
            <c:numRef>
              <c:f>графики!$E$8:$H$8</c:f>
              <c:numCache>
                <c:formatCode>#,##0</c:formatCode>
                <c:ptCount val="3"/>
                <c:pt idx="0">
                  <c:v>6500000</c:v>
                </c:pt>
                <c:pt idx="1">
                  <c:v>9500000</c:v>
                </c:pt>
                <c:pt idx="2">
                  <c:v>9500000</c:v>
                </c:pt>
              </c:numCache>
            </c:numRef>
          </c:val>
          <c:extLst>
            <c:ext xmlns:c16="http://schemas.microsoft.com/office/drawing/2014/chart" uri="{C3380CC4-5D6E-409C-BE32-E72D297353CC}">
              <c16:uniqueId val="{00000000-FA77-447A-AA02-60CC34DF999B}"/>
            </c:ext>
          </c:extLst>
        </c:ser>
        <c:ser>
          <c:idx val="1"/>
          <c:order val="1"/>
          <c:tx>
            <c:strRef>
              <c:f>графики!$E$9</c:f>
              <c:strCache>
                <c:ptCount val="1"/>
                <c:pt idx="0">
                  <c:v>Капитал ЦК на покрытие возможных потерь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графики!$E$7:$H$7</c:f>
              <c:strCache>
                <c:ptCount val="3"/>
                <c:pt idx="0">
                  <c:v>2015</c:v>
                </c:pt>
                <c:pt idx="1">
                  <c:v>2016</c:v>
                </c:pt>
                <c:pt idx="2">
                  <c:v>2017</c:v>
                </c:pt>
              </c:strCache>
            </c:strRef>
          </c:cat>
          <c:val>
            <c:numRef>
              <c:f>графики!$E$9:$H$9</c:f>
              <c:numCache>
                <c:formatCode>#,##0</c:formatCode>
                <c:ptCount val="3"/>
                <c:pt idx="0">
                  <c:v>766498</c:v>
                </c:pt>
                <c:pt idx="1">
                  <c:v>889965</c:v>
                </c:pt>
                <c:pt idx="2">
                  <c:v>898664</c:v>
                </c:pt>
              </c:numCache>
            </c:numRef>
          </c:val>
          <c:extLst>
            <c:ext xmlns:c16="http://schemas.microsoft.com/office/drawing/2014/chart" uri="{C3380CC4-5D6E-409C-BE32-E72D297353CC}">
              <c16:uniqueId val="{00000001-FA77-447A-AA02-60CC34DF999B}"/>
            </c:ext>
          </c:extLst>
        </c:ser>
        <c:dLbls>
          <c:dLblPos val="outEnd"/>
          <c:showLegendKey val="0"/>
          <c:showVal val="1"/>
          <c:showCatName val="0"/>
          <c:showSerName val="0"/>
          <c:showPercent val="0"/>
          <c:showBubbleSize val="0"/>
        </c:dLbls>
        <c:gapWidth val="219"/>
        <c:overlap val="-27"/>
        <c:axId val="2024286448"/>
        <c:axId val="2024286840"/>
      </c:barChart>
      <c:catAx>
        <c:axId val="202428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24286840"/>
        <c:crosses val="autoZero"/>
        <c:auto val="1"/>
        <c:lblAlgn val="ctr"/>
        <c:lblOffset val="100"/>
        <c:noMultiLvlLbl val="0"/>
      </c:catAx>
      <c:valAx>
        <c:axId val="2024286840"/>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202428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Объем обязательств,</a:t>
            </a:r>
            <a:r>
              <a:rPr lang="ru-RU" b="1" baseline="0">
                <a:latin typeface="Times New Roman" panose="02020603050405020304" pitchFamily="18" charset="0"/>
                <a:cs typeface="Times New Roman" panose="02020603050405020304" pitchFamily="18" charset="0"/>
              </a:rPr>
              <a:t> определенных по итогам клиринга, млрд руб.</a:t>
            </a:r>
            <a:endParaRPr lang="ru-RU"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E43A-4CC9-870F-F685D27ED64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43A-4CC9-870F-F685D27ED64A}"/>
              </c:ext>
            </c:extLst>
          </c:dPt>
          <c:dPt>
            <c:idx val="2"/>
            <c:bubble3D val="0"/>
            <c:spPr>
              <a:solidFill>
                <a:schemeClr val="accent6">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E43A-4CC9-870F-F685D27ED64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43A-4CC9-870F-F685D27ED64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43A-4CC9-870F-F685D27ED64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43A-4CC9-870F-F685D27ED64A}"/>
              </c:ext>
            </c:extLst>
          </c:dPt>
          <c:dLbls>
            <c:dLbl>
              <c:idx val="0"/>
              <c:layout>
                <c:manualLayout>
                  <c:x val="-5.2335958005249343E-3"/>
                  <c:y val="2.8542213473315751E-2"/>
                </c:manualLayout>
              </c:layout>
              <c:tx>
                <c:rich>
                  <a:bodyPr/>
                  <a:lstStyle/>
                  <a:p>
                    <a:r>
                      <a:rPr lang="ru-RU" sz="800" b="0" i="0" u="none" strike="noStrike" kern="1200" baseline="0">
                        <a:solidFill>
                          <a:sysClr val="windowText" lastClr="000000">
                            <a:lumMod val="75000"/>
                            <a:lumOff val="25000"/>
                          </a:sysClr>
                        </a:solidFill>
                      </a:rPr>
                      <a:t>ВР: 659 909</a:t>
                    </a:r>
                    <a:endParaRPr lang="ru-RU"/>
                  </a:p>
                  <a:p>
                    <a:fld id="{E2F43F6A-5DA5-41C9-A03F-6E2CC310051F}" type="VALUE">
                      <a:rPr lang="en-US"/>
                      <a:pPr/>
                      <a:t>[ЗНАЧЕНИЕ]</a:t>
                    </a:fld>
                    <a:endParaRPr lang="ru-RU"/>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43A-4CC9-870F-F685D27ED64A}"/>
                </c:ext>
              </c:extLst>
            </c:dLbl>
            <c:dLbl>
              <c:idx val="1"/>
              <c:layout>
                <c:manualLayout>
                  <c:x val="-5.1666010498687666E-2"/>
                  <c:y val="-0.11816200058326043"/>
                </c:manualLayout>
              </c:layout>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r>
                      <a:rPr lang="ru-RU" sz="900" b="0" i="0" u="none" strike="noStrike" kern="1200" baseline="0">
                        <a:solidFill>
                          <a:sysClr val="windowText" lastClr="000000">
                            <a:lumMod val="75000"/>
                            <a:lumOff val="25000"/>
                          </a:sysClr>
                        </a:solidFill>
                      </a:rPr>
                      <a:t>ФР: 640 244</a:t>
                    </a:r>
                    <a:endParaRPr lang="ru-RU"/>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fld id="{CA72E9DC-4674-40F0-8BA1-1A57392708E1}" type="VALUE">
                      <a:rPr lang="en-US"/>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t>[ЗНАЧЕНИЕ]</a:t>
                    </a:fld>
                    <a:endParaRPr lang="ru-RU"/>
                  </a:p>
                </c:rich>
              </c:tx>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ru-RU"/>
                </a:p>
              </c:txPr>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43A-4CC9-870F-F685D27ED64A}"/>
                </c:ext>
              </c:extLst>
            </c:dLbl>
            <c:dLbl>
              <c:idx val="2"/>
              <c:layout>
                <c:manualLayout>
                  <c:x val="-7.2331583552055993E-3"/>
                  <c:y val="-7.4402158063575389E-3"/>
                </c:manualLayout>
              </c:layout>
              <c:tx>
                <c:rich>
                  <a:bodyPr/>
                  <a:lstStyle/>
                  <a:p>
                    <a:r>
                      <a:rPr lang="ru-RU" sz="800" b="0" i="0" u="none" strike="noStrike" kern="1200" baseline="0">
                        <a:solidFill>
                          <a:sysClr val="windowText" lastClr="000000">
                            <a:lumMod val="75000"/>
                            <a:lumOff val="25000"/>
                          </a:sysClr>
                        </a:solidFill>
                      </a:rPr>
                      <a:t>СР: 230 542</a:t>
                    </a:r>
                    <a:endParaRPr lang="ru-RU"/>
                  </a:p>
                  <a:p>
                    <a:fld id="{EE264063-1692-4ABD-9D5C-EBBC95A20F79}" type="VALUE">
                      <a:rPr lang="en-US"/>
                      <a:pPr/>
                      <a:t>[ЗНАЧЕНИЕ]</a:t>
                    </a:fld>
                    <a:endParaRPr lang="ru-RU"/>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43A-4CC9-870F-F685D27ED64A}"/>
                </c:ext>
              </c:extLst>
            </c:dLbl>
            <c:dLbl>
              <c:idx val="3"/>
              <c:layout>
                <c:manualLayout>
                  <c:x val="-8.5059055118110235E-3"/>
                  <c:y val="6.5241324001166518E-3"/>
                </c:manualLayout>
              </c:layout>
              <c:tx>
                <c:rich>
                  <a:bodyPr/>
                  <a:lstStyle/>
                  <a:p>
                    <a:r>
                      <a:rPr lang="ru-RU"/>
                      <a:t>ДМ: 250</a:t>
                    </a:r>
                  </a:p>
                  <a:p>
                    <a:fld id="{1BABC3C9-5144-42A3-B078-8956C2C92C2E}" type="VALUE">
                      <a:rPr lang="en-US"/>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43A-4CC9-870F-F685D27ED64A}"/>
                </c:ext>
              </c:extLst>
            </c:dLbl>
            <c:dLbl>
              <c:idx val="4"/>
              <c:layout>
                <c:manualLayout>
                  <c:x val="-0.28426290463692039"/>
                  <c:y val="0.10837598425196851"/>
                </c:manualLayout>
              </c:layout>
              <c:tx>
                <c:rich>
                  <a:bodyPr/>
                  <a:lstStyle/>
                  <a:p>
                    <a:r>
                      <a:rPr lang="ru-RU"/>
                      <a:t>СПФИ: 36</a:t>
                    </a:r>
                  </a:p>
                  <a:p>
                    <a:fld id="{5F6551D7-C2DF-4106-A1A7-CF6EDF5E99F4}" type="VALUE">
                      <a:rPr lang="en-US"/>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43A-4CC9-870F-F685D27ED64A}"/>
                </c:ext>
              </c:extLst>
            </c:dLbl>
            <c:dLbl>
              <c:idx val="5"/>
              <c:layout>
                <c:manualLayout>
                  <c:x val="0.1296259842519685"/>
                  <c:y val="1.4625984251968503E-2"/>
                </c:manualLayout>
              </c:layout>
              <c:tx>
                <c:rich>
                  <a:bodyPr/>
                  <a:lstStyle/>
                  <a:p>
                    <a:r>
                      <a:rPr lang="ru-RU"/>
                      <a:t>ТР: 0,6</a:t>
                    </a:r>
                  </a:p>
                  <a:p>
                    <a:fld id="{1E26E302-0639-4608-9CCC-B896E5009D0F}" type="VALUE">
                      <a:rPr lang="en-US"/>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43A-4CC9-870F-F685D27ED6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'итог 2015-2016'!$G$2:$L$2</c:f>
              <c:strCache>
                <c:ptCount val="6"/>
                <c:pt idx="0">
                  <c:v>ВР</c:v>
                </c:pt>
                <c:pt idx="1">
                  <c:v>ФР</c:v>
                </c:pt>
                <c:pt idx="2">
                  <c:v>СР</c:v>
                </c:pt>
                <c:pt idx="3">
                  <c:v>ДМ</c:v>
                </c:pt>
                <c:pt idx="4">
                  <c:v>ТР</c:v>
                </c:pt>
                <c:pt idx="5">
                  <c:v>СПФИ</c:v>
                </c:pt>
              </c:strCache>
            </c:strRef>
          </c:cat>
          <c:val>
            <c:numRef>
              <c:f>'итог 2015-2016'!$G$6:$L$6</c:f>
              <c:numCache>
                <c:formatCode>0.00%</c:formatCode>
                <c:ptCount val="6"/>
                <c:pt idx="0">
                  <c:v>0.43063062004105601</c:v>
                </c:pt>
                <c:pt idx="1">
                  <c:v>0.46441758710189196</c:v>
                </c:pt>
                <c:pt idx="2">
                  <c:v>0.10465897487556421</c:v>
                </c:pt>
                <c:pt idx="3">
                  <c:v>1.5098844747528129E-4</c:v>
                </c:pt>
                <c:pt idx="4">
                  <c:v>7.1027903162339412E-6</c:v>
                </c:pt>
                <c:pt idx="5">
                  <c:v>1.3472674369627586E-4</c:v>
                </c:pt>
              </c:numCache>
            </c:numRef>
          </c:val>
          <c:extLst>
            <c:ext xmlns:c16="http://schemas.microsoft.com/office/drawing/2014/chart" uri="{C3380CC4-5D6E-409C-BE32-E72D297353CC}">
              <c16:uniqueId val="{0000000C-E43A-4CC9-870F-F685D27ED64A}"/>
            </c:ext>
          </c:extLst>
        </c:ser>
        <c:dLbls>
          <c:showLegendKey val="0"/>
          <c:showVal val="0"/>
          <c:showCatName val="0"/>
          <c:showSerName val="0"/>
          <c:showPercent val="0"/>
          <c:showBubbleSize val="0"/>
          <c:showLeaderLines val="0"/>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Количество</a:t>
            </a:r>
            <a:r>
              <a:rPr lang="ru-RU" b="1" baseline="0">
                <a:latin typeface="Times New Roman" panose="02020603050405020304" pitchFamily="18" charset="0"/>
                <a:cs typeface="Times New Roman" panose="02020603050405020304" pitchFamily="18" charset="0"/>
              </a:rPr>
              <a:t> сделок, по которым осуществлен клиринг, шт.</a:t>
            </a:r>
            <a:endParaRPr lang="ru-RU"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DE35-4834-95C0-C4492BA9D3B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E35-4834-95C0-C4492BA9D3BD}"/>
              </c:ext>
            </c:extLst>
          </c:dPt>
          <c:dPt>
            <c:idx val="2"/>
            <c:bubble3D val="0"/>
            <c:spPr>
              <a:solidFill>
                <a:schemeClr val="accent6">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DE35-4834-95C0-C4492BA9D3B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E35-4834-95C0-C4492BA9D3B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E35-4834-95C0-C4492BA9D3B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DE35-4834-95C0-C4492BA9D3BD}"/>
              </c:ext>
            </c:extLst>
          </c:dPt>
          <c:dLbls>
            <c:dLbl>
              <c:idx val="0"/>
              <c:layout>
                <c:manualLayout>
                  <c:x val="-2.58710209734823E-2"/>
                  <c:y val="-2.979805461655236E-3"/>
                </c:manualLayout>
              </c:layout>
              <c:tx>
                <c:rich>
                  <a:bodyPr/>
                  <a:lstStyle/>
                  <a:p>
                    <a:r>
                      <a:rPr lang="ru-RU"/>
                      <a:t>ВР: </a:t>
                    </a:r>
                    <a:fld id="{1555320E-49E2-40BD-AE31-D98B6E90AADD}" type="VALUE">
                      <a:rPr lang="en-US"/>
                      <a:pPr/>
                      <a:t>[ЗНАЧЕНИЕ]</a:t>
                    </a:fld>
                    <a:endParaRPr lang="en-US"/>
                  </a:p>
                  <a:p>
                    <a:r>
                      <a:rPr lang="en-US"/>
                      <a:t>4.69%</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E35-4834-95C0-C4492BA9D3BD}"/>
                </c:ext>
              </c:extLst>
            </c:dLbl>
            <c:dLbl>
              <c:idx val="1"/>
              <c:layout>
                <c:manualLayout>
                  <c:x val="-3.0530887781039205E-2"/>
                  <c:y val="-4.7212767758868852E-2"/>
                </c:manualLayout>
              </c:layout>
              <c:tx>
                <c:rich>
                  <a:bodyPr/>
                  <a:lstStyle/>
                  <a:p>
                    <a:r>
                      <a:rPr lang="ru-RU"/>
                      <a:t>ФР: </a:t>
                    </a:r>
                    <a:fld id="{13AC93DE-6CE0-4C6E-A7E8-3D90B5EAFF7F}" type="VALUE">
                      <a:rPr lang="en-US"/>
                      <a:pPr/>
                      <a:t>[ЗНАЧЕНИЕ]</a:t>
                    </a:fld>
                    <a:endParaRPr lang="en-US"/>
                  </a:p>
                  <a:p>
                    <a:r>
                      <a:rPr lang="en-US"/>
                      <a:t>22,54%</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E35-4834-95C0-C4492BA9D3BD}"/>
                </c:ext>
              </c:extLst>
            </c:dLbl>
            <c:dLbl>
              <c:idx val="2"/>
              <c:layout>
                <c:manualLayout>
                  <c:x val="1.7832623152453336E-3"/>
                  <c:y val="-0.4636922463357514"/>
                </c:manualLayout>
              </c:layout>
              <c:tx>
                <c:rich>
                  <a:bodyPr/>
                  <a:lstStyle/>
                  <a:p>
                    <a:r>
                      <a:rPr lang="ru-RU"/>
                      <a:t>СР: </a:t>
                    </a:r>
                    <a:fld id="{A17E5FB8-8F32-4B85-9BFA-62BF97DF0DAE}" type="VALUE">
                      <a:rPr lang="en-US"/>
                      <a:pPr/>
                      <a:t>[ЗНАЧЕНИЕ]</a:t>
                    </a:fld>
                    <a:endParaRPr lang="en-US"/>
                  </a:p>
                  <a:p>
                    <a:r>
                      <a:rPr lang="en-US"/>
                      <a:t>72,76%</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E35-4834-95C0-C4492BA9D3BD}"/>
                </c:ext>
              </c:extLst>
            </c:dLbl>
            <c:dLbl>
              <c:idx val="3"/>
              <c:layout>
                <c:manualLayout>
                  <c:x val="0.41261416287461117"/>
                  <c:y val="0.34147546072869922"/>
                </c:manualLayout>
              </c:layout>
              <c:tx>
                <c:rich>
                  <a:bodyPr/>
                  <a:lstStyle/>
                  <a:p>
                    <a:r>
                      <a:rPr lang="ru-RU"/>
                      <a:t>ДМ: </a:t>
                    </a:r>
                    <a:fld id="{A2C4BA6F-FBE3-4DED-9A6F-D8C3A159BF5A}" type="VALUE">
                      <a:rPr lang="en-US"/>
                      <a:pPr/>
                      <a:t>[ЗНАЧЕНИЕ]</a:t>
                    </a:fld>
                    <a:endParaRPr lang="en-US"/>
                  </a:p>
                  <a:p>
                    <a:r>
                      <a:rPr lang="en-US"/>
                      <a:t>0%</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E35-4834-95C0-C4492BA9D3BD}"/>
                </c:ext>
              </c:extLst>
            </c:dLbl>
            <c:dLbl>
              <c:idx val="4"/>
              <c:layout>
                <c:manualLayout>
                  <c:x val="0.38998648837534361"/>
                  <c:y val="0.21868117291790132"/>
                </c:manualLayout>
              </c:layout>
              <c:tx>
                <c:rich>
                  <a:bodyPr/>
                  <a:lstStyle/>
                  <a:p>
                    <a:r>
                      <a:rPr lang="ru-RU"/>
                      <a:t>ТР: </a:t>
                    </a:r>
                    <a:fld id="{73A50AEB-9359-4BE5-BCFC-4BE9C6E34907}" type="VALUE">
                      <a:rPr lang="en-US"/>
                      <a:pPr/>
                      <a:t>[ЗНАЧЕНИЕ]</a:t>
                    </a:fld>
                    <a:endParaRPr lang="en-US"/>
                  </a:p>
                  <a:p>
                    <a:r>
                      <a:rPr lang="en-US"/>
                      <a:t>0%</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E35-4834-95C0-C4492BA9D3BD}"/>
                </c:ext>
              </c:extLst>
            </c:dLbl>
            <c:dLbl>
              <c:idx val="5"/>
              <c:layout>
                <c:manualLayout>
                  <c:x val="-4.4637449905920848E-2"/>
                  <c:y val="9.5859301437263577E-4"/>
                </c:manualLayout>
              </c:layout>
              <c:tx>
                <c:rich>
                  <a:bodyPr/>
                  <a:lstStyle/>
                  <a:p>
                    <a:r>
                      <a:rPr lang="ru-RU"/>
                      <a:t>СПФИ: </a:t>
                    </a:r>
                    <a:fld id="{5392EF5F-0535-4535-AE9F-8B8E059C258E}" type="VALUE">
                      <a:rPr lang="en-US"/>
                      <a:pPr/>
                      <a:t>[ЗНАЧЕНИЕ]</a:t>
                    </a:fld>
                    <a:endParaRPr lang="en-US"/>
                  </a:p>
                  <a:p>
                    <a:r>
                      <a:rPr lang="en-US"/>
                      <a:t>0%</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DE35-4834-95C0-C4492BA9D3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0"/>
            <c:extLst>
              <c:ext xmlns:c15="http://schemas.microsoft.com/office/drawing/2012/chart" uri="{CE6537A1-D6FC-4f65-9D91-7224C49458BB}"/>
            </c:extLst>
          </c:dLbls>
          <c:cat>
            <c:strRef>
              <c:f>'итог 2015-2016'!$G$2:$L$2</c:f>
              <c:strCache>
                <c:ptCount val="6"/>
                <c:pt idx="0">
                  <c:v>ВР</c:v>
                </c:pt>
                <c:pt idx="1">
                  <c:v>ФР</c:v>
                </c:pt>
                <c:pt idx="2">
                  <c:v>СР</c:v>
                </c:pt>
                <c:pt idx="3">
                  <c:v>ДМ</c:v>
                </c:pt>
                <c:pt idx="4">
                  <c:v>ТР</c:v>
                </c:pt>
                <c:pt idx="5">
                  <c:v>СПФИ</c:v>
                </c:pt>
              </c:strCache>
            </c:strRef>
          </c:cat>
          <c:val>
            <c:numRef>
              <c:f>'итог 2015-2016'!$G$12:$L$12</c:f>
              <c:numCache>
                <c:formatCode>#,##0</c:formatCode>
                <c:ptCount val="6"/>
                <c:pt idx="0">
                  <c:v>33003864</c:v>
                </c:pt>
                <c:pt idx="1">
                  <c:v>230670952</c:v>
                </c:pt>
                <c:pt idx="2">
                  <c:v>521573934</c:v>
                </c:pt>
                <c:pt idx="3">
                  <c:v>2920</c:v>
                </c:pt>
                <c:pt idx="4">
                  <c:v>1928</c:v>
                </c:pt>
                <c:pt idx="5">
                  <c:v>138</c:v>
                </c:pt>
              </c:numCache>
            </c:numRef>
          </c:val>
          <c:extLst>
            <c:ext xmlns:c16="http://schemas.microsoft.com/office/drawing/2014/chart" uri="{C3380CC4-5D6E-409C-BE32-E72D297353CC}">
              <c16:uniqueId val="{0000000C-DE35-4834-95C0-C4492BA9D3BD}"/>
            </c:ext>
          </c:extLst>
        </c:ser>
        <c:dLbls>
          <c:dLblPos val="bestFit"/>
          <c:showLegendKey val="0"/>
          <c:showVal val="1"/>
          <c:showCatName val="0"/>
          <c:showSerName val="0"/>
          <c:showPercent val="0"/>
          <c:showBubbleSize val="0"/>
          <c:showLeaderLines val="0"/>
        </c:dLbls>
      </c:pie3DChart>
      <c:spPr>
        <a:noFill/>
        <a:ln>
          <a:noFill/>
        </a:ln>
        <a:effectLst/>
      </c:spPr>
    </c:plotArea>
    <c:legend>
      <c:legendPos val="r"/>
      <c:layout>
        <c:manualLayout>
          <c:xMode val="edge"/>
          <c:yMode val="edge"/>
          <c:x val="0.91262065776052248"/>
          <c:y val="0.33076883869258167"/>
          <c:w val="8.295381853290934E-2"/>
          <c:h val="0.38328340164600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u="none" strike="noStrike" baseline="0">
                <a:effectLst/>
                <a:latin typeface="Times New Roman" panose="02020603050405020304" pitchFamily="18" charset="0"/>
                <a:cs typeface="Times New Roman" panose="02020603050405020304" pitchFamily="18" charset="0"/>
              </a:rPr>
              <a:t>Динамика объемов обязательств, по которым в 2017 году осуществлен клиринг на валютном, фондовом и срочном рынках (руб.)</a:t>
            </a:r>
            <a:endParaRPr lang="ru-RU"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v>ВР</c:v>
          </c:tx>
          <c:spPr>
            <a:ln w="28575" cap="rnd">
              <a:solidFill>
                <a:srgbClr val="C00000"/>
              </a:solidFill>
              <a:round/>
            </a:ln>
            <a:effectLst>
              <a:outerShdw blurRad="50800" dist="38100" dir="2700000" algn="tl" rotWithShape="0">
                <a:prstClr val="black">
                  <a:alpha val="40000"/>
                </a:prstClr>
              </a:outerShdw>
            </a:effectLst>
          </c:spPr>
          <c:marker>
            <c:symbol val="none"/>
          </c:marker>
          <c:cat>
            <c:strRef>
              <c:f>'итог 2016 по месяцам'!$B$30:$M$30</c:f>
              <c:strCache>
                <c:ptCount val="12"/>
                <c:pt idx="0">
                  <c:v>январь</c:v>
                </c:pt>
                <c:pt idx="3">
                  <c:v>апрель</c:v>
                </c:pt>
                <c:pt idx="6">
                  <c:v>июль</c:v>
                </c:pt>
                <c:pt idx="9">
                  <c:v>октябрь</c:v>
                </c:pt>
                <c:pt idx="11">
                  <c:v>декабрь</c:v>
                </c:pt>
              </c:strCache>
            </c:strRef>
          </c:cat>
          <c:val>
            <c:numRef>
              <c:f>'итог 2016 по месяцам'!$B$23:$M$23</c:f>
              <c:numCache>
                <c:formatCode>#,##0</c:formatCode>
                <c:ptCount val="12"/>
                <c:pt idx="0">
                  <c:v>47860826169517.711</c:v>
                </c:pt>
                <c:pt idx="1">
                  <c:v>57740373569906.891</c:v>
                </c:pt>
                <c:pt idx="2">
                  <c:v>73330148752239.5</c:v>
                </c:pt>
                <c:pt idx="3">
                  <c:v>59877410281065.211</c:v>
                </c:pt>
                <c:pt idx="4">
                  <c:v>58640574739644.469</c:v>
                </c:pt>
                <c:pt idx="5">
                  <c:v>61818666533506.141</c:v>
                </c:pt>
                <c:pt idx="6">
                  <c:v>53665305693155.18</c:v>
                </c:pt>
                <c:pt idx="7">
                  <c:v>60814417964025.922</c:v>
                </c:pt>
                <c:pt idx="8">
                  <c:v>52899122853668.914</c:v>
                </c:pt>
                <c:pt idx="9">
                  <c:v>54657517459733.992</c:v>
                </c:pt>
                <c:pt idx="10">
                  <c:v>54534161831297.266</c:v>
                </c:pt>
                <c:pt idx="11">
                  <c:v>59503141100126.219</c:v>
                </c:pt>
              </c:numCache>
            </c:numRef>
          </c:val>
          <c:smooth val="0"/>
          <c:extLst>
            <c:ext xmlns:c16="http://schemas.microsoft.com/office/drawing/2014/chart" uri="{C3380CC4-5D6E-409C-BE32-E72D297353CC}">
              <c16:uniqueId val="{00000000-FF02-4162-9F5A-04AE1A38EDE9}"/>
            </c:ext>
          </c:extLst>
        </c:ser>
        <c:ser>
          <c:idx val="1"/>
          <c:order val="1"/>
          <c:tx>
            <c:v>ФР</c:v>
          </c:tx>
          <c:spPr>
            <a:ln w="28575" cap="rnd">
              <a:solidFill>
                <a:schemeClr val="accent2"/>
              </a:solidFill>
              <a:round/>
            </a:ln>
            <a:effectLst>
              <a:outerShdw blurRad="50800" dist="38100" dir="2700000" algn="tl" rotWithShape="0">
                <a:prstClr val="black">
                  <a:alpha val="40000"/>
                </a:prstClr>
              </a:outerShdw>
            </a:effectLst>
          </c:spPr>
          <c:marker>
            <c:symbol val="none"/>
          </c:marker>
          <c:cat>
            <c:strRef>
              <c:f>'итог 2016 по месяцам'!$B$30:$M$30</c:f>
              <c:strCache>
                <c:ptCount val="12"/>
                <c:pt idx="0">
                  <c:v>январь</c:v>
                </c:pt>
                <c:pt idx="3">
                  <c:v>апрель</c:v>
                </c:pt>
                <c:pt idx="6">
                  <c:v>июль</c:v>
                </c:pt>
                <c:pt idx="9">
                  <c:v>октябрь</c:v>
                </c:pt>
                <c:pt idx="11">
                  <c:v>декабрь</c:v>
                </c:pt>
              </c:strCache>
            </c:strRef>
          </c:cat>
          <c:val>
            <c:numRef>
              <c:f>'итог 2016 по месяцам'!$B$24:$M$24</c:f>
              <c:numCache>
                <c:formatCode>#,##0</c:formatCode>
                <c:ptCount val="12"/>
                <c:pt idx="0">
                  <c:v>51691237661853.453</c:v>
                </c:pt>
                <c:pt idx="1">
                  <c:v>45720734565212.984</c:v>
                </c:pt>
                <c:pt idx="2">
                  <c:v>65981982846839.289</c:v>
                </c:pt>
                <c:pt idx="3">
                  <c:v>58211919269530.891</c:v>
                </c:pt>
                <c:pt idx="4">
                  <c:v>59390111179002.469</c:v>
                </c:pt>
                <c:pt idx="5">
                  <c:v>65090667402226.57</c:v>
                </c:pt>
                <c:pt idx="6">
                  <c:v>66102878917161.547</c:v>
                </c:pt>
                <c:pt idx="7">
                  <c:v>86423192659954.844</c:v>
                </c:pt>
                <c:pt idx="8">
                  <c:v>77062624623487.656</c:v>
                </c:pt>
                <c:pt idx="9">
                  <c:v>59727595361677.023</c:v>
                </c:pt>
                <c:pt idx="10">
                  <c:v>59199820747860.531</c:v>
                </c:pt>
                <c:pt idx="11">
                  <c:v>55294906102538.531</c:v>
                </c:pt>
              </c:numCache>
            </c:numRef>
          </c:val>
          <c:smooth val="0"/>
          <c:extLst>
            <c:ext xmlns:c16="http://schemas.microsoft.com/office/drawing/2014/chart" uri="{C3380CC4-5D6E-409C-BE32-E72D297353CC}">
              <c16:uniqueId val="{00000001-FF02-4162-9F5A-04AE1A38EDE9}"/>
            </c:ext>
          </c:extLst>
        </c:ser>
        <c:ser>
          <c:idx val="2"/>
          <c:order val="2"/>
          <c:tx>
            <c:v>СР</c:v>
          </c:tx>
          <c:spPr>
            <a:ln w="28575" cap="rnd">
              <a:solidFill>
                <a:schemeClr val="accent6">
                  <a:lumMod val="75000"/>
                </a:schemeClr>
              </a:solidFill>
              <a:round/>
            </a:ln>
            <a:effectLst>
              <a:outerShdw blurRad="50800" dist="38100" dir="2700000" algn="tl" rotWithShape="0">
                <a:prstClr val="black">
                  <a:alpha val="40000"/>
                </a:prstClr>
              </a:outerShdw>
            </a:effectLst>
          </c:spPr>
          <c:marker>
            <c:symbol val="none"/>
          </c:marker>
          <c:cat>
            <c:strRef>
              <c:f>'итог 2016 по месяцам'!$B$30:$M$30</c:f>
              <c:strCache>
                <c:ptCount val="12"/>
                <c:pt idx="0">
                  <c:v>январь</c:v>
                </c:pt>
                <c:pt idx="3">
                  <c:v>апрель</c:v>
                </c:pt>
                <c:pt idx="6">
                  <c:v>июль</c:v>
                </c:pt>
                <c:pt idx="9">
                  <c:v>октябрь</c:v>
                </c:pt>
                <c:pt idx="11">
                  <c:v>декабрь</c:v>
                </c:pt>
              </c:strCache>
            </c:strRef>
          </c:cat>
          <c:val>
            <c:numRef>
              <c:f>'итог 2016 по месяцам'!$B$25:$M$25</c:f>
              <c:numCache>
                <c:formatCode>#,##0</c:formatCode>
                <c:ptCount val="12"/>
                <c:pt idx="0">
                  <c:v>14017541757844.221</c:v>
                </c:pt>
                <c:pt idx="1">
                  <c:v>12921369120029.098</c:v>
                </c:pt>
                <c:pt idx="2">
                  <c:v>17372775674987.801</c:v>
                </c:pt>
                <c:pt idx="3">
                  <c:v>13184407186257.641</c:v>
                </c:pt>
                <c:pt idx="4">
                  <c:v>13072454152933.238</c:v>
                </c:pt>
                <c:pt idx="5">
                  <c:v>15040631957252.078</c:v>
                </c:pt>
                <c:pt idx="6">
                  <c:v>14274412530412.139</c:v>
                </c:pt>
                <c:pt idx="7">
                  <c:v>14509252634371.74</c:v>
                </c:pt>
                <c:pt idx="8">
                  <c:v>14542527428658.881</c:v>
                </c:pt>
                <c:pt idx="9">
                  <c:v>13012894910982.439</c:v>
                </c:pt>
                <c:pt idx="10">
                  <c:v>14955282503604.52</c:v>
                </c:pt>
                <c:pt idx="11">
                  <c:v>12089881320629.541</c:v>
                </c:pt>
              </c:numCache>
            </c:numRef>
          </c:val>
          <c:smooth val="0"/>
          <c:extLst>
            <c:ext xmlns:c16="http://schemas.microsoft.com/office/drawing/2014/chart" uri="{C3380CC4-5D6E-409C-BE32-E72D297353CC}">
              <c16:uniqueId val="{00000002-FF02-4162-9F5A-04AE1A38EDE9}"/>
            </c:ext>
          </c:extLst>
        </c:ser>
        <c:dLbls>
          <c:showLegendKey val="0"/>
          <c:showVal val="0"/>
          <c:showCatName val="0"/>
          <c:showSerName val="0"/>
          <c:showPercent val="0"/>
          <c:showBubbleSize val="0"/>
        </c:dLbls>
        <c:smooth val="0"/>
        <c:axId val="1869428168"/>
        <c:axId val="1869425032"/>
      </c:lineChart>
      <c:catAx>
        <c:axId val="18694281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69425032"/>
        <c:crosses val="autoZero"/>
        <c:auto val="1"/>
        <c:lblAlgn val="ctr"/>
        <c:lblOffset val="100"/>
        <c:noMultiLvlLbl val="0"/>
      </c:catAx>
      <c:valAx>
        <c:axId val="1869425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69428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baseline="0">
                <a:effectLst/>
                <a:latin typeface="Times New Roman" panose="02020603050405020304" pitchFamily="18" charset="0"/>
                <a:cs typeface="Times New Roman" panose="02020603050405020304" pitchFamily="18" charset="0"/>
              </a:rPr>
              <a:t>Динамика объемов обязательств, по которым в 2017 году осуществлен клиринг на рынке драгоценных металлов и СПФИ, руб.</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v>ДМ</c:v>
          </c:tx>
          <c:spPr>
            <a:ln w="28575" cap="rnd">
              <a:solidFill>
                <a:srgbClr val="7030A0"/>
              </a:solidFill>
              <a:round/>
            </a:ln>
            <a:effectLst>
              <a:outerShdw blurRad="50800" dist="38100" dir="2700000" algn="tl" rotWithShape="0">
                <a:prstClr val="black">
                  <a:alpha val="40000"/>
                </a:prstClr>
              </a:outerShdw>
            </a:effectLst>
          </c:spPr>
          <c:marker>
            <c:symbol val="none"/>
          </c:marker>
          <c:cat>
            <c:strRef>
              <c:f>'итог 2016 по месяцам'!$B$30:$M$30</c:f>
              <c:strCache>
                <c:ptCount val="12"/>
                <c:pt idx="0">
                  <c:v>январь</c:v>
                </c:pt>
                <c:pt idx="3">
                  <c:v>апрель</c:v>
                </c:pt>
                <c:pt idx="6">
                  <c:v>июль</c:v>
                </c:pt>
                <c:pt idx="9">
                  <c:v>октябрь</c:v>
                </c:pt>
                <c:pt idx="11">
                  <c:v>декабрь</c:v>
                </c:pt>
              </c:strCache>
            </c:strRef>
          </c:cat>
          <c:val>
            <c:numRef>
              <c:f>'итог 2016 по месяцам'!$B$26:$M$26</c:f>
              <c:numCache>
                <c:formatCode>#,##0</c:formatCode>
                <c:ptCount val="12"/>
                <c:pt idx="0">
                  <c:v>9311159365.6000004</c:v>
                </c:pt>
                <c:pt idx="1">
                  <c:v>17240927791</c:v>
                </c:pt>
                <c:pt idx="2">
                  <c:v>18278281411.799999</c:v>
                </c:pt>
                <c:pt idx="3">
                  <c:v>20476569818.400002</c:v>
                </c:pt>
                <c:pt idx="4">
                  <c:v>16458244775</c:v>
                </c:pt>
                <c:pt idx="5">
                  <c:v>16221152598.799999</c:v>
                </c:pt>
                <c:pt idx="6">
                  <c:v>22581792714.360001</c:v>
                </c:pt>
                <c:pt idx="7">
                  <c:v>36426842952.640007</c:v>
                </c:pt>
                <c:pt idx="8">
                  <c:v>34562974230.580002</c:v>
                </c:pt>
                <c:pt idx="9">
                  <c:v>16719015591.9</c:v>
                </c:pt>
                <c:pt idx="10">
                  <c:v>19263501174</c:v>
                </c:pt>
                <c:pt idx="11">
                  <c:v>16261426878</c:v>
                </c:pt>
              </c:numCache>
            </c:numRef>
          </c:val>
          <c:smooth val="0"/>
          <c:extLst>
            <c:ext xmlns:c16="http://schemas.microsoft.com/office/drawing/2014/chart" uri="{C3380CC4-5D6E-409C-BE32-E72D297353CC}">
              <c16:uniqueId val="{00000000-8A52-42D9-8A2A-31A96C10DB2C}"/>
            </c:ext>
          </c:extLst>
        </c:ser>
        <c:ser>
          <c:idx val="1"/>
          <c:order val="1"/>
          <c:tx>
            <c:v>ТР</c:v>
          </c:tx>
          <c:spPr>
            <a:ln w="28575" cap="rnd">
              <a:solidFill>
                <a:schemeClr val="accent4"/>
              </a:solidFill>
              <a:round/>
            </a:ln>
            <a:effectLst/>
          </c:spPr>
          <c:marker>
            <c:symbol val="none"/>
          </c:marker>
          <c:cat>
            <c:strRef>
              <c:f>'итог 2016 по месяцам'!$B$30:$M$30</c:f>
              <c:strCache>
                <c:ptCount val="12"/>
                <c:pt idx="0">
                  <c:v>январь</c:v>
                </c:pt>
                <c:pt idx="3">
                  <c:v>апрель</c:v>
                </c:pt>
                <c:pt idx="6">
                  <c:v>июль</c:v>
                </c:pt>
                <c:pt idx="9">
                  <c:v>октябрь</c:v>
                </c:pt>
                <c:pt idx="11">
                  <c:v>декабрь</c:v>
                </c:pt>
              </c:strCache>
              <c:extLst xmlns:c15="http://schemas.microsoft.com/office/drawing/2012/chart"/>
            </c:strRef>
          </c:cat>
          <c:val>
            <c:numRef>
              <c:f>'итог 2016 по месяцам'!$B$27:$M$27</c:f>
              <c:numCache>
                <c:formatCode>#,##0</c:formatCode>
                <c:ptCount val="12"/>
                <c:pt idx="0">
                  <c:v>0</c:v>
                </c:pt>
                <c:pt idx="1">
                  <c:v>0</c:v>
                </c:pt>
                <c:pt idx="2">
                  <c:v>180440183.99419999</c:v>
                </c:pt>
                <c:pt idx="3">
                  <c:v>476074271.24060005</c:v>
                </c:pt>
                <c:pt idx="4">
                  <c:v>641235548.83019996</c:v>
                </c:pt>
                <c:pt idx="5">
                  <c:v>1084556239.3242002</c:v>
                </c:pt>
                <c:pt idx="6">
                  <c:v>684496904.88479996</c:v>
                </c:pt>
                <c:pt idx="7">
                  <c:v>1046870346.7612</c:v>
                </c:pt>
                <c:pt idx="8">
                  <c:v>1534736561.7012</c:v>
                </c:pt>
                <c:pt idx="9">
                  <c:v>1760599884.0041997</c:v>
                </c:pt>
                <c:pt idx="10">
                  <c:v>1945606361.7848001</c:v>
                </c:pt>
                <c:pt idx="11">
                  <c:v>2114298885.1603999</c:v>
                </c:pt>
              </c:numCache>
              <c:extLst xmlns:c15="http://schemas.microsoft.com/office/drawing/2012/chart"/>
            </c:numRef>
          </c:val>
          <c:smooth val="0"/>
          <c:extLst>
            <c:ext xmlns:c16="http://schemas.microsoft.com/office/drawing/2014/chart" uri="{C3380CC4-5D6E-409C-BE32-E72D297353CC}">
              <c16:uniqueId val="{00000001-8A52-42D9-8A2A-31A96C10DB2C}"/>
            </c:ext>
          </c:extLst>
        </c:ser>
        <c:ser>
          <c:idx val="2"/>
          <c:order val="2"/>
          <c:tx>
            <c:v>СПФИ</c:v>
          </c:tx>
          <c:spPr>
            <a:ln w="28575" cap="rnd">
              <a:solidFill>
                <a:srgbClr val="0070C0"/>
              </a:solidFill>
              <a:round/>
            </a:ln>
            <a:effectLst>
              <a:outerShdw blurRad="50800" dist="38100" dir="2700000" algn="tl" rotWithShape="0">
                <a:prstClr val="black">
                  <a:alpha val="40000"/>
                </a:prstClr>
              </a:outerShdw>
            </a:effectLst>
          </c:spPr>
          <c:marker>
            <c:symbol val="none"/>
          </c:marker>
          <c:cat>
            <c:strRef>
              <c:f>'итог 2016 по месяцам'!$B$30:$M$30</c:f>
              <c:strCache>
                <c:ptCount val="12"/>
                <c:pt idx="0">
                  <c:v>январь</c:v>
                </c:pt>
                <c:pt idx="3">
                  <c:v>апрель</c:v>
                </c:pt>
                <c:pt idx="6">
                  <c:v>июль</c:v>
                </c:pt>
                <c:pt idx="9">
                  <c:v>октябрь</c:v>
                </c:pt>
                <c:pt idx="11">
                  <c:v>декабрь</c:v>
                </c:pt>
              </c:strCache>
            </c:strRef>
          </c:cat>
          <c:val>
            <c:numRef>
              <c:f>'итог 2016 по месяцам'!$B$28:$M$28</c:f>
              <c:numCache>
                <c:formatCode>#,##0</c:formatCode>
                <c:ptCount val="12"/>
                <c:pt idx="0">
                  <c:v>20823926000</c:v>
                </c:pt>
                <c:pt idx="1">
                  <c:v>6008510000</c:v>
                </c:pt>
                <c:pt idx="2">
                  <c:v>40664000000</c:v>
                </c:pt>
                <c:pt idx="3">
                  <c:v>0</c:v>
                </c:pt>
                <c:pt idx="4">
                  <c:v>4850222760</c:v>
                </c:pt>
                <c:pt idx="5">
                  <c:v>0</c:v>
                </c:pt>
                <c:pt idx="6">
                  <c:v>23383034000</c:v>
                </c:pt>
                <c:pt idx="7">
                  <c:v>59076217000</c:v>
                </c:pt>
                <c:pt idx="8">
                  <c:v>12313294460</c:v>
                </c:pt>
                <c:pt idx="9">
                  <c:v>2861390300</c:v>
                </c:pt>
                <c:pt idx="10">
                  <c:v>17165940000</c:v>
                </c:pt>
                <c:pt idx="11">
                  <c:v>30397490880</c:v>
                </c:pt>
              </c:numCache>
            </c:numRef>
          </c:val>
          <c:smooth val="0"/>
          <c:extLst>
            <c:ext xmlns:c16="http://schemas.microsoft.com/office/drawing/2014/chart" uri="{C3380CC4-5D6E-409C-BE32-E72D297353CC}">
              <c16:uniqueId val="{00000002-8A52-42D9-8A2A-31A96C10DB2C}"/>
            </c:ext>
          </c:extLst>
        </c:ser>
        <c:dLbls>
          <c:showLegendKey val="0"/>
          <c:showVal val="0"/>
          <c:showCatName val="0"/>
          <c:showSerName val="0"/>
          <c:showPercent val="0"/>
          <c:showBubbleSize val="0"/>
        </c:dLbls>
        <c:smooth val="0"/>
        <c:axId val="1869426992"/>
        <c:axId val="1869427384"/>
        <c:extLst/>
      </c:lineChart>
      <c:catAx>
        <c:axId val="1869426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69427384"/>
        <c:crosses val="autoZero"/>
        <c:auto val="1"/>
        <c:lblAlgn val="ctr"/>
        <c:lblOffset val="100"/>
        <c:noMultiLvlLbl val="0"/>
      </c:catAx>
      <c:valAx>
        <c:axId val="1869427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69426992"/>
        <c:crosses val="autoZero"/>
        <c:crossBetween val="between"/>
        <c:majorUnit val="10000000000"/>
        <c:minorUnit val="2000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600"/>
              <a:t>Динамика операций при дефолтах</a:t>
            </a:r>
          </a:p>
        </c:rich>
      </c:tx>
      <c:overlay val="0"/>
    </c:title>
    <c:autoTitleDeleted val="0"/>
    <c:plotArea>
      <c:layout>
        <c:manualLayout>
          <c:layoutTarget val="inner"/>
          <c:xMode val="edge"/>
          <c:yMode val="edge"/>
          <c:x val="8.456514270794685E-2"/>
          <c:y val="0.12853194825603584"/>
          <c:w val="0.83617443168441152"/>
          <c:h val="0.67573486291410179"/>
        </c:manualLayout>
      </c:layout>
      <c:lineChart>
        <c:grouping val="standard"/>
        <c:varyColors val="0"/>
        <c:ser>
          <c:idx val="0"/>
          <c:order val="0"/>
          <c:tx>
            <c:v>Количество сделок, шт.</c:v>
          </c:tx>
          <c:cat>
            <c:numRef>
              <c:f>Лист1!$A$12:$A$16</c:f>
              <c:numCache>
                <c:formatCode>General</c:formatCode>
                <c:ptCount val="5"/>
                <c:pt idx="0">
                  <c:v>2013</c:v>
                </c:pt>
                <c:pt idx="1">
                  <c:v>2014</c:v>
                </c:pt>
                <c:pt idx="2">
                  <c:v>2015</c:v>
                </c:pt>
                <c:pt idx="3">
                  <c:v>2016</c:v>
                </c:pt>
                <c:pt idx="4">
                  <c:v>2017</c:v>
                </c:pt>
              </c:numCache>
            </c:numRef>
          </c:cat>
          <c:val>
            <c:numRef>
              <c:f>Лист1!$B$12:$B$16</c:f>
              <c:numCache>
                <c:formatCode>#,##0</c:formatCode>
                <c:ptCount val="5"/>
                <c:pt idx="0">
                  <c:v>512</c:v>
                </c:pt>
                <c:pt idx="1">
                  <c:v>1259</c:v>
                </c:pt>
                <c:pt idx="2">
                  <c:v>1149</c:v>
                </c:pt>
                <c:pt idx="3">
                  <c:v>962</c:v>
                </c:pt>
                <c:pt idx="4">
                  <c:v>1260</c:v>
                </c:pt>
              </c:numCache>
            </c:numRef>
          </c:val>
          <c:smooth val="0"/>
          <c:extLst>
            <c:ext xmlns:c16="http://schemas.microsoft.com/office/drawing/2014/chart" uri="{C3380CC4-5D6E-409C-BE32-E72D297353CC}">
              <c16:uniqueId val="{00000000-8F6D-44FD-9FB3-F5E05283D8C0}"/>
            </c:ext>
          </c:extLst>
        </c:ser>
        <c:dLbls>
          <c:showLegendKey val="0"/>
          <c:showVal val="0"/>
          <c:showCatName val="0"/>
          <c:showSerName val="0"/>
          <c:showPercent val="0"/>
          <c:showBubbleSize val="0"/>
        </c:dLbls>
        <c:marker val="1"/>
        <c:smooth val="0"/>
        <c:axId val="1869423464"/>
        <c:axId val="1869427776"/>
      </c:lineChart>
      <c:lineChart>
        <c:grouping val="standard"/>
        <c:varyColors val="0"/>
        <c:ser>
          <c:idx val="1"/>
          <c:order val="1"/>
          <c:tx>
            <c:v>Объем, млн руб в эквиваленте</c:v>
          </c:tx>
          <c:cat>
            <c:numRef>
              <c:f>Лист1!$A$12:$A$16</c:f>
              <c:numCache>
                <c:formatCode>General</c:formatCode>
                <c:ptCount val="5"/>
                <c:pt idx="0">
                  <c:v>2013</c:v>
                </c:pt>
                <c:pt idx="1">
                  <c:v>2014</c:v>
                </c:pt>
                <c:pt idx="2">
                  <c:v>2015</c:v>
                </c:pt>
                <c:pt idx="3">
                  <c:v>2016</c:v>
                </c:pt>
                <c:pt idx="4">
                  <c:v>2017</c:v>
                </c:pt>
              </c:numCache>
            </c:numRef>
          </c:cat>
          <c:val>
            <c:numRef>
              <c:f>Лист1!$C$12:$C$16</c:f>
              <c:numCache>
                <c:formatCode>#,##0</c:formatCode>
                <c:ptCount val="5"/>
                <c:pt idx="0">
                  <c:v>3545.1559999999999</c:v>
                </c:pt>
                <c:pt idx="1">
                  <c:v>146906.08599999998</c:v>
                </c:pt>
                <c:pt idx="2">
                  <c:v>159627.06099999999</c:v>
                </c:pt>
                <c:pt idx="3">
                  <c:v>148593</c:v>
                </c:pt>
                <c:pt idx="4">
                  <c:v>225104</c:v>
                </c:pt>
              </c:numCache>
            </c:numRef>
          </c:val>
          <c:smooth val="0"/>
          <c:extLst>
            <c:ext xmlns:c16="http://schemas.microsoft.com/office/drawing/2014/chart" uri="{C3380CC4-5D6E-409C-BE32-E72D297353CC}">
              <c16:uniqueId val="{00000001-8F6D-44FD-9FB3-F5E05283D8C0}"/>
            </c:ext>
          </c:extLst>
        </c:ser>
        <c:dLbls>
          <c:showLegendKey val="0"/>
          <c:showVal val="0"/>
          <c:showCatName val="0"/>
          <c:showSerName val="0"/>
          <c:showPercent val="0"/>
          <c:showBubbleSize val="0"/>
        </c:dLbls>
        <c:marker val="1"/>
        <c:smooth val="0"/>
        <c:axId val="2024278608"/>
        <c:axId val="2024278216"/>
      </c:lineChart>
      <c:catAx>
        <c:axId val="1869423464"/>
        <c:scaling>
          <c:orientation val="minMax"/>
        </c:scaling>
        <c:delete val="0"/>
        <c:axPos val="b"/>
        <c:numFmt formatCode="General" sourceLinked="1"/>
        <c:majorTickMark val="out"/>
        <c:minorTickMark val="none"/>
        <c:tickLblPos val="nextTo"/>
        <c:crossAx val="1869427776"/>
        <c:crosses val="autoZero"/>
        <c:auto val="1"/>
        <c:lblAlgn val="ctr"/>
        <c:lblOffset val="100"/>
        <c:noMultiLvlLbl val="0"/>
      </c:catAx>
      <c:valAx>
        <c:axId val="1869427776"/>
        <c:scaling>
          <c:orientation val="minMax"/>
        </c:scaling>
        <c:delete val="0"/>
        <c:axPos val="l"/>
        <c:majorGridlines/>
        <c:numFmt formatCode="#,##0" sourceLinked="1"/>
        <c:majorTickMark val="out"/>
        <c:minorTickMark val="none"/>
        <c:tickLblPos val="nextTo"/>
        <c:spPr>
          <a:ln w="12700"/>
        </c:spPr>
        <c:crossAx val="1869423464"/>
        <c:crosses val="autoZero"/>
        <c:crossBetween val="between"/>
      </c:valAx>
      <c:valAx>
        <c:axId val="2024278216"/>
        <c:scaling>
          <c:orientation val="minMax"/>
        </c:scaling>
        <c:delete val="0"/>
        <c:axPos val="r"/>
        <c:numFmt formatCode="#,##0" sourceLinked="1"/>
        <c:majorTickMark val="out"/>
        <c:minorTickMark val="none"/>
        <c:tickLblPos val="nextTo"/>
        <c:crossAx val="2024278608"/>
        <c:crosses val="max"/>
        <c:crossBetween val="between"/>
      </c:valAx>
      <c:catAx>
        <c:axId val="2024278608"/>
        <c:scaling>
          <c:orientation val="minMax"/>
        </c:scaling>
        <c:delete val="1"/>
        <c:axPos val="b"/>
        <c:numFmt formatCode="General" sourceLinked="1"/>
        <c:majorTickMark val="out"/>
        <c:minorTickMark val="none"/>
        <c:tickLblPos val="nextTo"/>
        <c:crossAx val="2024278216"/>
        <c:crosses val="autoZero"/>
        <c:auto val="1"/>
        <c:lblAlgn val="ctr"/>
        <c:lblOffset val="100"/>
        <c:noMultiLvlLbl val="0"/>
      </c:catAx>
    </c:plotArea>
    <c:legend>
      <c:legendPos val="r"/>
      <c:layout>
        <c:manualLayout>
          <c:xMode val="edge"/>
          <c:yMode val="edge"/>
          <c:x val="0.42711655581887215"/>
          <c:y val="0.5189315616351543"/>
          <c:w val="0.40521851030757078"/>
          <c:h val="0.18195163677878889"/>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4268216472940889E-2"/>
          <c:y val="2.6177242550563529E-2"/>
          <c:w val="0.61362736303531684"/>
          <c:h val="0.95052081725078486"/>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0E0-4804-A9FE-F25932ADDEB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0E0-4804-A9FE-F25932ADDEB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0E0-4804-A9FE-F25932ADDEB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0E0-4804-A9FE-F25932ADDEB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0E0-4804-A9FE-F25932ADDEB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0E0-4804-A9FE-F25932ADDEBC}"/>
              </c:ext>
            </c:extLst>
          </c:dPt>
          <c:dLbls>
            <c:dLbl>
              <c:idx val="4"/>
              <c:layout>
                <c:manualLayout>
                  <c:x val="-5.9100214967108912E-2"/>
                  <c:y val="-0.11447812275545648"/>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0E0-4804-A9FE-F25932ADDEBC}"/>
                </c:ext>
              </c:extLst>
            </c:dLbl>
            <c:dLbl>
              <c:idx val="5"/>
              <c:layout>
                <c:manualLayout>
                  <c:x val="0"/>
                  <c:y val="-5.723906137772825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0E0-4804-A9FE-F25932ADDE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Лист1!$H$55:$H$60</c:f>
              <c:strCache>
                <c:ptCount val="6"/>
                <c:pt idx="0">
                  <c:v>AA</c:v>
                </c:pt>
                <c:pt idx="1">
                  <c:v>A</c:v>
                </c:pt>
                <c:pt idx="2">
                  <c:v>BBB</c:v>
                </c:pt>
                <c:pt idx="3">
                  <c:v>BB</c:v>
                </c:pt>
                <c:pt idx="4">
                  <c:v>B</c:v>
                </c:pt>
                <c:pt idx="5">
                  <c:v>NR</c:v>
                </c:pt>
              </c:strCache>
            </c:strRef>
          </c:cat>
          <c:val>
            <c:numRef>
              <c:f>Лист1!$I$55:$I$60</c:f>
              <c:numCache>
                <c:formatCode>#\ ##0_ ;[Red]\-#\ ##0\ </c:formatCode>
                <c:ptCount val="6"/>
                <c:pt idx="0">
                  <c:v>82392958.985949993</c:v>
                </c:pt>
                <c:pt idx="1">
                  <c:v>86377690.777859986</c:v>
                </c:pt>
                <c:pt idx="2">
                  <c:v>350153886.08302331</c:v>
                </c:pt>
                <c:pt idx="3">
                  <c:v>93632890.812251985</c:v>
                </c:pt>
                <c:pt idx="4">
                  <c:v>10097526</c:v>
                </c:pt>
                <c:pt idx="5" formatCode="#,##0">
                  <c:v>21787615.771219999</c:v>
                </c:pt>
              </c:numCache>
            </c:numRef>
          </c:val>
          <c:extLst>
            <c:ext xmlns:c16="http://schemas.microsoft.com/office/drawing/2014/chart" uri="{C3380CC4-5D6E-409C-BE32-E72D297353CC}">
              <c16:uniqueId val="{0000000C-B0E0-4804-A9FE-F25932ADDEBC}"/>
            </c:ext>
          </c:extLst>
        </c:ser>
        <c:dLbls>
          <c:showLegendKey val="0"/>
          <c:showVal val="0"/>
          <c:showCatName val="0"/>
          <c:showSerName val="0"/>
          <c:showPercent val="0"/>
          <c:showBubbleSize val="0"/>
          <c:showLeaderLines val="1"/>
        </c:dLbls>
        <c:firstSliceAng val="0"/>
        <c:holeSize val="48"/>
      </c:doughnutChart>
      <c:spPr>
        <a:noFill/>
        <a:ln>
          <a:noFill/>
        </a:ln>
        <a:effectLst/>
      </c:spPr>
    </c:plotArea>
    <c:legend>
      <c:legendPos val="r"/>
      <c:layout>
        <c:manualLayout>
          <c:xMode val="edge"/>
          <c:yMode val="edge"/>
          <c:x val="0.73202144908033329"/>
          <c:y val="0.19786933022923076"/>
          <c:w val="0.12154661348103551"/>
          <c:h val="0.63027909471323307"/>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53470080002694"/>
          <c:y val="4.1431261770244823E-2"/>
          <c:w val="0.78972985939558193"/>
          <c:h val="0.72167771401456171"/>
        </c:manualLayout>
      </c:layout>
      <c:barChart>
        <c:barDir val="col"/>
        <c:grouping val="clustered"/>
        <c:varyColors val="0"/>
        <c:ser>
          <c:idx val="0"/>
          <c:order val="0"/>
          <c:tx>
            <c:strRef>
              <c:f>Лист1!$K$38</c:f>
              <c:strCache>
                <c:ptCount val="1"/>
                <c:pt idx="0">
                  <c:v>Активы, тыс. руб</c:v>
                </c:pt>
              </c:strCache>
            </c:strRef>
          </c:tx>
          <c:spPr>
            <a:solidFill>
              <a:schemeClr val="accent1"/>
            </a:solidFill>
            <a:ln>
              <a:noFill/>
            </a:ln>
            <a:effectLst/>
          </c:spPr>
          <c:invertIfNegative val="0"/>
          <c:cat>
            <c:strRef>
              <c:f>Лист1!$L$37:$T$37</c:f>
              <c:strCache>
                <c:ptCount val="9"/>
                <c:pt idx="0">
                  <c:v>до востребования</c:v>
                </c:pt>
                <c:pt idx="1">
                  <c:v>от1 до 2 дней</c:v>
                </c:pt>
                <c:pt idx="2">
                  <c:v>от 2 до 7 дней</c:v>
                </c:pt>
                <c:pt idx="3">
                  <c:v>от 8 до 30 дней</c:v>
                </c:pt>
                <c:pt idx="4">
                  <c:v>от 31 до 90 дней</c:v>
                </c:pt>
                <c:pt idx="5">
                  <c:v>от 91 до 180 дней</c:v>
                </c:pt>
                <c:pt idx="6">
                  <c:v>от 181 дня д 1 года</c:v>
                </c:pt>
                <c:pt idx="7">
                  <c:v>от 1 года до 3 лет</c:v>
                </c:pt>
                <c:pt idx="8">
                  <c:v>без срока</c:v>
                </c:pt>
              </c:strCache>
            </c:strRef>
          </c:cat>
          <c:val>
            <c:numRef>
              <c:f>Лист1!$L$38:$T$38</c:f>
              <c:numCache>
                <c:formatCode>General</c:formatCode>
                <c:ptCount val="9"/>
                <c:pt idx="0" formatCode="#,##0.00">
                  <c:v>293268956.50875199</c:v>
                </c:pt>
                <c:pt idx="1">
                  <c:v>0</c:v>
                </c:pt>
                <c:pt idx="2">
                  <c:v>0</c:v>
                </c:pt>
                <c:pt idx="3" formatCode="#,##0.00">
                  <c:v>29380492.328400001</c:v>
                </c:pt>
                <c:pt idx="4" formatCode="#,##0.00">
                  <c:v>64473915.272673197</c:v>
                </c:pt>
                <c:pt idx="5" formatCode="#,##0.00">
                  <c:v>28295275.875919301</c:v>
                </c:pt>
                <c:pt idx="6" formatCode="#,##0.00">
                  <c:v>22664444.851910699</c:v>
                </c:pt>
                <c:pt idx="7" formatCode="#,##0.00">
                  <c:v>92068515.081990898</c:v>
                </c:pt>
                <c:pt idx="8" formatCode="#,##0.00">
                  <c:v>55273540.2175062</c:v>
                </c:pt>
              </c:numCache>
            </c:numRef>
          </c:val>
          <c:extLst>
            <c:ext xmlns:c16="http://schemas.microsoft.com/office/drawing/2014/chart" uri="{C3380CC4-5D6E-409C-BE32-E72D297353CC}">
              <c16:uniqueId val="{00000000-641E-45BE-9E2C-E4E746AF3ABD}"/>
            </c:ext>
          </c:extLst>
        </c:ser>
        <c:ser>
          <c:idx val="1"/>
          <c:order val="1"/>
          <c:tx>
            <c:strRef>
              <c:f>Лист1!$K$39</c:f>
              <c:strCache>
                <c:ptCount val="1"/>
                <c:pt idx="0">
                  <c:v>Пассивы, тыс. руб.</c:v>
                </c:pt>
              </c:strCache>
            </c:strRef>
          </c:tx>
          <c:spPr>
            <a:solidFill>
              <a:schemeClr val="accent2"/>
            </a:solidFill>
            <a:ln>
              <a:noFill/>
            </a:ln>
            <a:effectLst/>
          </c:spPr>
          <c:invertIfNegative val="0"/>
          <c:cat>
            <c:strRef>
              <c:f>Лист1!$L$37:$T$37</c:f>
              <c:strCache>
                <c:ptCount val="9"/>
                <c:pt idx="0">
                  <c:v>до востребования</c:v>
                </c:pt>
                <c:pt idx="1">
                  <c:v>от1 до 2 дней</c:v>
                </c:pt>
                <c:pt idx="2">
                  <c:v>от 2 до 7 дней</c:v>
                </c:pt>
                <c:pt idx="3">
                  <c:v>от 8 до 30 дней</c:v>
                </c:pt>
                <c:pt idx="4">
                  <c:v>от 31 до 90 дней</c:v>
                </c:pt>
                <c:pt idx="5">
                  <c:v>от 91 до 180 дней</c:v>
                </c:pt>
                <c:pt idx="6">
                  <c:v>от 181 дня д 1 года</c:v>
                </c:pt>
                <c:pt idx="7">
                  <c:v>от 1 года до 3 лет</c:v>
                </c:pt>
                <c:pt idx="8">
                  <c:v>без срока</c:v>
                </c:pt>
              </c:strCache>
            </c:strRef>
          </c:cat>
          <c:val>
            <c:numRef>
              <c:f>Лист1!$L$39:$T$39</c:f>
              <c:numCache>
                <c:formatCode>General</c:formatCode>
                <c:ptCount val="9"/>
                <c:pt idx="0" formatCode="#,##0.00">
                  <c:v>271226652.77072799</c:v>
                </c:pt>
                <c:pt idx="1">
                  <c:v>0</c:v>
                </c:pt>
                <c:pt idx="2" formatCode="#,##0.00">
                  <c:v>80305413.354957893</c:v>
                </c:pt>
                <c:pt idx="3" formatCode="#,##0.00">
                  <c:v>88895281.304499999</c:v>
                </c:pt>
                <c:pt idx="4" formatCode="#,##0.00">
                  <c:v>13413416.1742</c:v>
                </c:pt>
                <c:pt idx="5" formatCode="#,##0.00">
                  <c:v>0</c:v>
                </c:pt>
                <c:pt idx="6" formatCode="#,##0.00">
                  <c:v>0</c:v>
                </c:pt>
                <c:pt idx="7" formatCode="#,##0.00">
                  <c:v>0</c:v>
                </c:pt>
                <c:pt idx="8" formatCode="#,##0.00">
                  <c:v>131584376.532767</c:v>
                </c:pt>
              </c:numCache>
            </c:numRef>
          </c:val>
          <c:extLst>
            <c:ext xmlns:c16="http://schemas.microsoft.com/office/drawing/2014/chart" uri="{C3380CC4-5D6E-409C-BE32-E72D297353CC}">
              <c16:uniqueId val="{00000001-641E-45BE-9E2C-E4E746AF3ABD}"/>
            </c:ext>
          </c:extLst>
        </c:ser>
        <c:ser>
          <c:idx val="2"/>
          <c:order val="2"/>
          <c:tx>
            <c:strRef>
              <c:f>Лист1!$K$40</c:f>
              <c:strCache>
                <c:ptCount val="1"/>
                <c:pt idx="0">
                  <c:v>Разрывы ликвидности, тыс. руб.</c:v>
                </c:pt>
              </c:strCache>
            </c:strRef>
          </c:tx>
          <c:spPr>
            <a:solidFill>
              <a:schemeClr val="accent3"/>
            </a:solidFill>
            <a:ln>
              <a:noFill/>
            </a:ln>
            <a:effectLst/>
          </c:spPr>
          <c:invertIfNegative val="0"/>
          <c:cat>
            <c:strRef>
              <c:f>Лист1!$L$37:$T$37</c:f>
              <c:strCache>
                <c:ptCount val="9"/>
                <c:pt idx="0">
                  <c:v>до востребования</c:v>
                </c:pt>
                <c:pt idx="1">
                  <c:v>от1 до 2 дней</c:v>
                </c:pt>
                <c:pt idx="2">
                  <c:v>от 2 до 7 дней</c:v>
                </c:pt>
                <c:pt idx="3">
                  <c:v>от 8 до 30 дней</c:v>
                </c:pt>
                <c:pt idx="4">
                  <c:v>от 31 до 90 дней</c:v>
                </c:pt>
                <c:pt idx="5">
                  <c:v>от 91 до 180 дней</c:v>
                </c:pt>
                <c:pt idx="6">
                  <c:v>от 181 дня д 1 года</c:v>
                </c:pt>
                <c:pt idx="7">
                  <c:v>от 1 года до 3 лет</c:v>
                </c:pt>
                <c:pt idx="8">
                  <c:v>без срока</c:v>
                </c:pt>
              </c:strCache>
            </c:strRef>
          </c:cat>
          <c:val>
            <c:numRef>
              <c:f>Лист1!$L$40:$T$40</c:f>
              <c:numCache>
                <c:formatCode>#,##0.00</c:formatCode>
                <c:ptCount val="9"/>
                <c:pt idx="0">
                  <c:v>190991578.74346</c:v>
                </c:pt>
                <c:pt idx="1">
                  <c:v>190991578.74346</c:v>
                </c:pt>
                <c:pt idx="2">
                  <c:v>110686165.388502</c:v>
                </c:pt>
                <c:pt idx="3">
                  <c:v>50433320.530422099</c:v>
                </c:pt>
                <c:pt idx="4">
                  <c:v>92634148.162538603</c:v>
                </c:pt>
                <c:pt idx="5">
                  <c:v>107637513.24980301</c:v>
                </c:pt>
                <c:pt idx="6">
                  <c:v>116970967.338248</c:v>
                </c:pt>
                <c:pt idx="7">
                  <c:v>125142554.31825601</c:v>
                </c:pt>
              </c:numCache>
            </c:numRef>
          </c:val>
          <c:extLst>
            <c:ext xmlns:c16="http://schemas.microsoft.com/office/drawing/2014/chart" uri="{C3380CC4-5D6E-409C-BE32-E72D297353CC}">
              <c16:uniqueId val="{00000002-641E-45BE-9E2C-E4E746AF3ABD}"/>
            </c:ext>
          </c:extLst>
        </c:ser>
        <c:dLbls>
          <c:showLegendKey val="0"/>
          <c:showVal val="0"/>
          <c:showCatName val="0"/>
          <c:showSerName val="0"/>
          <c:showPercent val="0"/>
          <c:showBubbleSize val="0"/>
        </c:dLbls>
        <c:gapWidth val="219"/>
        <c:axId val="2024279784"/>
        <c:axId val="2024280176"/>
      </c:barChart>
      <c:lineChart>
        <c:grouping val="standard"/>
        <c:varyColors val="0"/>
        <c:ser>
          <c:idx val="3"/>
          <c:order val="3"/>
          <c:tx>
            <c:strRef>
              <c:f>Лист1!$K$41</c:f>
              <c:strCache>
                <c:ptCount val="1"/>
                <c:pt idx="0">
                  <c:v>Коэффициенты ликвидности, % </c:v>
                </c:pt>
              </c:strCache>
            </c:strRef>
          </c:tx>
          <c:spPr>
            <a:ln w="28575" cap="rnd">
              <a:solidFill>
                <a:schemeClr val="accent4"/>
              </a:solidFill>
              <a:round/>
            </a:ln>
            <a:effectLst/>
          </c:spPr>
          <c:marker>
            <c:symbol val="none"/>
          </c:marker>
          <c:cat>
            <c:strRef>
              <c:f>Лист1!$L$2:$T$2</c:f>
              <c:strCache>
                <c:ptCount val="9"/>
                <c:pt idx="0">
                  <c:v>до востребования</c:v>
                </c:pt>
                <c:pt idx="1">
                  <c:v>от1 до 2 дней</c:v>
                </c:pt>
                <c:pt idx="2">
                  <c:v>от 2 до 7 дней</c:v>
                </c:pt>
                <c:pt idx="3">
                  <c:v>от 8 до 30 дней</c:v>
                </c:pt>
                <c:pt idx="4">
                  <c:v>от 31 до 90 дней</c:v>
                </c:pt>
                <c:pt idx="5">
                  <c:v>от 91 до 180 дней</c:v>
                </c:pt>
                <c:pt idx="6">
                  <c:v>от 181 дня д 1 года</c:v>
                </c:pt>
                <c:pt idx="7">
                  <c:v>от 1 года до 3 лет</c:v>
                </c:pt>
                <c:pt idx="8">
                  <c:v>без срока</c:v>
                </c:pt>
              </c:strCache>
            </c:strRef>
          </c:cat>
          <c:val>
            <c:numRef>
              <c:f>Лист1!$L$41:$T$41</c:f>
              <c:numCache>
                <c:formatCode>#,##0.00</c:formatCode>
                <c:ptCount val="9"/>
                <c:pt idx="0">
                  <c:v>0.32624423798867747</c:v>
                </c:pt>
                <c:pt idx="1">
                  <c:v>0.32624423798867747</c:v>
                </c:pt>
                <c:pt idx="2">
                  <c:v>0.18906971668926065</c:v>
                </c:pt>
                <c:pt idx="3">
                  <c:v>8.6148197391397716E-2</c:v>
                </c:pt>
                <c:pt idx="4">
                  <c:v>0.15823397700487615</c:v>
                </c:pt>
                <c:pt idx="5">
                  <c:v>0.18386213004891702</c:v>
                </c:pt>
                <c:pt idx="6">
                  <c:v>0.19980516605563661</c:v>
                </c:pt>
                <c:pt idx="7">
                  <c:v>0.21376354676011747</c:v>
                </c:pt>
              </c:numCache>
            </c:numRef>
          </c:val>
          <c:smooth val="0"/>
          <c:extLst>
            <c:ext xmlns:c16="http://schemas.microsoft.com/office/drawing/2014/chart" uri="{C3380CC4-5D6E-409C-BE32-E72D297353CC}">
              <c16:uniqueId val="{00000003-641E-45BE-9E2C-E4E746AF3ABD}"/>
            </c:ext>
          </c:extLst>
        </c:ser>
        <c:dLbls>
          <c:showLegendKey val="0"/>
          <c:showVal val="0"/>
          <c:showCatName val="0"/>
          <c:showSerName val="0"/>
          <c:showPercent val="0"/>
          <c:showBubbleSize val="0"/>
        </c:dLbls>
        <c:marker val="1"/>
        <c:smooth val="0"/>
        <c:axId val="2024280960"/>
        <c:axId val="2024280568"/>
      </c:lineChart>
      <c:catAx>
        <c:axId val="2024279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1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24280176"/>
        <c:crosses val="autoZero"/>
        <c:auto val="0"/>
        <c:lblAlgn val="ctr"/>
        <c:lblOffset val="100"/>
        <c:noMultiLvlLbl val="0"/>
      </c:catAx>
      <c:valAx>
        <c:axId val="2024280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24279784"/>
        <c:crosses val="autoZero"/>
        <c:crossBetween val="between"/>
      </c:valAx>
      <c:valAx>
        <c:axId val="2024280568"/>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24280960"/>
        <c:crosses val="max"/>
        <c:crossBetween val="between"/>
      </c:valAx>
      <c:catAx>
        <c:axId val="2024280960"/>
        <c:scaling>
          <c:orientation val="minMax"/>
        </c:scaling>
        <c:delete val="1"/>
        <c:axPos val="b"/>
        <c:numFmt formatCode="General" sourceLinked="1"/>
        <c:majorTickMark val="out"/>
        <c:minorTickMark val="none"/>
        <c:tickLblPos val="nextTo"/>
        <c:crossAx val="2024280568"/>
        <c:crosses val="autoZero"/>
        <c:auto val="1"/>
        <c:lblAlgn val="ctr"/>
        <c:lblOffset val="100"/>
        <c:noMultiLvlLbl val="0"/>
      </c:catAx>
      <c:spPr>
        <a:noFill/>
        <a:ln>
          <a:noFill/>
        </a:ln>
        <a:effectLst/>
      </c:spPr>
    </c:plotArea>
    <c:legend>
      <c:legendPos val="b"/>
      <c:layout>
        <c:manualLayout>
          <c:xMode val="edge"/>
          <c:yMode val="edge"/>
          <c:x val="0.54372826860031054"/>
          <c:y val="1.7060664027166095E-2"/>
          <c:w val="0.39165682590050382"/>
          <c:h val="0.266542105965567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chemeClr val="accent1"/>
              </a:solidFill>
            </c:spPr>
            <c:extLst>
              <c:ext xmlns:c16="http://schemas.microsoft.com/office/drawing/2014/chart" uri="{C3380CC4-5D6E-409C-BE32-E72D297353CC}">
                <c16:uniqueId val="{00000001-ABC3-461B-B816-5EAB162CBACB}"/>
              </c:ext>
            </c:extLst>
          </c:dPt>
          <c:dPt>
            <c:idx val="1"/>
            <c:invertIfNegative val="0"/>
            <c:bubble3D val="0"/>
            <c:spPr>
              <a:solidFill>
                <a:schemeClr val="accent1"/>
              </a:solidFill>
            </c:spPr>
            <c:extLst>
              <c:ext xmlns:c16="http://schemas.microsoft.com/office/drawing/2014/chart" uri="{C3380CC4-5D6E-409C-BE32-E72D297353CC}">
                <c16:uniqueId val="{00000003-ABC3-461B-B816-5EAB162CBACB}"/>
              </c:ext>
            </c:extLst>
          </c:dPt>
          <c:dPt>
            <c:idx val="2"/>
            <c:invertIfNegative val="0"/>
            <c:bubble3D val="0"/>
            <c:spPr>
              <a:solidFill>
                <a:schemeClr val="accent1"/>
              </a:solidFill>
            </c:spPr>
            <c:extLst>
              <c:ext xmlns:c16="http://schemas.microsoft.com/office/drawing/2014/chart" uri="{C3380CC4-5D6E-409C-BE32-E72D297353CC}">
                <c16:uniqueId val="{00000005-ABC3-461B-B816-5EAB162CBACB}"/>
              </c:ext>
            </c:extLst>
          </c:dPt>
          <c:dPt>
            <c:idx val="3"/>
            <c:invertIfNegative val="0"/>
            <c:bubble3D val="0"/>
            <c:spPr>
              <a:solidFill>
                <a:schemeClr val="accent2"/>
              </a:solidFill>
            </c:spPr>
            <c:extLst>
              <c:ext xmlns:c16="http://schemas.microsoft.com/office/drawing/2014/chart" uri="{C3380CC4-5D6E-409C-BE32-E72D297353CC}">
                <c16:uniqueId val="{00000007-ABC3-461B-B816-5EAB162CBACB}"/>
              </c:ext>
            </c:extLst>
          </c:dPt>
          <c:dLbls>
            <c:dLbl>
              <c:idx val="0"/>
              <c:layout>
                <c:manualLayout>
                  <c:x val="-7.0555555555555545E-3"/>
                  <c:y val="7.83950617283951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C3-461B-B816-5EAB162CBACB}"/>
                </c:ext>
              </c:extLst>
            </c:dLbl>
            <c:dLbl>
              <c:idx val="1"/>
              <c:layout>
                <c:manualLayout>
                  <c:x val="0"/>
                  <c:y val="3.91975308641975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C3-461B-B816-5EAB162CBACB}"/>
                </c:ext>
              </c:extLst>
            </c:dLbl>
            <c:dLbl>
              <c:idx val="2"/>
              <c:layout>
                <c:manualLayout>
                  <c:x val="4.7037037037037707E-3"/>
                  <c:y val="7.83950617283951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C3-461B-B816-5EAB162CBACB}"/>
                </c:ext>
              </c:extLst>
            </c:dLbl>
            <c:dLbl>
              <c:idx val="3"/>
              <c:layout>
                <c:manualLayout>
                  <c:x val="0"/>
                  <c:y val="7.83950617283951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BC3-461B-B816-5EAB162CBAC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Лист1!$AG$15:$AJ$15</c:f>
              <c:strCache>
                <c:ptCount val="4"/>
                <c:pt idx="0">
                  <c:v>Q12017</c:v>
                </c:pt>
                <c:pt idx="1">
                  <c:v>Q22017</c:v>
                </c:pt>
                <c:pt idx="2">
                  <c:v>Q32017</c:v>
                </c:pt>
                <c:pt idx="3">
                  <c:v>Q42017</c:v>
                </c:pt>
              </c:strCache>
            </c:strRef>
          </c:cat>
          <c:val>
            <c:numRef>
              <c:f>Лист1!$AG$16:$AJ$16</c:f>
              <c:numCache>
                <c:formatCode>#,##0</c:formatCode>
                <c:ptCount val="4"/>
                <c:pt idx="0">
                  <c:v>1780</c:v>
                </c:pt>
                <c:pt idx="1">
                  <c:v>12586.3</c:v>
                </c:pt>
                <c:pt idx="2">
                  <c:v>12458.3</c:v>
                </c:pt>
                <c:pt idx="3">
                  <c:v>15147</c:v>
                </c:pt>
              </c:numCache>
            </c:numRef>
          </c:val>
          <c:extLst>
            <c:ext xmlns:c16="http://schemas.microsoft.com/office/drawing/2014/chart" uri="{C3380CC4-5D6E-409C-BE32-E72D297353CC}">
              <c16:uniqueId val="{00000008-ABC3-461B-B816-5EAB162CBACB}"/>
            </c:ext>
          </c:extLst>
        </c:ser>
        <c:dLbls>
          <c:showLegendKey val="0"/>
          <c:showVal val="0"/>
          <c:showCatName val="0"/>
          <c:showSerName val="0"/>
          <c:showPercent val="0"/>
          <c:showBubbleSize val="0"/>
        </c:dLbls>
        <c:gapWidth val="41"/>
        <c:axId val="2024281744"/>
        <c:axId val="2024282136"/>
      </c:barChart>
      <c:catAx>
        <c:axId val="2024281744"/>
        <c:scaling>
          <c:orientation val="minMax"/>
        </c:scaling>
        <c:delete val="0"/>
        <c:axPos val="b"/>
        <c:numFmt formatCode="General" sourceLinked="0"/>
        <c:majorTickMark val="out"/>
        <c:minorTickMark val="none"/>
        <c:tickLblPos val="low"/>
        <c:crossAx val="2024282136"/>
        <c:crosses val="autoZero"/>
        <c:auto val="1"/>
        <c:lblAlgn val="ctr"/>
        <c:lblOffset val="100"/>
        <c:noMultiLvlLbl val="0"/>
      </c:catAx>
      <c:valAx>
        <c:axId val="2024282136"/>
        <c:scaling>
          <c:orientation val="minMax"/>
        </c:scaling>
        <c:delete val="0"/>
        <c:axPos val="l"/>
        <c:majorGridlines>
          <c:spPr>
            <a:ln>
              <a:prstDash val="sysDot"/>
            </a:ln>
          </c:spPr>
        </c:majorGridlines>
        <c:numFmt formatCode="#,##0" sourceLinked="1"/>
        <c:majorTickMark val="out"/>
        <c:minorTickMark val="none"/>
        <c:tickLblPos val="nextTo"/>
        <c:crossAx val="2024281744"/>
        <c:crosses val="autoZero"/>
        <c:crossBetween val="between"/>
      </c:valAx>
    </c:plotArea>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Корпоративный красный">
    <a:dk1>
      <a:srgbClr val="000000"/>
    </a:dk1>
    <a:lt1>
      <a:sysClr val="window" lastClr="FFFFFF"/>
    </a:lt1>
    <a:dk2>
      <a:srgbClr val="CCCCCC"/>
    </a:dk2>
    <a:lt2>
      <a:srgbClr val="E6E6E6"/>
    </a:lt2>
    <a:accent1>
      <a:srgbClr val="C8102E"/>
    </a:accent1>
    <a:accent2>
      <a:srgbClr val="CF7F7F"/>
    </a:accent2>
    <a:accent3>
      <a:srgbClr val="616365"/>
    </a:accent3>
    <a:accent4>
      <a:srgbClr val="51626F"/>
    </a:accent4>
    <a:accent5>
      <a:srgbClr val="6D6F64"/>
    </a:accent5>
    <a:accent6>
      <a:srgbClr val="5D4F4B"/>
    </a:accent6>
    <a:hlink>
      <a:srgbClr val="593160"/>
    </a:hlink>
    <a:folHlink>
      <a:srgbClr val="8D3C1E"/>
    </a:folHlink>
  </a:clrScheme>
  <a:fontScheme name="Moscow Exchange">
    <a:majorFont>
      <a:latin typeface="Tahoma"/>
      <a:ea typeface=""/>
      <a:cs typeface=""/>
    </a:majorFont>
    <a:minorFont>
      <a:latin typeface="Tahoma"/>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Корпоративный красный">
    <a:dk1>
      <a:srgbClr val="000000"/>
    </a:dk1>
    <a:lt1>
      <a:sysClr val="window" lastClr="FFFFFF"/>
    </a:lt1>
    <a:dk2>
      <a:srgbClr val="CCCCCC"/>
    </a:dk2>
    <a:lt2>
      <a:srgbClr val="E6E6E6"/>
    </a:lt2>
    <a:accent1>
      <a:srgbClr val="C8102E"/>
    </a:accent1>
    <a:accent2>
      <a:srgbClr val="CF7F7F"/>
    </a:accent2>
    <a:accent3>
      <a:srgbClr val="616365"/>
    </a:accent3>
    <a:accent4>
      <a:srgbClr val="51626F"/>
    </a:accent4>
    <a:accent5>
      <a:srgbClr val="6D6F64"/>
    </a:accent5>
    <a:accent6>
      <a:srgbClr val="5D4F4B"/>
    </a:accent6>
    <a:hlink>
      <a:srgbClr val="593160"/>
    </a:hlink>
    <a:folHlink>
      <a:srgbClr val="8D3C1E"/>
    </a:folHlink>
  </a:clrScheme>
  <a:fontScheme name="Moscow Exchange">
    <a:majorFont>
      <a:latin typeface="Tahoma"/>
      <a:ea typeface=""/>
      <a:cs typeface=""/>
    </a:majorFont>
    <a:minorFont>
      <a:latin typeface="Tahoma"/>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13386-CA2C-48A5-9E9B-94F77ECB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32023</Words>
  <Characters>182533</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214128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Кудасов Сергей Эдмундович</dc:creator>
  <cp:keywords/>
  <dc:description/>
  <cp:lastModifiedBy>Старостина Елена Сергеевна</cp:lastModifiedBy>
  <cp:revision>2</cp:revision>
  <cp:lastPrinted>2018-02-28T14:20:00Z</cp:lastPrinted>
  <dcterms:created xsi:type="dcterms:W3CDTF">2019-08-23T13:52:00Z</dcterms:created>
  <dcterms:modified xsi:type="dcterms:W3CDTF">2019-08-23T13:52:00Z</dcterms:modified>
</cp:coreProperties>
</file>